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焉耆县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文化体育广播电视和旅游局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文物局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法治政府建设工作报告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2023年，在县委、县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政府的坚强领导下，县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文旅局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坚持以习近平新时代中国特色社会主义思想为指导，深入学习贯彻习近平法治思想和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上级法治建设决策部署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，围绕年度法治政府建设工作计划，深入推进法治政府建设工作，圆满完成了年度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法治政府建设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工作任务，现将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我局2023年度法治政府建设工作情况报告如下：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  <w:t>法治政府建设工作开展情况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（一）落实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落实法治建设责任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一是及时调整局法治政府建设工作领导小组，由局主要负责人担任组长，分管副局长担任副组长，局机关各股室、局属各单位负责人为成员，形成高效有力的法治政府领导机制；二是严格落实党政主要负责人为法治政府建设第一责任人，将法治政府建设摆在全局重要位置，党组书记、局长对法治建设重要工作亲自部署、重大问题亲自过问、重点环节亲自协调、重要任务亲自督办，定期召开班子会议听取法治建设工作汇报，及时研究相关工作，针对重大行政决策、复杂疑难案件进行集体讨论；三是建立定期学法制度，不断加强法治思想学习。结合党组中心组学习等，用好《论坚持全面依法治国》《习近平法治思想学习纲要》等书籍，组织全体工作人员认真学习，贯彻习近平法治思想和全面依法治国理念，学习以宪法为核心的中国特色社会主义法律法规，坚持集中学法制度，开展相关专业法律知识培训，大力提升机关干部职工的法治能力，着力提高干部职工法治思维和依法行政能力和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（二）加强法治能力建设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开展领导干部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法治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教育，落实领导干部学法制度，进一步提高领导干部依法行政的意识和能力。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制定完善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《领导干部学法用法制度》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，2023年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组织领导班子集中学法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次，组织参加年度法律知识考试，20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年应考人数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人，无人缺考，全部考试合格。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二是加强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行政执法人员通用法律知识、专门法律知识、新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修订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法律法规的培训。自“全国文化市场技术监管与服务平台在线培训考试系统”正式上线以来，根据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文旅厅要求，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文旅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局行政执法人员自行登录该系统进行学习培训并参加考试，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2023年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行政执法人员全部完成通过该系统完成执法学习、培训任务。新增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人参加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组织的行政执法人员综合法律知识网上培训及考试，全部考试合格;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2023年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月份，执法人员到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参加文旅部组织的“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文旅市场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执法专题培训”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月份，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文旅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局派出1名执法业务骨干参加由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文化和旅游厅组织的关于开展全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旅游执法能力提升培训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（三）依法履行政府职能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深化行政审批制度改革。坚持以简政放权为核心，创新改革办法，优化服务举措，100%事项实现最多跑一次。同时通过审批流程再优化、审批时限再压缩、全面推行无差别全科受理、网上审批等举措，全面推进“最多跑一次”工作的落实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“双随机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一公开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”工作有序持续开展。制定本部门“双随机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一公开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”年度抽查计划，重点抽查包括文化市场、旅游市场、体育市场、文物4大类监督检查事项。采用“双随机”抽查系统，实现“双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随机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一公开”，抽查情况按要求及时上报，并通过行政执法公示平台对外公示。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全方位加强文旅市场监管。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2023年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来共出动执法人员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1957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人次，检查各类经营单位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555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家次，受理举报件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个，发出责令改正通知书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家次，受理市场经营项目许可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家;立案7宗，罚没款共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0.4552万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元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（四）加强规范性文件管理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严格落实上级行政规范性文件管理制度，扎实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开展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规范性文件清理。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2023年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县文旅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局未制定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规范性文件。同时根据相关规定，认真开展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现行政策性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文件清理工作，并及时将清理结果报送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政府。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（五）推进行政决策科学化、民主化、法治化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完善重大行政决策机制。坚持把公众参与、专家论证、风险评估、合法性审查和集体讨论决定作为必经程序，加强重大行政决策档案管理。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充分发挥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法律顾问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的作用，在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重大行政决策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重大执法决定、重大合同审核等方面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提供法律咨询服务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严格法律关口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建立法律顾问制度。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充分利用政府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法律顾问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在重大决策、重大执法决定、重大合同等方面提供法律服务，把关法治审核关。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（六）坚持严格规范公正文明执法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做好重大行政执法决定及时报备工作。对在行政处罚执行过程中属于重大行政处罚案件的，及时按照规定要求向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司法部门进行报备。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行政执法全过程记录。目前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文旅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局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按要求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配备执法记录仪、数码相机及录音笔等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执法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装备，执法过程中充分有效使用设备做到执法全过程记录。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行政执法公开。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2023年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办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结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行政处罚案件7件，案件均在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自治县政府网站及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平台上及时公示。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在政府网站及时公开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行政执法主体和执法人员等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执法事项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信息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四是认真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开展案卷评查。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2023年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开展案卷评查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次，以规范执法文书制作为重点，精选案例材料，适时组织开展执法案例研讨和执法案卷评查活动，切实提高执法办案质量，不断提高行政执法的能力和水平。认真组织参加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自治县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司法部门开展的案卷评查活动，自觉接受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法治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监督。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五是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开展公平竞争审查工作。按照“谁制定、谁清理”原则，对出台的政策措施进行增量和存量的自查、排查，同时制定出台公平竞争审查制度，有效规范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文旅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局在涉及公平竞争政策措施的制定工作。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2023年，我局法治政府建设工作虽然取得一定成绩，但也存在不少薄弱环节。一是普法宣传方式创新不足。我局开展的普法活动宣传方式较为传统，与“两微一端”、短视频等新媒体的结合有待加强，普法宣传方式有待创新。二是专业队伍建设还不够完善。由于缺少法律专业人才，在一定程度上制约了规范化建设，机关干部职工的专业法律知识水平需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三、下一步工作计划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一是坚持局党组对法治政府建设工作的领导。主要负责人对法治政府建设工作亲自部署、亲自过问、亲自协调，把法治政府建设纳入局党组的重要工作，确保法治政府建设工作落实到位，充分发挥局党组对法治政府建设的领导核心作用，进一步健全局党组领导法治建设的体制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二是严格落实规范性文件制定程序。加强对《新疆维吾尔自治区行政规范性管理规定》的学习，提高规范性文件制定的质量，使规范性文件制定更加可行、合理。健全规范性文件动态清理工作机制，根据全面深化改革、全面依法治国要求和经济社会发展需要，以及上位法和上级文件制定、修改、废止情况，及时对行政规范性文件进行动态清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三是进一步完善依法决策机制，规范决策流程。系统梳理和完善以高质量发展为导向的文化产业政策，加强政策宣讲和市场评估，切实提高产业政策实施效果，推进行政决策科学化、民主化、法治化，使行政决策制度科学、程序正当、过程公开、责任明确，决策法定程序严格落实，决策质量显著提高，决策效率切实保证，违法决策、不当决策、拖延决策明显减少并得到及时纠正，行政决策公信力和执行力大幅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四是坚持严格规范公正文明执法。继续推进权责统一、纪律严明，工作高效的行政执法队伍建设，确保法律法规规章得到严格实施，各类违法行为得到及时查处，公民、法人和其他组织的合法权益得到切实保障，文化市场秩序得到有效维护，力争文旅体市场违法行为明显减少，文旅体市场行政执法的社会满意度显著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bookmarkStart w:id="0" w:name="_GoBack"/>
      <w:bookmarkEnd w:id="0"/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00000000"/>
    <w:rsid w:val="1162016C"/>
    <w:rsid w:val="1ECF5E4C"/>
    <w:rsid w:val="1FEE5FC9"/>
    <w:rsid w:val="2F6B63AA"/>
    <w:rsid w:val="40314657"/>
    <w:rsid w:val="40850A58"/>
    <w:rsid w:val="4D914673"/>
    <w:rsid w:val="51196321"/>
    <w:rsid w:val="53B060D0"/>
    <w:rsid w:val="64F91814"/>
    <w:rsid w:val="68657456"/>
    <w:rsid w:val="723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2024-02-22T04:12:00Z</dcterms:created>
  <dc:creator>Administrator</dc:creator>
  <cp:lastModifiedBy>Administrator</cp:lastModifiedBy>
  <dcterms:modified xsi:type="dcterms:W3CDTF">2024-02-29T05:11:36Z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452A9129727544058D7BBF56E6094ADC_12</vt:lpwstr>
  </property>
</Properties>
</file>