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巴音郭楞蒙古自治州焉耆回族自治县焉耆县水利局（本级）财政项目支出绩效自评报告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项目名称：大型灌渠项目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w:t>
      </w:r>
      <w:r>
        <w:rPr>
          <w:rFonts w:hAnsi="宋体" w:eastAsia="仿宋_GB2312" w:cs="宋体"/>
          <w:kern w:val="0"/>
          <w:sz w:val="36"/>
          <w:szCs w:val="36"/>
        </w:rPr>
        <w:t xml:space="preserve">  </w:t>
      </w:r>
      <w:r>
        <w:rPr>
          <w:rFonts w:hint="eastAsia" w:hAnsi="宋体" w:eastAsia="仿宋_GB2312" w:cs="宋体"/>
          <w:kern w:val="0"/>
          <w:sz w:val="36"/>
          <w:szCs w:val="36"/>
        </w:rPr>
        <w:t>焉耆县水利管理总站</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Ansi="宋体" w:eastAsia="仿宋_GB2312" w:cs="宋体"/>
          <w:kern w:val="0"/>
          <w:sz w:val="36"/>
          <w:szCs w:val="36"/>
        </w:rPr>
        <w:t xml:space="preserve">  </w:t>
      </w:r>
      <w:r>
        <w:rPr>
          <w:rFonts w:hint="eastAsia" w:hAnsi="宋体" w:eastAsia="仿宋_GB2312" w:cs="宋体"/>
          <w:kern w:val="0"/>
          <w:sz w:val="36"/>
          <w:szCs w:val="36"/>
        </w:rPr>
        <w:t>焉耆县水利局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项目负责人（签章）：张红雨</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w:t>
      </w:r>
      <w:r>
        <w:rPr>
          <w:rFonts w:hAnsi="宋体" w:eastAsia="仿宋_GB2312" w:cs="宋体"/>
          <w:kern w:val="0"/>
          <w:sz w:val="36"/>
          <w:szCs w:val="36"/>
        </w:rPr>
        <w:t xml:space="preserve"> </w:t>
      </w:r>
      <w:r>
        <w:rPr>
          <w:rFonts w:hint="eastAsia" w:hAnsi="宋体" w:eastAsia="仿宋_GB2312" w:cs="宋体"/>
          <w:kern w:val="0"/>
          <w:sz w:val="36"/>
          <w:szCs w:val="36"/>
        </w:rPr>
        <w:t>报</w:t>
      </w:r>
      <w:r>
        <w:rPr>
          <w:rFonts w:hAnsi="宋体" w:eastAsia="仿宋_GB2312" w:cs="宋体"/>
          <w:kern w:val="0"/>
          <w:sz w:val="36"/>
          <w:szCs w:val="36"/>
        </w:rPr>
        <w:t xml:space="preserve"> </w:t>
      </w:r>
      <w:r>
        <w:rPr>
          <w:rFonts w:hint="eastAsia" w:hAnsi="宋体" w:eastAsia="仿宋_GB2312" w:cs="宋体"/>
          <w:kern w:val="0"/>
          <w:sz w:val="36"/>
          <w:szCs w:val="36"/>
        </w:rPr>
        <w:t>时</w:t>
      </w:r>
      <w:r>
        <w:rPr>
          <w:rFonts w:hAnsi="宋体" w:eastAsia="仿宋_GB2312" w:cs="宋体"/>
          <w:kern w:val="0"/>
          <w:sz w:val="36"/>
          <w:szCs w:val="36"/>
        </w:rPr>
        <w:t xml:space="preserve"> </w:t>
      </w:r>
      <w:r>
        <w:rPr>
          <w:rFonts w:hint="eastAsia" w:hAnsi="宋体" w:eastAsia="仿宋_GB2312" w:cs="宋体"/>
          <w:kern w:val="0"/>
          <w:sz w:val="36"/>
          <w:szCs w:val="36"/>
        </w:rPr>
        <w:t>间：</w:t>
      </w:r>
      <w:r>
        <w:rPr>
          <w:rFonts w:hAnsi="宋体" w:eastAsia="仿宋_GB2312" w:cs="宋体"/>
          <w:kern w:val="0"/>
          <w:sz w:val="36"/>
          <w:szCs w:val="36"/>
        </w:rPr>
        <w:t xml:space="preserve"> 2018</w:t>
      </w:r>
      <w:r>
        <w:rPr>
          <w:rFonts w:hint="eastAsia" w:hAnsi="宋体" w:eastAsia="仿宋_GB2312" w:cs="宋体"/>
          <w:kern w:val="0"/>
          <w:sz w:val="36"/>
          <w:szCs w:val="36"/>
        </w:rPr>
        <w:t>年</w:t>
      </w:r>
      <w:r>
        <w:rPr>
          <w:rFonts w:hAnsi="宋体" w:eastAsia="仿宋_GB2312" w:cs="宋体"/>
          <w:kern w:val="0"/>
          <w:sz w:val="36"/>
          <w:szCs w:val="36"/>
        </w:rPr>
        <w:t>1</w:t>
      </w:r>
      <w:r>
        <w:rPr>
          <w:rFonts w:hint="eastAsia" w:hAnsi="宋体" w:eastAsia="仿宋_GB2312" w:cs="宋体"/>
          <w:kern w:val="0"/>
          <w:sz w:val="36"/>
          <w:szCs w:val="36"/>
        </w:rPr>
        <w:t>月</w:t>
      </w:r>
      <w:r>
        <w:rPr>
          <w:rFonts w:hAnsi="宋体" w:eastAsia="仿宋_GB2312" w:cs="宋体"/>
          <w:kern w:val="0"/>
          <w:sz w:val="36"/>
          <w:szCs w:val="36"/>
        </w:rPr>
        <w:t>14</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21"/>
          <w:rFonts w:ascii="黑体" w:hAnsi="黑体" w:eastAsia="黑体"/>
          <w:b w:val="0"/>
          <w:spacing w:val="-4"/>
          <w:sz w:val="32"/>
          <w:szCs w:val="32"/>
        </w:rPr>
      </w:pPr>
    </w:p>
    <w:p>
      <w:pPr>
        <w:spacing w:line="540" w:lineRule="exact"/>
        <w:ind w:firstLine="640"/>
        <w:rPr>
          <w:rStyle w:val="21"/>
          <w:rFonts w:ascii="黑体" w:hAnsi="黑体" w:eastAsia="黑体"/>
          <w:b w:val="0"/>
          <w:spacing w:val="-4"/>
          <w:sz w:val="32"/>
          <w:szCs w:val="32"/>
        </w:rPr>
      </w:pPr>
    </w:p>
    <w:p>
      <w:pPr>
        <w:spacing w:line="540" w:lineRule="exact"/>
        <w:ind w:firstLine="640"/>
        <w:rPr>
          <w:rStyle w:val="21"/>
          <w:rFonts w:ascii="黑体" w:hAnsi="黑体" w:eastAsia="黑体"/>
          <w:b w:val="0"/>
          <w:spacing w:val="-4"/>
          <w:sz w:val="32"/>
          <w:szCs w:val="32"/>
        </w:rPr>
      </w:pPr>
      <w:bookmarkStart w:id="0" w:name="_GoBack"/>
      <w:bookmarkEnd w:id="0"/>
      <w:r>
        <w:rPr>
          <w:rStyle w:val="21"/>
          <w:rFonts w:hint="eastAsia" w:ascii="黑体" w:hAnsi="黑体" w:eastAsia="黑体"/>
          <w:b w:val="0"/>
          <w:spacing w:val="-4"/>
          <w:sz w:val="32"/>
          <w:szCs w:val="32"/>
        </w:rPr>
        <w:t>一、项目概况</w:t>
      </w:r>
    </w:p>
    <w:p>
      <w:pPr>
        <w:spacing w:line="540" w:lineRule="exact"/>
        <w:ind w:firstLine="567"/>
        <w:rPr>
          <w:rStyle w:val="21"/>
          <w:rFonts w:ascii="楷体" w:hAnsi="楷体" w:eastAsia="楷体"/>
          <w:spacing w:val="-4"/>
          <w:sz w:val="32"/>
          <w:szCs w:val="32"/>
        </w:rPr>
      </w:pPr>
      <w:r>
        <w:rPr>
          <w:rStyle w:val="21"/>
          <w:rFonts w:hint="eastAsia" w:ascii="楷体" w:hAnsi="楷体" w:eastAsia="楷体"/>
          <w:spacing w:val="-4"/>
          <w:sz w:val="32"/>
          <w:szCs w:val="32"/>
        </w:rPr>
        <w:t>（一）项目单位基本情况</w:t>
      </w:r>
    </w:p>
    <w:p>
      <w:pPr>
        <w:ind w:firstLine="640" w:firstLineChars="200"/>
        <w:rPr>
          <w:color w:val="000000"/>
          <w:sz w:val="32"/>
          <w:szCs w:val="32"/>
        </w:rPr>
      </w:pPr>
      <w:r>
        <w:rPr>
          <w:rFonts w:hint="eastAsia"/>
          <w:sz w:val="32"/>
          <w:szCs w:val="32"/>
        </w:rPr>
        <w:t>本项目由焉耆县水管总站负责建设，具有独立的法人资格，是该项目的管理机构主体。对项目的建设全过程实施管理，实行责、权、利统一，以确保项目的顺利实施，工程质量、投资额度、按时开竣工以及运行管理、经济效益等按规划设计目标实现。</w:t>
      </w:r>
    </w:p>
    <w:p>
      <w:pPr>
        <w:spacing w:line="540" w:lineRule="exact"/>
        <w:ind w:firstLine="567" w:firstLineChars="181"/>
        <w:rPr>
          <w:rStyle w:val="21"/>
          <w:rFonts w:ascii="楷体" w:hAnsi="楷体" w:eastAsia="楷体"/>
          <w:spacing w:val="-4"/>
          <w:sz w:val="32"/>
          <w:szCs w:val="32"/>
        </w:rPr>
      </w:pPr>
      <w:r>
        <w:rPr>
          <w:rStyle w:val="21"/>
          <w:rFonts w:hint="eastAsia" w:ascii="楷体" w:hAnsi="楷体" w:eastAsia="楷体"/>
          <w:spacing w:val="-4"/>
          <w:sz w:val="32"/>
          <w:szCs w:val="32"/>
        </w:rPr>
        <w:t>（二）项目预算绩效目标设定情况</w:t>
      </w:r>
    </w:p>
    <w:p>
      <w:pPr>
        <w:spacing w:line="540" w:lineRule="exact"/>
        <w:ind w:firstLine="640"/>
        <w:rPr>
          <w:rFonts w:ascii="仿宋_GB2312" w:hAnsi="仿宋_GB2312" w:eastAsia="仿宋_GB2312" w:cs="仿宋_GB2312"/>
          <w:sz w:val="30"/>
          <w:szCs w:val="30"/>
        </w:rPr>
      </w:pPr>
      <w:r>
        <w:rPr>
          <w:rFonts w:ascii="仿宋_GB2312" w:hAnsi="仿宋_GB2312" w:eastAsia="仿宋_GB2312" w:cs="仿宋_GB2312"/>
          <w:sz w:val="30"/>
          <w:szCs w:val="30"/>
        </w:rPr>
        <w:t>2017</w:t>
      </w:r>
      <w:r>
        <w:rPr>
          <w:rFonts w:hint="eastAsia" w:ascii="仿宋_GB2312" w:hAnsi="仿宋_GB2312" w:eastAsia="仿宋_GB2312" w:cs="仿宋_GB2312"/>
          <w:sz w:val="30"/>
          <w:szCs w:val="30"/>
        </w:rPr>
        <w:t>年度主要建设内容为防渗改造五条支渠</w:t>
      </w:r>
      <w:r>
        <w:rPr>
          <w:rFonts w:ascii="仿宋_GB2312" w:hAnsi="仿宋_GB2312" w:eastAsia="仿宋_GB2312" w:cs="仿宋_GB2312"/>
          <w:sz w:val="30"/>
          <w:szCs w:val="30"/>
        </w:rPr>
        <w:t>26.649km</w:t>
      </w:r>
      <w:r>
        <w:rPr>
          <w:rFonts w:hint="eastAsia" w:ascii="仿宋_GB2312" w:hAnsi="仿宋_GB2312" w:eastAsia="仿宋_GB2312" w:cs="仿宋_GB2312"/>
          <w:sz w:val="30"/>
          <w:szCs w:val="30"/>
        </w:rPr>
        <w:t>及配套建筑</w:t>
      </w:r>
      <w:r>
        <w:rPr>
          <w:rFonts w:ascii="仿宋_GB2312" w:hAnsi="仿宋_GB2312" w:eastAsia="仿宋_GB2312" w:cs="仿宋_GB2312"/>
          <w:sz w:val="30"/>
          <w:szCs w:val="30"/>
        </w:rPr>
        <w:t>132</w:t>
      </w:r>
      <w:r>
        <w:rPr>
          <w:rFonts w:hint="eastAsia" w:ascii="仿宋_GB2312" w:hAnsi="仿宋_GB2312" w:eastAsia="仿宋_GB2312" w:cs="仿宋_GB2312"/>
          <w:sz w:val="30"/>
          <w:szCs w:val="30"/>
        </w:rPr>
        <w:t>座。其中开来渠二支渠</w:t>
      </w:r>
      <w:r>
        <w:rPr>
          <w:rFonts w:ascii="仿宋_GB2312" w:hAnsi="仿宋_GB2312" w:eastAsia="仿宋_GB2312" w:cs="仿宋_GB2312"/>
          <w:sz w:val="30"/>
          <w:szCs w:val="30"/>
        </w:rPr>
        <w:t>2.56</w:t>
      </w:r>
      <w:r>
        <w:rPr>
          <w:rFonts w:hint="eastAsia" w:ascii="仿宋_GB2312" w:hAnsi="仿宋_GB2312" w:eastAsia="仿宋_GB2312" w:cs="仿宋_GB2312"/>
          <w:sz w:val="30"/>
          <w:szCs w:val="30"/>
        </w:rPr>
        <w:t>公里（桩号</w:t>
      </w:r>
      <w:r>
        <w:rPr>
          <w:rFonts w:ascii="仿宋_GB2312" w:hAnsi="仿宋_GB2312" w:eastAsia="仿宋_GB2312" w:cs="仿宋_GB2312"/>
          <w:sz w:val="30"/>
          <w:szCs w:val="30"/>
        </w:rPr>
        <w:t>0+000-2+560</w:t>
      </w:r>
      <w:r>
        <w:rPr>
          <w:rFonts w:hint="eastAsia" w:ascii="仿宋_GB2312" w:hAnsi="仿宋_GB2312" w:eastAsia="仿宋_GB2312" w:cs="仿宋_GB2312"/>
          <w:sz w:val="30"/>
          <w:szCs w:val="30"/>
        </w:rPr>
        <w:t>）、三支渠</w:t>
      </w:r>
      <w:r>
        <w:rPr>
          <w:rFonts w:ascii="仿宋_GB2312" w:hAnsi="仿宋_GB2312" w:eastAsia="仿宋_GB2312" w:cs="仿宋_GB2312"/>
          <w:sz w:val="30"/>
          <w:szCs w:val="30"/>
        </w:rPr>
        <w:t>4.118</w:t>
      </w:r>
      <w:r>
        <w:rPr>
          <w:rFonts w:hint="eastAsia" w:ascii="仿宋_GB2312" w:hAnsi="仿宋_GB2312" w:eastAsia="仿宋_GB2312" w:cs="仿宋_GB2312"/>
          <w:sz w:val="30"/>
          <w:szCs w:val="30"/>
        </w:rPr>
        <w:t>公里（桩号</w:t>
      </w:r>
      <w:r>
        <w:rPr>
          <w:rFonts w:ascii="仿宋_GB2312" w:hAnsi="仿宋_GB2312" w:eastAsia="仿宋_GB2312" w:cs="仿宋_GB2312"/>
          <w:sz w:val="30"/>
          <w:szCs w:val="30"/>
        </w:rPr>
        <w:t>0+000-4+118</w:t>
      </w:r>
      <w:r>
        <w:rPr>
          <w:rFonts w:hint="eastAsia" w:ascii="仿宋_GB2312" w:hAnsi="仿宋_GB2312" w:eastAsia="仿宋_GB2312" w:cs="仿宋_GB2312"/>
          <w:sz w:val="30"/>
          <w:szCs w:val="30"/>
        </w:rPr>
        <w:t>）、开来提支渠</w:t>
      </w:r>
      <w:r>
        <w:rPr>
          <w:rFonts w:ascii="仿宋_GB2312" w:hAnsi="仿宋_GB2312" w:eastAsia="仿宋_GB2312" w:cs="仿宋_GB2312"/>
          <w:sz w:val="30"/>
          <w:szCs w:val="30"/>
        </w:rPr>
        <w:t>5.87</w:t>
      </w:r>
      <w:r>
        <w:rPr>
          <w:rFonts w:hint="eastAsia" w:ascii="仿宋_GB2312" w:hAnsi="仿宋_GB2312" w:eastAsia="仿宋_GB2312" w:cs="仿宋_GB2312"/>
          <w:sz w:val="30"/>
          <w:szCs w:val="30"/>
        </w:rPr>
        <w:t>公里（桩号</w:t>
      </w:r>
      <w:r>
        <w:rPr>
          <w:rFonts w:ascii="仿宋_GB2312" w:hAnsi="仿宋_GB2312" w:eastAsia="仿宋_GB2312" w:cs="仿宋_GB2312"/>
          <w:sz w:val="30"/>
          <w:szCs w:val="30"/>
        </w:rPr>
        <w:t>0+000-5+870</w:t>
      </w:r>
      <w:r>
        <w:rPr>
          <w:rFonts w:hint="eastAsia" w:ascii="仿宋_GB2312" w:hAnsi="仿宋_GB2312" w:eastAsia="仿宋_GB2312" w:cs="仿宋_GB2312"/>
          <w:sz w:val="30"/>
          <w:szCs w:val="30"/>
        </w:rPr>
        <w:t>）、岱尔斯支渠</w:t>
      </w:r>
      <w:r>
        <w:rPr>
          <w:rFonts w:ascii="仿宋_GB2312" w:hAnsi="仿宋_GB2312" w:eastAsia="仿宋_GB2312" w:cs="仿宋_GB2312"/>
          <w:sz w:val="30"/>
          <w:szCs w:val="30"/>
        </w:rPr>
        <w:t>9.304</w:t>
      </w:r>
      <w:r>
        <w:rPr>
          <w:rFonts w:hint="eastAsia" w:ascii="仿宋_GB2312" w:hAnsi="仿宋_GB2312" w:eastAsia="仿宋_GB2312" w:cs="仿宋_GB2312"/>
          <w:sz w:val="30"/>
          <w:szCs w:val="30"/>
        </w:rPr>
        <w:t>公里（桩号</w:t>
      </w:r>
      <w:r>
        <w:rPr>
          <w:rFonts w:ascii="仿宋_GB2312" w:hAnsi="仿宋_GB2312" w:eastAsia="仿宋_GB2312" w:cs="仿宋_GB2312"/>
          <w:sz w:val="30"/>
          <w:szCs w:val="30"/>
        </w:rPr>
        <w:t>0+000-9+304</w:t>
      </w:r>
      <w:r>
        <w:rPr>
          <w:rFonts w:hint="eastAsia" w:ascii="仿宋_GB2312" w:hAnsi="仿宋_GB2312" w:eastAsia="仿宋_GB2312" w:cs="仿宋_GB2312"/>
          <w:sz w:val="30"/>
          <w:szCs w:val="30"/>
        </w:rPr>
        <w:t>）、包尔海支渠</w:t>
      </w:r>
      <w:r>
        <w:rPr>
          <w:rFonts w:ascii="仿宋_GB2312" w:hAnsi="仿宋_GB2312" w:eastAsia="仿宋_GB2312" w:cs="仿宋_GB2312"/>
          <w:sz w:val="30"/>
          <w:szCs w:val="30"/>
        </w:rPr>
        <w:t>4.797</w:t>
      </w:r>
      <w:r>
        <w:rPr>
          <w:rFonts w:hint="eastAsia" w:ascii="仿宋_GB2312" w:hAnsi="仿宋_GB2312" w:eastAsia="仿宋_GB2312" w:cs="仿宋_GB2312"/>
          <w:sz w:val="30"/>
          <w:szCs w:val="30"/>
        </w:rPr>
        <w:t>公里（桩号</w:t>
      </w:r>
      <w:r>
        <w:rPr>
          <w:rFonts w:ascii="仿宋_GB2312" w:hAnsi="仿宋_GB2312" w:eastAsia="仿宋_GB2312" w:cs="仿宋_GB2312"/>
          <w:sz w:val="30"/>
          <w:szCs w:val="30"/>
        </w:rPr>
        <w:t>8+434-13+231</w:t>
      </w:r>
      <w:r>
        <w:rPr>
          <w:rFonts w:hint="eastAsia" w:ascii="仿宋_GB2312" w:hAnsi="仿宋_GB2312" w:eastAsia="仿宋_GB2312" w:cs="仿宋_GB2312"/>
          <w:sz w:val="30"/>
          <w:szCs w:val="30"/>
        </w:rPr>
        <w:t>）。</w:t>
      </w:r>
    </w:p>
    <w:p>
      <w:pPr>
        <w:spacing w:line="540" w:lineRule="exact"/>
        <w:ind w:firstLine="640"/>
        <w:rPr>
          <w:rStyle w:val="21"/>
          <w:rFonts w:ascii="黑体" w:hAnsi="黑体" w:eastAsia="黑体"/>
          <w:b w:val="0"/>
          <w:spacing w:val="-4"/>
          <w:sz w:val="32"/>
          <w:szCs w:val="32"/>
        </w:rPr>
      </w:pPr>
      <w:r>
        <w:rPr>
          <w:rStyle w:val="21"/>
          <w:rFonts w:hint="eastAsia" w:ascii="黑体" w:hAnsi="黑体" w:eastAsia="黑体"/>
          <w:b w:val="0"/>
          <w:spacing w:val="-4"/>
          <w:sz w:val="32"/>
          <w:szCs w:val="32"/>
        </w:rPr>
        <w:t>二、项目资金使用及管理情况</w:t>
      </w:r>
    </w:p>
    <w:p>
      <w:pPr>
        <w:spacing w:line="540" w:lineRule="exact"/>
        <w:ind w:firstLine="567" w:firstLineChars="181"/>
        <w:rPr>
          <w:rStyle w:val="21"/>
          <w:rFonts w:ascii="楷体" w:hAnsi="楷体" w:eastAsia="楷体"/>
          <w:spacing w:val="-4"/>
          <w:sz w:val="32"/>
          <w:szCs w:val="32"/>
        </w:rPr>
      </w:pPr>
      <w:r>
        <w:rPr>
          <w:rStyle w:val="21"/>
          <w:rFonts w:hint="eastAsia" w:ascii="楷体" w:hAnsi="楷体" w:eastAsia="楷体"/>
          <w:spacing w:val="-4"/>
          <w:sz w:val="32"/>
          <w:szCs w:val="32"/>
        </w:rPr>
        <w:t>（一）项目资金安排落实、总投入等情况分析</w:t>
      </w:r>
    </w:p>
    <w:p>
      <w:pPr>
        <w:spacing w:line="540" w:lineRule="exact"/>
        <w:ind w:firstLine="600" w:firstLineChars="200"/>
        <w:rPr>
          <w:rStyle w:val="21"/>
          <w:rFonts w:ascii="仿宋" w:hAnsi="仿宋" w:eastAsia="仿宋"/>
          <w:b w:val="0"/>
          <w:spacing w:val="-4"/>
          <w:sz w:val="32"/>
          <w:szCs w:val="32"/>
        </w:rPr>
      </w:pPr>
      <w:r>
        <w:rPr>
          <w:rFonts w:hint="eastAsia" w:ascii="仿宋_GB2312" w:hAnsi="仿宋_GB2312" w:eastAsia="仿宋_GB2312" w:cs="仿宋_GB2312"/>
          <w:sz w:val="30"/>
          <w:szCs w:val="30"/>
        </w:rPr>
        <w:t>工程总投资</w:t>
      </w:r>
      <w:r>
        <w:rPr>
          <w:rFonts w:ascii="仿宋_GB2312" w:hAnsi="仿宋_GB2312" w:eastAsia="仿宋_GB2312" w:cs="仿宋_GB2312"/>
          <w:sz w:val="30"/>
          <w:szCs w:val="30"/>
        </w:rPr>
        <w:t>5144.54</w:t>
      </w:r>
      <w:r>
        <w:rPr>
          <w:rFonts w:hint="eastAsia" w:ascii="仿宋_GB2312" w:hAnsi="仿宋_GB2312" w:eastAsia="仿宋_GB2312" w:cs="仿宋_GB2312"/>
          <w:sz w:val="30"/>
          <w:szCs w:val="30"/>
        </w:rPr>
        <w:t>万元，其中中央投资</w:t>
      </w:r>
      <w:r>
        <w:rPr>
          <w:rFonts w:ascii="仿宋_GB2312" w:hAnsi="仿宋_GB2312" w:eastAsia="仿宋_GB2312" w:cs="仿宋_GB2312"/>
          <w:sz w:val="30"/>
          <w:szCs w:val="30"/>
        </w:rPr>
        <w:t>4116</w:t>
      </w:r>
      <w:r>
        <w:rPr>
          <w:rFonts w:hint="eastAsia" w:ascii="仿宋_GB2312" w:hAnsi="仿宋_GB2312" w:eastAsia="仿宋_GB2312" w:cs="仿宋_GB2312"/>
          <w:sz w:val="30"/>
          <w:szCs w:val="30"/>
        </w:rPr>
        <w:t>万元。</w:t>
      </w:r>
    </w:p>
    <w:p>
      <w:pPr>
        <w:spacing w:line="540" w:lineRule="exact"/>
        <w:ind w:firstLine="567" w:firstLineChars="181"/>
        <w:rPr>
          <w:rStyle w:val="21"/>
          <w:rFonts w:ascii="楷体" w:hAnsi="楷体" w:eastAsia="楷体"/>
          <w:spacing w:val="-4"/>
          <w:sz w:val="32"/>
          <w:szCs w:val="32"/>
        </w:rPr>
      </w:pPr>
      <w:r>
        <w:rPr>
          <w:rStyle w:val="21"/>
          <w:rFonts w:hint="eastAsia" w:ascii="楷体" w:hAnsi="楷体" w:eastAsia="楷体"/>
          <w:spacing w:val="-4"/>
          <w:sz w:val="32"/>
          <w:szCs w:val="32"/>
        </w:rPr>
        <w:t>（二）项目资金实际使用情况分析</w:t>
      </w:r>
    </w:p>
    <w:p>
      <w:pPr>
        <w:ind w:firstLine="600" w:firstLineChars="200"/>
        <w:rPr>
          <w:rStyle w:val="21"/>
          <w:rFonts w:ascii="仿宋" w:hAnsi="仿宋" w:eastAsia="仿宋"/>
          <w:b w:val="0"/>
          <w:spacing w:val="-4"/>
          <w:sz w:val="32"/>
          <w:szCs w:val="32"/>
        </w:rPr>
      </w:pPr>
      <w:r>
        <w:rPr>
          <w:rFonts w:hint="eastAsia" w:ascii="仿宋_GB2312" w:hAnsi="仿宋_GB2312" w:eastAsia="仿宋_GB2312" w:cs="仿宋_GB2312"/>
          <w:sz w:val="30"/>
          <w:szCs w:val="30"/>
        </w:rPr>
        <w:t>工程于</w:t>
      </w:r>
      <w:r>
        <w:rPr>
          <w:rFonts w:ascii="仿宋_GB2312" w:hAnsi="仿宋_GB2312" w:eastAsia="仿宋_GB2312" w:cs="仿宋_GB2312"/>
          <w:sz w:val="30"/>
          <w:szCs w:val="30"/>
        </w:rPr>
        <w:t>2017</w:t>
      </w:r>
      <w:r>
        <w:rPr>
          <w:rFonts w:hint="eastAsia" w:ascii="仿宋_GB2312" w:hAnsi="仿宋_GB2312" w:eastAsia="仿宋_GB2312" w:cs="仿宋_GB2312"/>
          <w:sz w:val="30"/>
          <w:szCs w:val="30"/>
        </w:rPr>
        <w:t>年</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月</w:t>
      </w:r>
      <w:r>
        <w:rPr>
          <w:rFonts w:ascii="仿宋_GB2312" w:hAnsi="仿宋_GB2312" w:eastAsia="仿宋_GB2312" w:cs="仿宋_GB2312"/>
          <w:sz w:val="30"/>
          <w:szCs w:val="30"/>
        </w:rPr>
        <w:t>20</w:t>
      </w:r>
      <w:r>
        <w:rPr>
          <w:rFonts w:hint="eastAsia" w:ascii="仿宋_GB2312" w:hAnsi="仿宋_GB2312" w:eastAsia="仿宋_GB2312" w:cs="仿宋_GB2312"/>
          <w:sz w:val="30"/>
          <w:szCs w:val="30"/>
        </w:rPr>
        <w:t>日开工建设，</w:t>
      </w:r>
      <w:r>
        <w:rPr>
          <w:rFonts w:ascii="仿宋_GB2312" w:hAnsi="仿宋_GB2312" w:eastAsia="仿宋_GB2312" w:cs="仿宋_GB2312"/>
          <w:sz w:val="30"/>
          <w:szCs w:val="30"/>
        </w:rPr>
        <w:t>2017</w:t>
      </w:r>
      <w:r>
        <w:rPr>
          <w:rFonts w:hint="eastAsia" w:ascii="仿宋_GB2312" w:hAnsi="仿宋_GB2312" w:eastAsia="仿宋_GB2312" w:cs="仿宋_GB2312"/>
          <w:sz w:val="30"/>
          <w:szCs w:val="30"/>
        </w:rPr>
        <w:t>年</w:t>
      </w:r>
      <w:r>
        <w:rPr>
          <w:rFonts w:ascii="仿宋_GB2312" w:hAnsi="仿宋_GB2312" w:eastAsia="仿宋_GB2312" w:cs="仿宋_GB2312"/>
          <w:sz w:val="30"/>
          <w:szCs w:val="30"/>
        </w:rPr>
        <w:t>10</w:t>
      </w:r>
      <w:r>
        <w:rPr>
          <w:rFonts w:hint="eastAsia" w:ascii="仿宋_GB2312" w:hAnsi="仿宋_GB2312" w:eastAsia="仿宋_GB2312" w:cs="仿宋_GB2312"/>
          <w:sz w:val="30"/>
          <w:szCs w:val="30"/>
        </w:rPr>
        <w:t>月底完工，</w:t>
      </w:r>
      <w:r>
        <w:rPr>
          <w:rFonts w:hint="eastAsia" w:ascii="仿宋" w:hAnsi="仿宋" w:eastAsia="仿宋" w:cs="仿宋"/>
          <w:sz w:val="32"/>
          <w:szCs w:val="32"/>
        </w:rPr>
        <w:t>资金于</w:t>
      </w:r>
      <w:r>
        <w:rPr>
          <w:rFonts w:ascii="仿宋_GB2312" w:hAnsi="仿宋_GB2312" w:eastAsia="仿宋_GB2312" w:cs="仿宋_GB2312"/>
          <w:sz w:val="30"/>
          <w:szCs w:val="30"/>
        </w:rPr>
        <w:t>2017</w:t>
      </w:r>
      <w:r>
        <w:rPr>
          <w:rFonts w:hint="eastAsia" w:ascii="仿宋_GB2312" w:hAnsi="仿宋_GB2312" w:eastAsia="仿宋_GB2312" w:cs="仿宋_GB2312"/>
          <w:sz w:val="30"/>
          <w:szCs w:val="30"/>
        </w:rPr>
        <w:t>年</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月</w:t>
      </w:r>
      <w:r>
        <w:rPr>
          <w:rFonts w:ascii="仿宋_GB2312" w:hAnsi="仿宋_GB2312" w:eastAsia="仿宋_GB2312" w:cs="仿宋_GB2312"/>
          <w:sz w:val="30"/>
          <w:szCs w:val="30"/>
        </w:rPr>
        <w:t>17</w:t>
      </w:r>
      <w:r>
        <w:rPr>
          <w:rFonts w:hint="eastAsia" w:ascii="仿宋_GB2312" w:hAnsi="仿宋_GB2312" w:eastAsia="仿宋_GB2312" w:cs="仿宋_GB2312"/>
          <w:sz w:val="30"/>
          <w:szCs w:val="30"/>
        </w:rPr>
        <w:t>日经巴州财政局《关于下达</w:t>
      </w:r>
      <w:r>
        <w:rPr>
          <w:rFonts w:ascii="仿宋_GB2312" w:hAnsi="仿宋_GB2312" w:eastAsia="仿宋_GB2312" w:cs="仿宋_GB2312"/>
          <w:sz w:val="30"/>
          <w:szCs w:val="30"/>
        </w:rPr>
        <w:t>2017</w:t>
      </w:r>
      <w:r>
        <w:rPr>
          <w:rFonts w:hint="eastAsia" w:ascii="仿宋_GB2312" w:hAnsi="仿宋_GB2312" w:eastAsia="仿宋_GB2312" w:cs="仿宋_GB2312"/>
          <w:sz w:val="30"/>
          <w:szCs w:val="30"/>
        </w:rPr>
        <w:t>年重大水利工程第三批中央基建投资预算（拨款）的通知》（巴财建</w:t>
      </w:r>
      <w:r>
        <w:rPr>
          <w:rFonts w:ascii="仿宋_GB2312" w:hAnsi="仿宋_GB2312" w:eastAsia="仿宋_GB2312" w:cs="仿宋_GB2312"/>
          <w:sz w:val="30"/>
          <w:szCs w:val="30"/>
        </w:rPr>
        <w:t>[2017]95</w:t>
      </w:r>
      <w:r>
        <w:rPr>
          <w:rFonts w:hint="eastAsia" w:ascii="仿宋_GB2312" w:hAnsi="仿宋_GB2312" w:eastAsia="仿宋_GB2312" w:cs="仿宋_GB2312"/>
          <w:sz w:val="30"/>
          <w:szCs w:val="30"/>
        </w:rPr>
        <w:t>号）文拨付中央预算内资金</w:t>
      </w:r>
      <w:r>
        <w:rPr>
          <w:rFonts w:ascii="仿宋_GB2312" w:hAnsi="仿宋_GB2312" w:eastAsia="仿宋_GB2312" w:cs="仿宋_GB2312"/>
          <w:sz w:val="30"/>
          <w:szCs w:val="30"/>
        </w:rPr>
        <w:t>4116</w:t>
      </w:r>
      <w:r>
        <w:rPr>
          <w:rFonts w:hint="eastAsia" w:ascii="仿宋_GB2312" w:hAnsi="仿宋_GB2312" w:eastAsia="仿宋_GB2312" w:cs="仿宋_GB2312"/>
          <w:sz w:val="30"/>
          <w:szCs w:val="30"/>
        </w:rPr>
        <w:t>万元，实际支付</w:t>
      </w:r>
      <w:r>
        <w:rPr>
          <w:rFonts w:ascii="仿宋_GB2312" w:hAnsi="仿宋_GB2312" w:eastAsia="仿宋_GB2312" w:cs="仿宋_GB2312"/>
          <w:sz w:val="30"/>
          <w:szCs w:val="30"/>
        </w:rPr>
        <w:t>1654.15</w:t>
      </w:r>
      <w:r>
        <w:rPr>
          <w:rFonts w:hint="eastAsia" w:ascii="仿宋_GB2312" w:hAnsi="仿宋_GB2312" w:eastAsia="仿宋_GB2312" w:cs="仿宋_GB2312"/>
          <w:sz w:val="30"/>
          <w:szCs w:val="30"/>
        </w:rPr>
        <w:t>万元。</w:t>
      </w:r>
    </w:p>
    <w:p>
      <w:pPr>
        <w:spacing w:line="540" w:lineRule="exact"/>
        <w:ind w:firstLine="567" w:firstLineChars="181"/>
        <w:rPr>
          <w:rStyle w:val="21"/>
          <w:rFonts w:ascii="楷体" w:hAnsi="楷体" w:eastAsia="楷体"/>
          <w:spacing w:val="-4"/>
          <w:sz w:val="32"/>
          <w:szCs w:val="32"/>
        </w:rPr>
      </w:pPr>
      <w:r>
        <w:rPr>
          <w:rStyle w:val="21"/>
          <w:rFonts w:hint="eastAsia" w:ascii="楷体" w:hAnsi="楷体" w:eastAsia="楷体"/>
          <w:spacing w:val="-4"/>
          <w:sz w:val="32"/>
          <w:szCs w:val="32"/>
        </w:rPr>
        <w:t>（三）项目资金管理情况分析</w:t>
      </w:r>
    </w:p>
    <w:p>
      <w:pPr>
        <w:ind w:firstLine="640" w:firstLineChars="200"/>
      </w:pPr>
      <w:r>
        <w:rPr>
          <w:rFonts w:hint="eastAsia"/>
          <w:sz w:val="32"/>
          <w:szCs w:val="32"/>
        </w:rPr>
        <w:t>所有水利专项资金均拔入到水利局在焉耆县国库集中支付核算中心所设立的专户，专户专账管理，严格按照《中央财政水利发展资金管理办法》，实行专款专用。资金拨付以国库集中支付和报账制为主。按照《施工合同》要求，工程款支付严格实行报账制，首先根据施工单位上报工程月报进度表，经监理工程师及项目负责人核定后，按三方共同确认的工程量作为月结算工程量，由监理单位出具工程款支付证书，同意支付工程款，施工单位再向项目法人提出工程建设资金拨付申请和工程价款和月结算单，经工程管理部门、财务部门、业务主管领导、法定代表人等签字确认，并由县分管领导签字批准，财务室方可支付工程进度款。</w:t>
      </w:r>
    </w:p>
    <w:p>
      <w:pPr>
        <w:spacing w:line="540" w:lineRule="exact"/>
        <w:ind w:firstLine="640"/>
        <w:rPr>
          <w:rStyle w:val="21"/>
          <w:rFonts w:ascii="黑体" w:hAnsi="黑体" w:eastAsia="黑体"/>
          <w:b w:val="0"/>
          <w:spacing w:val="-4"/>
          <w:sz w:val="32"/>
          <w:szCs w:val="32"/>
        </w:rPr>
      </w:pPr>
      <w:r>
        <w:rPr>
          <w:rStyle w:val="21"/>
          <w:rFonts w:hint="eastAsia" w:ascii="黑体" w:hAnsi="黑体" w:eastAsia="黑体"/>
          <w:b w:val="0"/>
          <w:spacing w:val="-4"/>
          <w:sz w:val="32"/>
          <w:szCs w:val="32"/>
        </w:rPr>
        <w:t>三、项目组织实施情况</w:t>
      </w:r>
    </w:p>
    <w:p>
      <w:pPr>
        <w:spacing w:line="540" w:lineRule="exact"/>
        <w:ind w:firstLine="567" w:firstLineChars="181"/>
        <w:rPr>
          <w:rStyle w:val="21"/>
          <w:rFonts w:ascii="楷体" w:hAnsi="楷体" w:eastAsia="楷体"/>
          <w:spacing w:val="-4"/>
          <w:sz w:val="32"/>
          <w:szCs w:val="32"/>
        </w:rPr>
      </w:pPr>
      <w:r>
        <w:rPr>
          <w:rStyle w:val="21"/>
          <w:rFonts w:hint="eastAsia" w:ascii="楷体" w:hAnsi="楷体" w:eastAsia="楷体"/>
          <w:spacing w:val="-4"/>
          <w:sz w:val="32"/>
          <w:szCs w:val="32"/>
        </w:rPr>
        <w:t>（一）项目组织情况分析</w:t>
      </w:r>
    </w:p>
    <w:p>
      <w:pPr>
        <w:ind w:firstLine="640" w:firstLineChars="200"/>
      </w:pPr>
      <w:r>
        <w:rPr>
          <w:rFonts w:hint="eastAsia" w:ascii="仿宋" w:hAnsi="仿宋" w:eastAsia="仿宋" w:cs="仿宋"/>
          <w:sz w:val="32"/>
          <w:szCs w:val="32"/>
        </w:rPr>
        <w:t>工程于</w:t>
      </w:r>
      <w:r>
        <w:rPr>
          <w:rFonts w:hint="eastAsia" w:ascii="仿宋_GB2312" w:hAnsi="仿宋_GB2312" w:eastAsia="仿宋_GB2312" w:cs="仿宋_GB2312"/>
          <w:sz w:val="30"/>
          <w:szCs w:val="30"/>
        </w:rPr>
        <w:t>工程于</w:t>
      </w:r>
      <w:r>
        <w:rPr>
          <w:rFonts w:ascii="仿宋_GB2312" w:hAnsi="仿宋_GB2312" w:eastAsia="仿宋_GB2312" w:cs="仿宋_GB2312"/>
          <w:sz w:val="30"/>
          <w:szCs w:val="30"/>
        </w:rPr>
        <w:t>2017</w:t>
      </w:r>
      <w:r>
        <w:rPr>
          <w:rFonts w:hint="eastAsia" w:ascii="仿宋_GB2312" w:hAnsi="仿宋_GB2312" w:eastAsia="仿宋_GB2312" w:cs="仿宋_GB2312"/>
          <w:sz w:val="30"/>
          <w:szCs w:val="30"/>
        </w:rPr>
        <w:t>年</w:t>
      </w:r>
      <w:r>
        <w:rPr>
          <w:rFonts w:ascii="仿宋_GB2312" w:hAnsi="仿宋_GB2312" w:eastAsia="仿宋_GB2312" w:cs="仿宋_GB2312"/>
          <w:sz w:val="30"/>
          <w:szCs w:val="30"/>
        </w:rPr>
        <w:t>6</w:t>
      </w:r>
      <w:r>
        <w:rPr>
          <w:rFonts w:hint="eastAsia" w:ascii="仿宋_GB2312" w:hAnsi="仿宋_GB2312" w:eastAsia="仿宋_GB2312" w:cs="仿宋_GB2312"/>
          <w:sz w:val="30"/>
          <w:szCs w:val="30"/>
        </w:rPr>
        <w:t>月</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日发布招标公告，</w:t>
      </w:r>
      <w:r>
        <w:rPr>
          <w:rFonts w:ascii="仿宋_GB2312" w:hAnsi="仿宋_GB2312" w:eastAsia="仿宋_GB2312" w:cs="仿宋_GB2312"/>
          <w:sz w:val="30"/>
          <w:szCs w:val="30"/>
        </w:rPr>
        <w:t>2017</w:t>
      </w:r>
      <w:r>
        <w:rPr>
          <w:rFonts w:hint="eastAsia" w:ascii="仿宋_GB2312" w:hAnsi="仿宋_GB2312" w:eastAsia="仿宋_GB2312" w:cs="仿宋_GB2312"/>
          <w:sz w:val="30"/>
          <w:szCs w:val="30"/>
        </w:rPr>
        <w:t>年</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月</w:t>
      </w:r>
      <w:r>
        <w:rPr>
          <w:rFonts w:ascii="仿宋_GB2312" w:hAnsi="仿宋_GB2312" w:eastAsia="仿宋_GB2312" w:cs="仿宋_GB2312"/>
          <w:sz w:val="30"/>
          <w:szCs w:val="30"/>
        </w:rPr>
        <w:t>6</w:t>
      </w:r>
      <w:r>
        <w:rPr>
          <w:rFonts w:hint="eastAsia" w:ascii="仿宋_GB2312" w:hAnsi="仿宋_GB2312" w:eastAsia="仿宋_GB2312" w:cs="仿宋_GB2312"/>
          <w:sz w:val="30"/>
          <w:szCs w:val="30"/>
        </w:rPr>
        <w:t>日开标，</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月</w:t>
      </w:r>
      <w:r>
        <w:rPr>
          <w:rFonts w:ascii="仿宋_GB2312" w:hAnsi="仿宋_GB2312" w:eastAsia="仿宋_GB2312" w:cs="仿宋_GB2312"/>
          <w:sz w:val="30"/>
          <w:szCs w:val="30"/>
        </w:rPr>
        <w:t>20</w:t>
      </w:r>
      <w:r>
        <w:rPr>
          <w:rFonts w:hint="eastAsia" w:ascii="仿宋_GB2312" w:hAnsi="仿宋_GB2312" w:eastAsia="仿宋_GB2312" w:cs="仿宋_GB2312"/>
          <w:sz w:val="30"/>
          <w:szCs w:val="30"/>
        </w:rPr>
        <w:t>日开工建设，</w:t>
      </w:r>
      <w:r>
        <w:rPr>
          <w:rFonts w:ascii="仿宋_GB2312" w:hAnsi="仿宋_GB2312" w:eastAsia="仿宋_GB2312" w:cs="仿宋_GB2312"/>
          <w:sz w:val="30"/>
          <w:szCs w:val="30"/>
        </w:rPr>
        <w:t>2017</w:t>
      </w:r>
      <w:r>
        <w:rPr>
          <w:rFonts w:hint="eastAsia" w:ascii="仿宋_GB2312" w:hAnsi="仿宋_GB2312" w:eastAsia="仿宋_GB2312" w:cs="仿宋_GB2312"/>
          <w:sz w:val="30"/>
          <w:szCs w:val="30"/>
        </w:rPr>
        <w:t>年</w:t>
      </w:r>
      <w:r>
        <w:rPr>
          <w:rFonts w:ascii="仿宋_GB2312" w:hAnsi="仿宋_GB2312" w:eastAsia="仿宋_GB2312" w:cs="仿宋_GB2312"/>
          <w:sz w:val="30"/>
          <w:szCs w:val="30"/>
        </w:rPr>
        <w:t>10</w:t>
      </w:r>
      <w:r>
        <w:rPr>
          <w:rFonts w:hint="eastAsia" w:ascii="仿宋_GB2312" w:hAnsi="仿宋_GB2312" w:eastAsia="仿宋_GB2312" w:cs="仿宋_GB2312"/>
          <w:sz w:val="30"/>
          <w:szCs w:val="30"/>
        </w:rPr>
        <w:t>月底完工，</w:t>
      </w:r>
      <w:r>
        <w:rPr>
          <w:rFonts w:hint="eastAsia" w:ascii="仿宋" w:hAnsi="仿宋" w:eastAsia="仿宋" w:cs="仿宋"/>
          <w:sz w:val="32"/>
          <w:szCs w:val="32"/>
        </w:rPr>
        <w:t>目前正在进行竣工决算工作。</w:t>
      </w:r>
    </w:p>
    <w:p>
      <w:pPr>
        <w:spacing w:line="540" w:lineRule="exact"/>
        <w:ind w:firstLine="567" w:firstLineChars="181"/>
        <w:rPr>
          <w:rStyle w:val="21"/>
          <w:rFonts w:ascii="楷体" w:hAnsi="楷体" w:eastAsia="楷体"/>
          <w:spacing w:val="-4"/>
          <w:sz w:val="32"/>
          <w:szCs w:val="32"/>
        </w:rPr>
      </w:pPr>
      <w:r>
        <w:rPr>
          <w:rStyle w:val="21"/>
          <w:rFonts w:hint="eastAsia" w:ascii="楷体" w:hAnsi="楷体" w:eastAsia="楷体"/>
          <w:spacing w:val="-4"/>
          <w:sz w:val="32"/>
          <w:szCs w:val="32"/>
        </w:rPr>
        <w:t>（二）项目管理情况分析</w:t>
      </w:r>
    </w:p>
    <w:p>
      <w:pPr>
        <w:ind w:firstLine="640" w:firstLineChars="200"/>
      </w:pPr>
      <w:r>
        <w:rPr>
          <w:rFonts w:hint="eastAsia" w:ascii="宋体" w:hAnsi="宋体" w:cs="宋体"/>
          <w:sz w:val="32"/>
          <w:szCs w:val="32"/>
        </w:rPr>
        <w:t>在项目建设实施中，我县严格项目建设程序，注重工程质量管理，认真履行“五制”制度。规范组建项目法人，明确项目法人、法人代表和项目技术负责人；严格执行建设项目招投标规定和程序，做到“公开、公平、公正”；认真履行质量监督、开工报批等建设程序；严格建设项目质量管理，形成巴州水利工程质量监督站监督、建设单位项目管理小组检查、监理单位现场控制、承建单位质量保证综合体系，确保工程质量合格；实行建设项目合同审查制度，建设合同由县法制办审查后，报分管领导审阅，由主管领导批准，建设单位与承建单位方可签订；项目建设完工后及时组织验收，认真履行质量监督意见书，建设单位、设计单位、监理单位、承建单位工作报告及工程、财务审计报告完备验收制度；对竣工验收工程及时进行产权移交，确保工程发挥效益。</w:t>
      </w:r>
    </w:p>
    <w:p>
      <w:pPr>
        <w:spacing w:line="540" w:lineRule="exact"/>
        <w:ind w:firstLine="640"/>
        <w:rPr>
          <w:rStyle w:val="21"/>
          <w:rFonts w:ascii="黑体" w:hAnsi="黑体" w:eastAsia="黑体"/>
        </w:rPr>
      </w:pPr>
      <w:r>
        <w:rPr>
          <w:rStyle w:val="21"/>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40" w:firstLineChars="200"/>
        <w:rPr>
          <w:rStyle w:val="21"/>
          <w:rFonts w:ascii="仿宋" w:hAnsi="仿宋" w:eastAsia="仿宋"/>
          <w:b w:val="0"/>
          <w:spacing w:val="-4"/>
          <w:sz w:val="32"/>
          <w:szCs w:val="32"/>
        </w:rPr>
      </w:pPr>
      <w:r>
        <w:rPr>
          <w:rFonts w:hint="eastAsia"/>
          <w:sz w:val="32"/>
          <w:szCs w:val="32"/>
        </w:rPr>
        <w:t>项目建设实施后减少了水渗漏损失，提高了项目区灌溉水利用系数、供水保证率和灌溉效率，输配水能力明显提升。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Style w:val="21"/>
          <w:rFonts w:ascii="黑体" w:hAnsi="黑体" w:eastAsia="黑体"/>
          <w:b w:val="0"/>
          <w:spacing w:val="-4"/>
          <w:sz w:val="32"/>
          <w:szCs w:val="32"/>
        </w:rPr>
      </w:pPr>
      <w:r>
        <w:rPr>
          <w:rStyle w:val="21"/>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楷体" w:hAnsi="楷体" w:eastAsia="楷体"/>
          <w:bCs/>
          <w:spacing w:val="-4"/>
          <w:sz w:val="32"/>
          <w:szCs w:val="32"/>
        </w:rPr>
      </w:pPr>
      <w:r>
        <w:rPr>
          <w:rFonts w:hint="eastAsia" w:ascii="楷体" w:hAnsi="楷体" w:eastAsia="楷体"/>
          <w:bCs/>
          <w:spacing w:val="-4"/>
          <w:sz w:val="32"/>
          <w:szCs w:val="32"/>
        </w:rPr>
        <w:t>完成项目验收工作。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firstLine="640" w:firstLineChars="200"/>
        <w:rPr>
          <w:sz w:val="32"/>
          <w:szCs w:val="32"/>
        </w:rPr>
      </w:pPr>
      <w:r>
        <w:rPr>
          <w:rFonts w:hint="eastAsia"/>
          <w:sz w:val="32"/>
          <w:szCs w:val="32"/>
        </w:rPr>
        <w:t>通过本次绩效自评，加强本项目的财政资金管理，强化各级财政、水利部门财政支出管理意识，提高各级财政资金使用效率，发现总结中央财政水利发展资金项目建设管理中的薄弱环节和成功经验，进一步提高建设管理水平。同时，通过绩效评价，切实增强各级党委、政府对焉耆县农田水利基本建设的重视程度，确保按照“规划统筹、政府主导、农民参与、社会共建”的原则，多渠道增加农村小型水利建设的投入，积极推进农村水利工程管护和运行机制改革，着力提升农村小型水利工程管护水平，充分发挥中央财政水利发展资金项目的聚合作用和放大效应，最终实现夯实农田水利基础、为社会经济发展提供可靠水利保障和支撑的目的。</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p>
    <w:p>
      <w:pPr>
        <w:spacing w:line="540" w:lineRule="exact"/>
        <w:ind w:firstLine="640"/>
        <w:rPr>
          <w:rStyle w:val="21"/>
          <w:rFonts w:ascii="黑体" w:hAnsi="黑体" w:eastAsia="黑体"/>
          <w:b w:val="0"/>
          <w:spacing w:val="-4"/>
          <w:sz w:val="32"/>
          <w:szCs w:val="32"/>
        </w:rPr>
      </w:pPr>
      <w:r>
        <w:rPr>
          <w:rStyle w:val="21"/>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lang w:val="zh-CN"/>
      </w:rPr>
      <w:t>6</w:t>
    </w:r>
    <w:r>
      <w:rPr>
        <w:lang w:val="zh-CN"/>
      </w:rPr>
      <w:fldChar w:fldCharType="end"/>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56465"/>
    <w:rsid w:val="000B41EA"/>
    <w:rsid w:val="000D1F50"/>
    <w:rsid w:val="00121AE4"/>
    <w:rsid w:val="00146AAD"/>
    <w:rsid w:val="001B3A40"/>
    <w:rsid w:val="00210806"/>
    <w:rsid w:val="002574E5"/>
    <w:rsid w:val="003908B7"/>
    <w:rsid w:val="003C4695"/>
    <w:rsid w:val="004366A8"/>
    <w:rsid w:val="00456B30"/>
    <w:rsid w:val="004E2A29"/>
    <w:rsid w:val="004F0238"/>
    <w:rsid w:val="00502BA7"/>
    <w:rsid w:val="005162F1"/>
    <w:rsid w:val="00535153"/>
    <w:rsid w:val="00554F82"/>
    <w:rsid w:val="0056390D"/>
    <w:rsid w:val="005719B0"/>
    <w:rsid w:val="005D10D6"/>
    <w:rsid w:val="00615812"/>
    <w:rsid w:val="00665A8A"/>
    <w:rsid w:val="006E6BB4"/>
    <w:rsid w:val="007F70F1"/>
    <w:rsid w:val="00855E3A"/>
    <w:rsid w:val="008D2875"/>
    <w:rsid w:val="00914F5D"/>
    <w:rsid w:val="00922CB9"/>
    <w:rsid w:val="00995041"/>
    <w:rsid w:val="009B7674"/>
    <w:rsid w:val="009E5CD9"/>
    <w:rsid w:val="00A26421"/>
    <w:rsid w:val="00A4293B"/>
    <w:rsid w:val="00A67D50"/>
    <w:rsid w:val="00A8691A"/>
    <w:rsid w:val="00A923F2"/>
    <w:rsid w:val="00AC1946"/>
    <w:rsid w:val="00AE3426"/>
    <w:rsid w:val="00AF77D3"/>
    <w:rsid w:val="00B1729A"/>
    <w:rsid w:val="00B30DD2"/>
    <w:rsid w:val="00B40063"/>
    <w:rsid w:val="00B41F61"/>
    <w:rsid w:val="00B91ECC"/>
    <w:rsid w:val="00BA46E6"/>
    <w:rsid w:val="00BA794D"/>
    <w:rsid w:val="00C56C72"/>
    <w:rsid w:val="00CA6457"/>
    <w:rsid w:val="00CE363B"/>
    <w:rsid w:val="00D16678"/>
    <w:rsid w:val="00D17F2E"/>
    <w:rsid w:val="00D30354"/>
    <w:rsid w:val="00D7257E"/>
    <w:rsid w:val="00DA05F4"/>
    <w:rsid w:val="00DE6482"/>
    <w:rsid w:val="00DF42A0"/>
    <w:rsid w:val="00E769FE"/>
    <w:rsid w:val="00EA2CBE"/>
    <w:rsid w:val="00F32FEE"/>
    <w:rsid w:val="00FB10BB"/>
    <w:rsid w:val="027D697D"/>
    <w:rsid w:val="22DE49B1"/>
    <w:rsid w:val="481317FD"/>
    <w:rsid w:val="7431486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99" w:semiHidden="0" w:name="toc 1"/>
    <w:lsdException w:unhideWhenUsed="0" w:uiPriority="99" w:semiHidden="0" w:name="toc 2"/>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iPriority="99" w:name="Body Text" w:locked="1"/>
    <w:lsdException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nhideWhenUsed="0" w:uiPriority="99" w:semiHidden="0" w:name="Body Text First Indent 2"/>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4"/>
    <w:qFormat/>
    <w:uiPriority w:val="99"/>
    <w:pPr>
      <w:keepNext/>
      <w:widowControl/>
      <w:spacing w:before="240" w:after="60"/>
      <w:jc w:val="left"/>
      <w:outlineLvl w:val="0"/>
    </w:pPr>
    <w:rPr>
      <w:rFonts w:ascii="Cambria" w:hAnsi="Cambria"/>
      <w:b/>
      <w:bCs/>
      <w:kern w:val="32"/>
      <w:sz w:val="32"/>
      <w:szCs w:val="32"/>
    </w:rPr>
  </w:style>
  <w:style w:type="paragraph" w:styleId="5">
    <w:name w:val="heading 2"/>
    <w:basedOn w:val="1"/>
    <w:next w:val="1"/>
    <w:link w:val="25"/>
    <w:qFormat/>
    <w:uiPriority w:val="99"/>
    <w:pPr>
      <w:keepNext/>
      <w:widowControl/>
      <w:spacing w:before="240" w:after="60"/>
      <w:jc w:val="left"/>
      <w:outlineLvl w:val="1"/>
    </w:pPr>
    <w:rPr>
      <w:rFonts w:ascii="Cambria" w:hAnsi="Cambria"/>
      <w:b/>
      <w:bCs/>
      <w:i/>
      <w:iCs/>
      <w:kern w:val="0"/>
      <w:sz w:val="28"/>
      <w:szCs w:val="28"/>
    </w:rPr>
  </w:style>
  <w:style w:type="paragraph" w:styleId="6">
    <w:name w:val="heading 3"/>
    <w:basedOn w:val="1"/>
    <w:next w:val="1"/>
    <w:link w:val="26"/>
    <w:qFormat/>
    <w:uiPriority w:val="99"/>
    <w:pPr>
      <w:keepNext/>
      <w:widowControl/>
      <w:spacing w:before="240" w:after="60"/>
      <w:jc w:val="left"/>
      <w:outlineLvl w:val="2"/>
    </w:pPr>
    <w:rPr>
      <w:rFonts w:ascii="Cambria" w:hAnsi="Cambria"/>
      <w:b/>
      <w:bCs/>
      <w:kern w:val="0"/>
      <w:sz w:val="26"/>
      <w:szCs w:val="26"/>
    </w:rPr>
  </w:style>
  <w:style w:type="paragraph" w:styleId="7">
    <w:name w:val="heading 4"/>
    <w:basedOn w:val="1"/>
    <w:next w:val="1"/>
    <w:link w:val="27"/>
    <w:qFormat/>
    <w:uiPriority w:val="99"/>
    <w:pPr>
      <w:keepNext/>
      <w:widowControl/>
      <w:spacing w:before="240" w:after="60"/>
      <w:jc w:val="left"/>
      <w:outlineLvl w:val="3"/>
    </w:pPr>
    <w:rPr>
      <w:rFonts w:ascii="Calibri" w:hAnsi="Calibri"/>
      <w:b/>
      <w:bCs/>
      <w:kern w:val="0"/>
      <w:sz w:val="28"/>
      <w:szCs w:val="28"/>
    </w:rPr>
  </w:style>
  <w:style w:type="paragraph" w:styleId="8">
    <w:name w:val="heading 5"/>
    <w:basedOn w:val="1"/>
    <w:next w:val="1"/>
    <w:link w:val="28"/>
    <w:qFormat/>
    <w:uiPriority w:val="99"/>
    <w:pPr>
      <w:widowControl/>
      <w:spacing w:before="240" w:after="60"/>
      <w:jc w:val="left"/>
      <w:outlineLvl w:val="4"/>
    </w:pPr>
    <w:rPr>
      <w:rFonts w:ascii="Calibri" w:hAnsi="Calibri"/>
      <w:b/>
      <w:bCs/>
      <w:i/>
      <w:iCs/>
      <w:kern w:val="0"/>
      <w:sz w:val="26"/>
      <w:szCs w:val="26"/>
    </w:rPr>
  </w:style>
  <w:style w:type="paragraph" w:styleId="9">
    <w:name w:val="heading 6"/>
    <w:basedOn w:val="1"/>
    <w:next w:val="1"/>
    <w:link w:val="29"/>
    <w:qFormat/>
    <w:uiPriority w:val="99"/>
    <w:pPr>
      <w:widowControl/>
      <w:spacing w:before="240" w:after="60"/>
      <w:jc w:val="left"/>
      <w:outlineLvl w:val="5"/>
    </w:pPr>
    <w:rPr>
      <w:rFonts w:ascii="Calibri" w:hAnsi="Calibri"/>
      <w:b/>
      <w:bCs/>
      <w:kern w:val="0"/>
      <w:sz w:val="22"/>
      <w:szCs w:val="22"/>
    </w:rPr>
  </w:style>
  <w:style w:type="paragraph" w:styleId="10">
    <w:name w:val="heading 7"/>
    <w:basedOn w:val="1"/>
    <w:next w:val="1"/>
    <w:link w:val="30"/>
    <w:qFormat/>
    <w:uiPriority w:val="99"/>
    <w:pPr>
      <w:widowControl/>
      <w:spacing w:before="240" w:after="60"/>
      <w:jc w:val="left"/>
      <w:outlineLvl w:val="6"/>
    </w:pPr>
    <w:rPr>
      <w:rFonts w:ascii="Calibri" w:hAnsi="Calibri"/>
      <w:kern w:val="0"/>
      <w:sz w:val="24"/>
    </w:rPr>
  </w:style>
  <w:style w:type="paragraph" w:styleId="11">
    <w:name w:val="heading 8"/>
    <w:basedOn w:val="1"/>
    <w:next w:val="1"/>
    <w:link w:val="31"/>
    <w:qFormat/>
    <w:uiPriority w:val="99"/>
    <w:pPr>
      <w:widowControl/>
      <w:spacing w:before="240" w:after="60"/>
      <w:jc w:val="left"/>
      <w:outlineLvl w:val="7"/>
    </w:pPr>
    <w:rPr>
      <w:rFonts w:ascii="Calibri" w:hAnsi="Calibri"/>
      <w:i/>
      <w:iCs/>
      <w:kern w:val="0"/>
      <w:sz w:val="24"/>
    </w:rPr>
  </w:style>
  <w:style w:type="paragraph" w:styleId="12">
    <w:name w:val="heading 9"/>
    <w:basedOn w:val="1"/>
    <w:next w:val="1"/>
    <w:link w:val="32"/>
    <w:qFormat/>
    <w:uiPriority w:val="99"/>
    <w:pPr>
      <w:widowControl/>
      <w:spacing w:before="240" w:after="60"/>
      <w:jc w:val="left"/>
      <w:outlineLvl w:val="8"/>
    </w:pPr>
    <w:rPr>
      <w:rFonts w:ascii="Cambria" w:hAnsi="Cambria"/>
      <w:kern w:val="0"/>
      <w:sz w:val="22"/>
      <w:szCs w:val="22"/>
    </w:rPr>
  </w:style>
  <w:style w:type="character" w:default="1" w:styleId="20">
    <w:name w:val="Default Paragraph Font"/>
    <w:semiHidden/>
    <w:uiPriority w:val="99"/>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link w:val="34"/>
    <w:uiPriority w:val="99"/>
    <w:pPr>
      <w:spacing w:after="120" w:line="312" w:lineRule="auto"/>
      <w:ind w:left="420" w:leftChars="200" w:firstLine="420"/>
    </w:pPr>
    <w:rPr>
      <w:sz w:val="24"/>
    </w:rPr>
  </w:style>
  <w:style w:type="paragraph" w:styleId="3">
    <w:name w:val="Body Text Indent"/>
    <w:basedOn w:val="1"/>
    <w:link w:val="33"/>
    <w:uiPriority w:val="99"/>
    <w:pPr>
      <w:spacing w:line="360" w:lineRule="auto"/>
      <w:ind w:firstLine="468"/>
    </w:pPr>
    <w:rPr>
      <w:rFonts w:ascii="宋体"/>
      <w:bCs/>
      <w:sz w:val="28"/>
    </w:rPr>
  </w:style>
  <w:style w:type="paragraph" w:styleId="13">
    <w:name w:val="Balloon Text"/>
    <w:basedOn w:val="1"/>
    <w:link w:val="35"/>
    <w:semiHidden/>
    <w:uiPriority w:val="99"/>
    <w:rPr>
      <w:sz w:val="18"/>
      <w:szCs w:val="18"/>
    </w:rPr>
  </w:style>
  <w:style w:type="paragraph" w:styleId="14">
    <w:name w:val="footer"/>
    <w:basedOn w:val="1"/>
    <w:link w:val="36"/>
    <w:uiPriority w:val="99"/>
    <w:pPr>
      <w:tabs>
        <w:tab w:val="center" w:pos="4153"/>
        <w:tab w:val="right" w:pos="8306"/>
      </w:tabs>
      <w:snapToGrid w:val="0"/>
      <w:jc w:val="left"/>
    </w:pPr>
    <w:rPr>
      <w:rFonts w:ascii="Calibri" w:hAnsi="Calibri"/>
      <w:sz w:val="18"/>
      <w:szCs w:val="18"/>
    </w:rPr>
  </w:style>
  <w:style w:type="paragraph" w:styleId="15">
    <w:name w:val="header"/>
    <w:basedOn w:val="1"/>
    <w:link w:val="37"/>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toc 1"/>
    <w:basedOn w:val="1"/>
    <w:next w:val="1"/>
    <w:uiPriority w:val="99"/>
    <w:pPr>
      <w:spacing w:before="120" w:after="120"/>
      <w:jc w:val="left"/>
    </w:pPr>
    <w:rPr>
      <w:rFonts w:ascii="Calibri" w:hAnsi="Calibri" w:cs="Calibri"/>
      <w:b/>
      <w:bCs/>
      <w:caps/>
      <w:sz w:val="20"/>
      <w:szCs w:val="20"/>
    </w:rPr>
  </w:style>
  <w:style w:type="paragraph" w:styleId="17">
    <w:name w:val="Subtitle"/>
    <w:basedOn w:val="1"/>
    <w:next w:val="1"/>
    <w:link w:val="38"/>
    <w:qFormat/>
    <w:uiPriority w:val="99"/>
    <w:pPr>
      <w:widowControl/>
      <w:spacing w:after="60"/>
      <w:jc w:val="center"/>
      <w:outlineLvl w:val="1"/>
    </w:pPr>
    <w:rPr>
      <w:rFonts w:ascii="Cambria" w:hAnsi="Cambria"/>
      <w:kern w:val="0"/>
      <w:sz w:val="24"/>
    </w:rPr>
  </w:style>
  <w:style w:type="paragraph" w:styleId="18">
    <w:name w:val="toc 2"/>
    <w:basedOn w:val="1"/>
    <w:next w:val="1"/>
    <w:uiPriority w:val="99"/>
    <w:pPr>
      <w:ind w:left="280"/>
      <w:jc w:val="left"/>
    </w:pPr>
    <w:rPr>
      <w:rFonts w:ascii="Calibri" w:hAnsi="Calibri" w:cs="Calibri"/>
      <w:smallCaps/>
      <w:sz w:val="20"/>
      <w:szCs w:val="20"/>
    </w:rPr>
  </w:style>
  <w:style w:type="paragraph" w:styleId="19">
    <w:name w:val="Title"/>
    <w:basedOn w:val="1"/>
    <w:next w:val="1"/>
    <w:link w:val="39"/>
    <w:qFormat/>
    <w:uiPriority w:val="99"/>
    <w:pPr>
      <w:widowControl/>
      <w:spacing w:before="240" w:after="60"/>
      <w:jc w:val="center"/>
      <w:outlineLvl w:val="0"/>
    </w:pPr>
    <w:rPr>
      <w:rFonts w:ascii="Cambria" w:hAnsi="Cambria"/>
      <w:b/>
      <w:bCs/>
      <w:kern w:val="28"/>
      <w:sz w:val="32"/>
      <w:szCs w:val="32"/>
    </w:rPr>
  </w:style>
  <w:style w:type="character" w:styleId="21">
    <w:name w:val="Strong"/>
    <w:basedOn w:val="20"/>
    <w:qFormat/>
    <w:uiPriority w:val="99"/>
    <w:rPr>
      <w:rFonts w:cs="Times New Roman"/>
      <w:b/>
      <w:bCs/>
    </w:rPr>
  </w:style>
  <w:style w:type="character" w:styleId="22">
    <w:name w:val="Emphasis"/>
    <w:basedOn w:val="20"/>
    <w:qFormat/>
    <w:uiPriority w:val="99"/>
    <w:rPr>
      <w:rFonts w:ascii="Calibri" w:hAnsi="Calibri" w:cs="Times New Roman"/>
      <w:b/>
      <w:i/>
      <w:iCs/>
    </w:rPr>
  </w:style>
  <w:style w:type="character" w:customStyle="1" w:styleId="24">
    <w:name w:val="Heading 1 Char"/>
    <w:basedOn w:val="20"/>
    <w:link w:val="4"/>
    <w:qFormat/>
    <w:locked/>
    <w:uiPriority w:val="99"/>
    <w:rPr>
      <w:rFonts w:ascii="Cambria" w:hAnsi="Cambria" w:eastAsia="宋体" w:cs="Times New Roman"/>
      <w:b/>
      <w:bCs/>
      <w:kern w:val="32"/>
      <w:sz w:val="32"/>
      <w:szCs w:val="32"/>
    </w:rPr>
  </w:style>
  <w:style w:type="character" w:customStyle="1" w:styleId="25">
    <w:name w:val="Heading 2 Char"/>
    <w:basedOn w:val="20"/>
    <w:link w:val="5"/>
    <w:semiHidden/>
    <w:locked/>
    <w:uiPriority w:val="99"/>
    <w:rPr>
      <w:rFonts w:ascii="Cambria" w:hAnsi="Cambria" w:eastAsia="宋体" w:cs="Times New Roman"/>
      <w:b/>
      <w:bCs/>
      <w:i/>
      <w:iCs/>
      <w:sz w:val="28"/>
      <w:szCs w:val="28"/>
    </w:rPr>
  </w:style>
  <w:style w:type="character" w:customStyle="1" w:styleId="26">
    <w:name w:val="Heading 3 Char"/>
    <w:basedOn w:val="20"/>
    <w:link w:val="6"/>
    <w:semiHidden/>
    <w:locked/>
    <w:uiPriority w:val="99"/>
    <w:rPr>
      <w:rFonts w:ascii="Cambria" w:hAnsi="Cambria" w:eastAsia="宋体" w:cs="Times New Roman"/>
      <w:b/>
      <w:bCs/>
      <w:sz w:val="26"/>
      <w:szCs w:val="26"/>
    </w:rPr>
  </w:style>
  <w:style w:type="character" w:customStyle="1" w:styleId="27">
    <w:name w:val="Heading 4 Char"/>
    <w:basedOn w:val="20"/>
    <w:link w:val="7"/>
    <w:semiHidden/>
    <w:qFormat/>
    <w:locked/>
    <w:uiPriority w:val="99"/>
    <w:rPr>
      <w:rFonts w:cs="Times New Roman"/>
      <w:b/>
      <w:bCs/>
      <w:sz w:val="28"/>
      <w:szCs w:val="28"/>
    </w:rPr>
  </w:style>
  <w:style w:type="character" w:customStyle="1" w:styleId="28">
    <w:name w:val="Heading 5 Char"/>
    <w:basedOn w:val="20"/>
    <w:link w:val="8"/>
    <w:semiHidden/>
    <w:locked/>
    <w:uiPriority w:val="99"/>
    <w:rPr>
      <w:rFonts w:cs="Times New Roman"/>
      <w:b/>
      <w:bCs/>
      <w:i/>
      <w:iCs/>
      <w:sz w:val="26"/>
      <w:szCs w:val="26"/>
    </w:rPr>
  </w:style>
  <w:style w:type="character" w:customStyle="1" w:styleId="29">
    <w:name w:val="Heading 6 Char"/>
    <w:basedOn w:val="20"/>
    <w:link w:val="9"/>
    <w:semiHidden/>
    <w:locked/>
    <w:uiPriority w:val="99"/>
    <w:rPr>
      <w:rFonts w:cs="Times New Roman"/>
      <w:b/>
      <w:bCs/>
    </w:rPr>
  </w:style>
  <w:style w:type="character" w:customStyle="1" w:styleId="30">
    <w:name w:val="Heading 7 Char"/>
    <w:basedOn w:val="20"/>
    <w:link w:val="10"/>
    <w:semiHidden/>
    <w:qFormat/>
    <w:locked/>
    <w:uiPriority w:val="99"/>
    <w:rPr>
      <w:rFonts w:cs="Times New Roman"/>
      <w:sz w:val="24"/>
      <w:szCs w:val="24"/>
    </w:rPr>
  </w:style>
  <w:style w:type="character" w:customStyle="1" w:styleId="31">
    <w:name w:val="Heading 8 Char"/>
    <w:basedOn w:val="20"/>
    <w:link w:val="11"/>
    <w:semiHidden/>
    <w:qFormat/>
    <w:locked/>
    <w:uiPriority w:val="99"/>
    <w:rPr>
      <w:rFonts w:cs="Times New Roman"/>
      <w:i/>
      <w:iCs/>
      <w:sz w:val="24"/>
      <w:szCs w:val="24"/>
    </w:rPr>
  </w:style>
  <w:style w:type="character" w:customStyle="1" w:styleId="32">
    <w:name w:val="Heading 9 Char"/>
    <w:basedOn w:val="20"/>
    <w:link w:val="12"/>
    <w:semiHidden/>
    <w:locked/>
    <w:uiPriority w:val="99"/>
    <w:rPr>
      <w:rFonts w:ascii="Cambria" w:hAnsi="Cambria" w:eastAsia="宋体" w:cs="Times New Roman"/>
    </w:rPr>
  </w:style>
  <w:style w:type="character" w:customStyle="1" w:styleId="33">
    <w:name w:val="Body Text Indent Char"/>
    <w:basedOn w:val="20"/>
    <w:link w:val="3"/>
    <w:semiHidden/>
    <w:locked/>
    <w:uiPriority w:val="99"/>
    <w:rPr>
      <w:rFonts w:cs="Times New Roman"/>
      <w:sz w:val="24"/>
      <w:szCs w:val="24"/>
    </w:rPr>
  </w:style>
  <w:style w:type="character" w:customStyle="1" w:styleId="34">
    <w:name w:val="Body Text First Indent 2 Char"/>
    <w:basedOn w:val="33"/>
    <w:link w:val="2"/>
    <w:semiHidden/>
    <w:qFormat/>
    <w:locked/>
    <w:uiPriority w:val="99"/>
  </w:style>
  <w:style w:type="character" w:customStyle="1" w:styleId="35">
    <w:name w:val="Balloon Text Char"/>
    <w:basedOn w:val="20"/>
    <w:link w:val="13"/>
    <w:semiHidden/>
    <w:locked/>
    <w:uiPriority w:val="99"/>
    <w:rPr>
      <w:rFonts w:ascii="Times New Roman" w:hAnsi="Times New Roman" w:eastAsia="宋体" w:cs="Times New Roman"/>
      <w:kern w:val="2"/>
      <w:sz w:val="18"/>
      <w:szCs w:val="18"/>
    </w:rPr>
  </w:style>
  <w:style w:type="character" w:customStyle="1" w:styleId="36">
    <w:name w:val="Footer Char"/>
    <w:basedOn w:val="20"/>
    <w:link w:val="14"/>
    <w:locked/>
    <w:uiPriority w:val="99"/>
    <w:rPr>
      <w:rFonts w:ascii="Calibri" w:hAnsi="Calibri" w:eastAsia="宋体" w:cs="Times New Roman"/>
      <w:kern w:val="2"/>
      <w:sz w:val="18"/>
      <w:szCs w:val="18"/>
    </w:rPr>
  </w:style>
  <w:style w:type="character" w:customStyle="1" w:styleId="37">
    <w:name w:val="Header Char"/>
    <w:basedOn w:val="20"/>
    <w:link w:val="15"/>
    <w:locked/>
    <w:uiPriority w:val="99"/>
    <w:rPr>
      <w:rFonts w:ascii="Calibri" w:hAnsi="Calibri" w:eastAsia="宋体" w:cs="Times New Roman"/>
      <w:kern w:val="2"/>
      <w:sz w:val="18"/>
      <w:szCs w:val="18"/>
    </w:rPr>
  </w:style>
  <w:style w:type="character" w:customStyle="1" w:styleId="38">
    <w:name w:val="Subtitle Char"/>
    <w:basedOn w:val="20"/>
    <w:link w:val="17"/>
    <w:locked/>
    <w:uiPriority w:val="99"/>
    <w:rPr>
      <w:rFonts w:ascii="Cambria" w:hAnsi="Cambria" w:eastAsia="宋体" w:cs="Times New Roman"/>
      <w:sz w:val="24"/>
      <w:szCs w:val="24"/>
    </w:rPr>
  </w:style>
  <w:style w:type="character" w:customStyle="1" w:styleId="39">
    <w:name w:val="Title Char"/>
    <w:basedOn w:val="20"/>
    <w:link w:val="19"/>
    <w:locked/>
    <w:uiPriority w:val="99"/>
    <w:rPr>
      <w:rFonts w:ascii="Cambria" w:hAnsi="Cambria" w:eastAsia="宋体" w:cs="Times New Roman"/>
      <w:b/>
      <w:bCs/>
      <w:kern w:val="28"/>
      <w:sz w:val="32"/>
      <w:szCs w:val="32"/>
    </w:rPr>
  </w:style>
  <w:style w:type="paragraph" w:styleId="40">
    <w:name w:val="No Spacing"/>
    <w:basedOn w:val="1"/>
    <w:qFormat/>
    <w:uiPriority w:val="99"/>
    <w:pPr>
      <w:widowControl/>
      <w:jc w:val="left"/>
    </w:pPr>
    <w:rPr>
      <w:rFonts w:ascii="Calibri" w:hAnsi="Calibri"/>
      <w:kern w:val="0"/>
      <w:sz w:val="24"/>
      <w:szCs w:val="32"/>
      <w:lang w:eastAsia="en-US"/>
    </w:rPr>
  </w:style>
  <w:style w:type="paragraph" w:styleId="41">
    <w:name w:val="List Paragraph"/>
    <w:basedOn w:val="1"/>
    <w:qFormat/>
    <w:uiPriority w:val="99"/>
    <w:pPr>
      <w:widowControl/>
      <w:ind w:left="720"/>
      <w:contextualSpacing/>
      <w:jc w:val="left"/>
    </w:pPr>
    <w:rPr>
      <w:rFonts w:ascii="Calibri" w:hAnsi="Calibri"/>
      <w:kern w:val="0"/>
      <w:sz w:val="24"/>
      <w:lang w:eastAsia="en-US"/>
    </w:rPr>
  </w:style>
  <w:style w:type="paragraph" w:styleId="42">
    <w:name w:val="Quote"/>
    <w:basedOn w:val="1"/>
    <w:next w:val="1"/>
    <w:link w:val="43"/>
    <w:qFormat/>
    <w:uiPriority w:val="99"/>
    <w:pPr>
      <w:widowControl/>
      <w:jc w:val="left"/>
    </w:pPr>
    <w:rPr>
      <w:rFonts w:ascii="Calibri" w:hAnsi="Calibri"/>
      <w:i/>
      <w:kern w:val="0"/>
      <w:sz w:val="24"/>
    </w:rPr>
  </w:style>
  <w:style w:type="character" w:customStyle="1" w:styleId="43">
    <w:name w:val="Quote Char"/>
    <w:basedOn w:val="20"/>
    <w:link w:val="42"/>
    <w:locked/>
    <w:uiPriority w:val="99"/>
    <w:rPr>
      <w:rFonts w:cs="Times New Roman"/>
      <w:i/>
      <w:sz w:val="24"/>
      <w:szCs w:val="24"/>
    </w:rPr>
  </w:style>
  <w:style w:type="paragraph" w:styleId="44">
    <w:name w:val="Intense Quote"/>
    <w:basedOn w:val="1"/>
    <w:next w:val="1"/>
    <w:link w:val="45"/>
    <w:qFormat/>
    <w:uiPriority w:val="99"/>
    <w:pPr>
      <w:widowControl/>
      <w:ind w:left="720" w:right="720"/>
      <w:jc w:val="left"/>
    </w:pPr>
    <w:rPr>
      <w:rFonts w:ascii="Calibri" w:hAnsi="Calibri"/>
      <w:b/>
      <w:i/>
      <w:kern w:val="0"/>
      <w:sz w:val="24"/>
      <w:szCs w:val="22"/>
    </w:rPr>
  </w:style>
  <w:style w:type="character" w:customStyle="1" w:styleId="45">
    <w:name w:val="Intense Quote Char"/>
    <w:basedOn w:val="20"/>
    <w:link w:val="44"/>
    <w:locked/>
    <w:uiPriority w:val="99"/>
    <w:rPr>
      <w:rFonts w:cs="Times New Roman"/>
      <w:b/>
      <w:i/>
      <w:sz w:val="24"/>
    </w:rPr>
  </w:style>
  <w:style w:type="character" w:customStyle="1" w:styleId="46">
    <w:name w:val="Subtle Emphasis1"/>
    <w:uiPriority w:val="99"/>
    <w:rPr>
      <w:i/>
      <w:color w:val="5A5A5A"/>
    </w:rPr>
  </w:style>
  <w:style w:type="character" w:customStyle="1" w:styleId="47">
    <w:name w:val="Intense Emphasis1"/>
    <w:basedOn w:val="20"/>
    <w:uiPriority w:val="99"/>
    <w:rPr>
      <w:rFonts w:cs="Times New Roman"/>
      <w:b/>
      <w:i/>
      <w:sz w:val="24"/>
      <w:szCs w:val="24"/>
      <w:u w:val="single"/>
    </w:rPr>
  </w:style>
  <w:style w:type="character" w:customStyle="1" w:styleId="48">
    <w:name w:val="Subtle Reference1"/>
    <w:basedOn w:val="20"/>
    <w:uiPriority w:val="99"/>
    <w:rPr>
      <w:rFonts w:cs="Times New Roman"/>
      <w:sz w:val="24"/>
      <w:szCs w:val="24"/>
      <w:u w:val="single"/>
    </w:rPr>
  </w:style>
  <w:style w:type="character" w:customStyle="1" w:styleId="49">
    <w:name w:val="Intense Reference1"/>
    <w:basedOn w:val="20"/>
    <w:uiPriority w:val="99"/>
    <w:rPr>
      <w:rFonts w:cs="Times New Roman"/>
      <w:b/>
      <w:sz w:val="24"/>
      <w:u w:val="single"/>
    </w:rPr>
  </w:style>
  <w:style w:type="character" w:customStyle="1" w:styleId="50">
    <w:name w:val="Book Title1"/>
    <w:basedOn w:val="20"/>
    <w:qFormat/>
    <w:uiPriority w:val="99"/>
    <w:rPr>
      <w:rFonts w:ascii="Cambria" w:hAnsi="Cambria" w:eastAsia="宋体" w:cs="Times New Roman"/>
      <w:b/>
      <w:i/>
      <w:sz w:val="24"/>
      <w:szCs w:val="24"/>
    </w:rPr>
  </w:style>
  <w:style w:type="paragraph" w:customStyle="1" w:styleId="51">
    <w:name w:val="TOC Heading1"/>
    <w:basedOn w:val="4"/>
    <w:next w:val="1"/>
    <w:semiHidden/>
    <w:uiPriority w:val="99"/>
    <w:pPr>
      <w:outlineLvl w:val="9"/>
    </w:pPr>
    <w:rPr>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384</Words>
  <Characters>2191</Characters>
  <Lines>0</Lines>
  <Paragraphs>0</Paragraphs>
  <TotalTime>32</TotalTime>
  <ScaleCrop>false</ScaleCrop>
  <LinksUpToDate>false</LinksUpToDate>
  <CharactersWithSpaces>0</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2019-01-15T08:19:58Z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