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 w:line="240" w:lineRule="auto"/>
        <w:ind w:left="432" w:right="-27" w:rightChars="-13" w:hanging="432"/>
        <w:jc w:val="center"/>
        <w:rPr>
          <w:rFonts w:ascii="仿宋" w:hAnsi="仿宋" w:eastAsia="仿宋"/>
          <w:sz w:val="32"/>
          <w:szCs w:val="32"/>
        </w:rPr>
      </w:pPr>
      <w:bookmarkStart w:id="1" w:name="_GoBack"/>
      <w:bookmarkStart w:id="0" w:name="_Toc524602896"/>
      <w:r>
        <w:rPr>
          <w:rFonts w:hint="eastAsia" w:ascii="仿宋" w:hAnsi="仿宋" w:eastAsia="仿宋"/>
          <w:sz w:val="32"/>
          <w:szCs w:val="32"/>
        </w:rPr>
        <w:t>网上超市供货</w:t>
      </w:r>
      <w:r>
        <w:rPr>
          <w:rFonts w:ascii="仿宋" w:hAnsi="仿宋" w:eastAsia="仿宋"/>
          <w:sz w:val="32"/>
          <w:szCs w:val="32"/>
        </w:rPr>
        <w:t>区域变更申请单</w:t>
      </w:r>
      <w:bookmarkEnd w:id="0"/>
    </w:p>
    <w:bookmarkEnd w:id="1"/>
    <w:tbl>
      <w:tblPr>
        <w:tblStyle w:val="4"/>
        <w:tblW w:w="928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646"/>
        <w:gridCol w:w="1701"/>
        <w:gridCol w:w="30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（须</w:t>
            </w:r>
            <w:r>
              <w:rPr>
                <w:rFonts w:ascii="仿宋" w:hAnsi="仿宋" w:eastAsia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742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     址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联 系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人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协议编号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协议签署地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协议名称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变更类型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□新增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□取消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9286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申请变更的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供货区域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left="105" w:leftChars="5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巴音郭楞蒙古自治州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本级</w:t>
            </w:r>
            <w:r>
              <w:rPr>
                <w:rFonts w:hint="eastAsia" w:ascii="仿宋" w:hAnsi="仿宋" w:eastAsia="仿宋"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lang w:eastAsia="zh-CN"/>
              </w:rPr>
              <w:t>库尔勒市</w:t>
            </w:r>
            <w:r>
              <w:rPr>
                <w:rFonts w:hint="eastAsia" w:ascii="仿宋" w:hAnsi="仿宋" w:eastAsia="仿宋"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焉耆县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博湖县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库尔勒市经济技术开发区</w:t>
            </w:r>
            <w:r>
              <w:rPr>
                <w:rFonts w:hint="eastAsia"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Cs/>
              </w:rPr>
              <w:t xml:space="preserve">  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尉犁县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</w:rPr>
              <w:t xml:space="preserve">  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和硕县</w:t>
            </w:r>
            <w:r>
              <w:rPr>
                <w:rFonts w:hint="eastAsia"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和静县</w:t>
            </w:r>
            <w:r>
              <w:rPr>
                <w:rFonts w:hint="eastAsia" w:ascii="仿宋" w:hAnsi="仿宋" w:eastAsia="仿宋"/>
                <w:bCs/>
              </w:rPr>
              <w:t xml:space="preserve"> 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轮台县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若羌县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bCs/>
                <w:lang w:eastAsia="zh-CN"/>
              </w:rPr>
              <w:t>且末县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3735" w:firstLineChars="15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法定代表</w:t>
            </w:r>
            <w:r>
              <w:rPr>
                <w:rFonts w:ascii="仿宋" w:hAnsi="仿宋" w:eastAsia="仿宋"/>
                <w:b/>
                <w:sz w:val="24"/>
              </w:rPr>
              <w:t>人</w:t>
            </w:r>
            <w:r>
              <w:rPr>
                <w:rFonts w:hint="eastAsia" w:ascii="仿宋" w:hAnsi="仿宋" w:eastAsia="仿宋"/>
                <w:b/>
                <w:sz w:val="24"/>
              </w:rPr>
              <w:t>（或</w:t>
            </w:r>
            <w:r>
              <w:rPr>
                <w:rFonts w:ascii="仿宋" w:hAnsi="仿宋" w:eastAsia="仿宋"/>
                <w:b/>
                <w:sz w:val="24"/>
              </w:rPr>
              <w:t>授权人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）签字：   </w:t>
            </w:r>
          </w:p>
          <w:p>
            <w:pPr>
              <w:spacing w:line="360" w:lineRule="auto"/>
              <w:ind w:firstLine="4698" w:firstLineChars="19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</w:t>
            </w:r>
            <w:r>
              <w:rPr>
                <w:rFonts w:ascii="仿宋" w:hAnsi="仿宋" w:eastAsia="仿宋"/>
                <w:b/>
                <w:sz w:val="24"/>
              </w:rPr>
              <w:t>日期：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9286" w:type="dxa"/>
            <w:gridSpan w:val="4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协议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签署地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中心意见：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48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经办人（签字）</w:t>
            </w:r>
            <w:r>
              <w:rPr>
                <w:rFonts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</w:t>
            </w:r>
            <w:r>
              <w:rPr>
                <w:rFonts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月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日 </w:t>
            </w:r>
            <w:r>
              <w:rPr>
                <w:rFonts w:ascii="仿宋" w:hAnsi="仿宋" w:eastAsia="仿宋"/>
                <w:b/>
                <w:sz w:val="24"/>
              </w:rPr>
              <w:t xml:space="preserve">        </w:t>
            </w:r>
          </w:p>
        </w:tc>
      </w:tr>
    </w:tbl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、网上超市供应商需变更销售区域的，应先在“政采云”系统中提交区域变更申请，再向协议签署地采购中心提交书面申请，由采购中心在“政采云”系统通过后，经当地财政部门审核同意后，由变更区域财政部门实施引用操作；</w:t>
      </w:r>
    </w:p>
    <w:p>
      <w:r>
        <w:rPr>
          <w:rFonts w:hint="eastAsia" w:ascii="仿宋" w:hAnsi="仿宋" w:eastAsia="仿宋"/>
          <w:b/>
          <w:sz w:val="24"/>
        </w:rPr>
        <w:t>2、采购中心在收到供应商变更申请后，应及时处理“政采云”系统区域变更申请，并及时通知当地财政部门以及相关区域的采购中心进行处理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51355"/>
    <w:rsid w:val="35B5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2019-03-01T14:26:00Z</dcterms:created>
  <dc:creator>Administrator</dc:creator>
  <cp:lastModifiedBy>Administrator</cp:lastModifiedBy>
  <dcterms:modified xsi:type="dcterms:W3CDTF">2019-03-01T14:27:11Z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