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  <w:t>关于公布焉耆回族自治县2020年第十二期食品安全监督抽检信息的公告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根据《中华人民共和国食品安全法》和《食品安全抽样检验管理办法》的规定，近期，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焉耆回族自治县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市场监督管理局对全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范围内经营的食用农产品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农产品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进行了监督抽检,抽检结果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19批次全部合格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，产品信息详见附件。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焉耆回族自治县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号本次检验项目</w:t>
      </w:r>
    </w:p>
    <w:p>
      <w:pPr>
        <w:pStyle w:val="3"/>
        <w:widowControl/>
        <w:spacing w:beforeAutospacing="0" w:afterAutospacing="0" w:line="520" w:lineRule="exact"/>
        <w:jc w:val="both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号食用农产品监督抽检合格产品信息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bCs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bCs/>
          <w:spacing w:val="2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pacing w:val="20"/>
          <w:sz w:val="28"/>
          <w:szCs w:val="28"/>
          <w:lang w:eastAsia="zh-CN"/>
        </w:rPr>
        <w:t>检验项目：</w:t>
      </w:r>
    </w:p>
    <w:p>
      <w:pPr>
        <w:adjustRightInd w:val="0"/>
        <w:snapToGrid w:val="0"/>
        <w:spacing w:line="540" w:lineRule="exact"/>
        <w:jc w:val="center"/>
        <w:rPr>
          <w:rFonts w:ascii="仿宋_GB2312" w:hAnsi="仿宋_GB2312" w:eastAsia="仿宋_GB2312" w:cs="仿宋_GB2312"/>
          <w:b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20"/>
          <w:sz w:val="44"/>
          <w:szCs w:val="44"/>
        </w:rPr>
        <w:t>本次检验项目</w:t>
      </w:r>
    </w:p>
    <w:p>
      <w:pPr>
        <w:adjustRightInd w:val="0"/>
        <w:snapToGrid w:val="0"/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一、食用农产品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抽检依据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GB 2762—2017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《食品安全国家标准食品中污染物限量》、</w:t>
      </w:r>
      <w:r>
        <w:rPr>
          <w:rFonts w:ascii="仿宋_GB2312" w:hAnsi="仿宋_GB2312" w:eastAsia="仿宋_GB2312" w:cs="仿宋_GB2312"/>
          <w:sz w:val="32"/>
          <w:szCs w:val="32"/>
        </w:rPr>
        <w:t>GB 2763—2016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《食品安全国家标准食品中农药最大残留限量》、整顿办函</w:t>
      </w:r>
      <w:r>
        <w:rPr>
          <w:rFonts w:ascii="仿宋_GB2312" w:hAnsi="仿宋_GB2312" w:eastAsia="仿宋_GB2312" w:cs="仿宋_GB2312"/>
          <w:sz w:val="32"/>
          <w:szCs w:val="32"/>
        </w:rPr>
        <w:t xml:space="preserve"> [2010] 50</w:t>
      </w:r>
      <w:r>
        <w:rPr>
          <w:rFonts w:hint="eastAsia" w:ascii="仿宋_GB2312" w:hAnsi="仿宋_GB2312" w:eastAsia="仿宋_GB2312" w:cs="仿宋_GB2312"/>
          <w:sz w:val="32"/>
          <w:szCs w:val="32"/>
        </w:rPr>
        <w:t>号、农业部公告第</w:t>
      </w:r>
      <w:r>
        <w:rPr>
          <w:rFonts w:ascii="仿宋_GB2312" w:hAnsi="仿宋_GB2312" w:eastAsia="仿宋_GB2312" w:cs="仿宋_GB2312"/>
          <w:sz w:val="32"/>
          <w:szCs w:val="32"/>
        </w:rPr>
        <w:t>235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农业部公告第2292号等标准。</w:t>
      </w:r>
    </w:p>
    <w:p>
      <w:pPr>
        <w:adjustRightInd w:val="0"/>
        <w:snapToGrid w:val="0"/>
        <w:spacing w:line="540" w:lineRule="exact"/>
        <w:ind w:firstLine="643" w:firstLineChars="200"/>
        <w:jc w:val="left"/>
        <w:rPr>
          <w:rFonts w:hint="eastAsia" w:hAnsi="仿宋"/>
          <w:b w:val="0"/>
          <w:bCs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二、食用农产品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香蕉检验项目：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吡唑醚菌酯、对硫磷、辛硫磷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橘检验项目：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丙溴磷、三唑磷、克百威、氧乐果、氯氟氰菊酯和高效氯氟氰菊酯、水胺硫磷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橙检验项目：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丙溴磷、克百威、水胺硫磷、三唑磷、氧乐果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豇豆检验项目：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克百威、灭蝇胺、氧乐果、水胺硫磷、氟虫腈、甲胺磷、甲基异柳磷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菠菜检验项目：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毒死蜱、氧乐果、阿维菌素、氟虫腈、氯氰菊酯和高效氯氰菊酯、甲基异柳磷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辣椒检验项目：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克百威、氧乐果、甲胺磷、水胺硫磷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油麦菜检验项目：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氟虫腈、氧乐果、克百威、甲胺磷、氯氟氰菊酯和高效氯氟氰菊酯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sectPr>
          <w:pgSz w:w="11906" w:h="16838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鸡蛋检验项目：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恩诺沙星、氟苯尼考、氧氟沙星、氯霉素、诺氟沙星</w:t>
      </w:r>
    </w:p>
    <w:p>
      <w:pPr>
        <w:adjustRightInd w:val="0"/>
        <w:snapToGrid w:val="0"/>
        <w:spacing w:line="540" w:lineRule="exact"/>
        <w:jc w:val="left"/>
        <w:rPr>
          <w:rFonts w:hint="default" w:hAnsi="仿宋"/>
          <w:b/>
          <w:spacing w:val="20"/>
          <w:sz w:val="44"/>
          <w:szCs w:val="44"/>
          <w:lang w:val="en-US"/>
        </w:rPr>
      </w:pPr>
      <w:r>
        <w:rPr>
          <w:rFonts w:hint="eastAsia" w:hAnsi="仿宋"/>
          <w:b w:val="0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hAnsi="仿宋"/>
          <w:b w:val="0"/>
          <w:bCs/>
          <w:spacing w:val="2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hAnsi="仿宋"/>
          <w:b/>
          <w:spacing w:val="20"/>
          <w:sz w:val="44"/>
          <w:szCs w:val="44"/>
        </w:rPr>
      </w:pPr>
      <w:r>
        <w:rPr>
          <w:rFonts w:hint="eastAsia" w:hAnsi="仿宋"/>
          <w:b/>
          <w:spacing w:val="20"/>
          <w:sz w:val="44"/>
          <w:szCs w:val="44"/>
        </w:rPr>
        <w:t>食用农产品抽检合格信息</w:t>
      </w:r>
    </w:p>
    <w:p>
      <w:pPr>
        <w:widowControl/>
        <w:adjustRightInd w:val="0"/>
        <w:spacing w:line="540" w:lineRule="exact"/>
        <w:jc w:val="center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（声明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检验项目：</w:t>
      </w:r>
      <w:r>
        <w:rPr>
          <w:rFonts w:hint="eastAsia" w:ascii="仿宋_GB2312" w:hAnsi="仿宋_GB2312" w:eastAsia="仿宋_GB2312" w:cs="仿宋_GB2312"/>
          <w:kern w:val="0"/>
          <w:szCs w:val="32"/>
        </w:rPr>
        <w:t>以下信息仅指本次抽检标称的生产企业相关产品的生产</w:t>
      </w:r>
      <w:r>
        <w:rPr>
          <w:rFonts w:ascii="仿宋_GB2312" w:hAnsi="仿宋_GB2312" w:eastAsia="仿宋_GB2312" w:cs="仿宋_GB2312"/>
          <w:kern w:val="0"/>
          <w:szCs w:val="32"/>
        </w:rPr>
        <w:t>/</w:t>
      </w:r>
      <w:r>
        <w:rPr>
          <w:rFonts w:hint="eastAsia" w:ascii="仿宋_GB2312" w:hAnsi="仿宋_GB2312" w:eastAsia="仿宋_GB2312" w:cs="仿宋_GB2312"/>
          <w:kern w:val="0"/>
          <w:szCs w:val="32"/>
        </w:rPr>
        <w:t>批号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/加工/购进</w:t>
      </w:r>
      <w:r>
        <w:rPr>
          <w:rFonts w:hint="eastAsia" w:ascii="仿宋_GB2312" w:hAnsi="仿宋_GB2312" w:eastAsia="仿宋_GB2312" w:cs="仿宋_GB2312"/>
          <w:kern w:val="0"/>
          <w:szCs w:val="32"/>
        </w:rPr>
        <w:t>日期和所检项目）</w:t>
      </w:r>
    </w:p>
    <w:tbl>
      <w:tblPr>
        <w:tblStyle w:val="4"/>
        <w:tblW w:w="1356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1910"/>
        <w:gridCol w:w="1822"/>
        <w:gridCol w:w="3875"/>
        <w:gridCol w:w="1145"/>
        <w:gridCol w:w="1178"/>
        <w:gridCol w:w="1460"/>
        <w:gridCol w:w="149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1" w:hRule="atLeast"/>
          <w:tblHeader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被抽样单位所在省份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生产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/加工/购进日期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焉耆县民主路虹虹蔬菜水果商店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焉耆县民主路虹虹蔬菜水果商店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焉耆县民主路虹虹蔬菜水果商店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焉耆县鲜又多果蔬店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焉耆县鲜又多果蔬店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焉耆县鲜又多果蔬店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焉耆夏亮果品蔬菜零售店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焉耆夏亮果品蔬菜零售店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焉耆夏亮果品蔬菜零售店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焉耆县拥军蔬菜配送中心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焉耆天天鲜生果蔬店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焉耆天天鲜生果蔬店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焉耆县小宋果蔬店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焉耆县小宋果蔬店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焉耆县小宋果蔬店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焉耆县拥军蔬菜配送中心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焉耆县拥军蔬菜配送中心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焉耆县苏阿力号蔬菜店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焉耆县苏阿力号蔬菜店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</w:pPr>
    </w:p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981C4"/>
    <w:multiLevelType w:val="singleLevel"/>
    <w:tmpl w:val="EC1981C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63599"/>
    <w:rsid w:val="013346AE"/>
    <w:rsid w:val="0E4402D2"/>
    <w:rsid w:val="17CB081C"/>
    <w:rsid w:val="18D859DA"/>
    <w:rsid w:val="1B256C2F"/>
    <w:rsid w:val="1CB63F0B"/>
    <w:rsid w:val="2801532B"/>
    <w:rsid w:val="29474857"/>
    <w:rsid w:val="2B1D562D"/>
    <w:rsid w:val="2ED50654"/>
    <w:rsid w:val="33151921"/>
    <w:rsid w:val="333A38FF"/>
    <w:rsid w:val="403307CF"/>
    <w:rsid w:val="48542BE9"/>
    <w:rsid w:val="498313C8"/>
    <w:rsid w:val="4CFE39D0"/>
    <w:rsid w:val="4EEF701E"/>
    <w:rsid w:val="513F0602"/>
    <w:rsid w:val="57B065FF"/>
    <w:rsid w:val="60500A12"/>
    <w:rsid w:val="6234102C"/>
    <w:rsid w:val="64AC47B8"/>
    <w:rsid w:val="669A67EE"/>
    <w:rsid w:val="67777447"/>
    <w:rsid w:val="6B0D6307"/>
    <w:rsid w:val="6BB67F52"/>
    <w:rsid w:val="716220B9"/>
    <w:rsid w:val="72541BC7"/>
    <w:rsid w:val="72DC2337"/>
    <w:rsid w:val="74F649D9"/>
    <w:rsid w:val="76614B22"/>
    <w:rsid w:val="7E5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dcterms:modified xsi:type="dcterms:W3CDTF">2020-10-26T02:40:06Z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