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  <w:highlight w:val="none"/>
          <w:lang w:val="en-US" w:eastAsia="zh-CN"/>
        </w:rPr>
        <w:t>焉耆县1-5月主要经济指标完成情况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1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焉耆县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1-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月上报规上工业企业完成增加值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1.72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</w:t>
      </w: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12.6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%，从三大门类看，采矿业完成增加值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0.53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亿元，同比增长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；制造业完成增加值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0.67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</w:t>
      </w: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31.2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%；电力、热力燃气及水的生产和供应业完成增加值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51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</w:t>
      </w: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15.8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1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1-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月完成投资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3.95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亿元，同比下降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18.6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%，从产业结构来看，一产完成投资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0.05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亿元，占投资总量的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%，同比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42.8%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；二产完成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1.64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亿元，占投资总量的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41.5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%，</w:t>
      </w: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下降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43.1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%；三产完成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2.26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亿元，占投资总量的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57.2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%，同比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增长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20.2%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1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36" w:firstLineChars="200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1-5月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限额以上社会消费品零售总额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0.96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增长5.3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</w:t>
      </w: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从消费结构来看，商品零售大于餐饮收入，全县商品零售额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0.86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增长9.9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%。餐饮收入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0.093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亿元，同比增长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25.1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%。从城乡消费来看，1-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月，城镇消费增速快</w:t>
      </w:r>
      <w:r>
        <w:rPr>
          <w:rFonts w:hint="eastAsia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于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乡村。城镇限额以上社会消费品零售额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0.63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增长13.5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%，乡村限额以上社会消费品零售额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0.33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亿元，同比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en-US" w:eastAsia="zh-CN"/>
        </w:rPr>
        <w:t>下降7.5</w:t>
      </w:r>
      <w:r>
        <w:rPr>
          <w:rFonts w:hint="default" w:ascii="Times New Roman" w:hAnsi="Times New Roman" w:eastAsia="方正仿宋_GBK" w:cs="Times New Roman"/>
          <w:bCs/>
          <w:color w:val="000000"/>
          <w:spacing w:val="4"/>
          <w:sz w:val="31"/>
          <w:szCs w:val="31"/>
          <w:highlight w:val="none"/>
          <w:lang w:val="zh-CN" w:eastAsia="zh-CN"/>
        </w:rPr>
        <w:t>%。</w:t>
      </w:r>
    </w:p>
    <w:p/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B0881"/>
    <w:rsid w:val="5A2024F8"/>
    <w:rsid w:val="7BB57AAF"/>
    <w:rsid w:val="7F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Indent 21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2026-07-02T09:31:44Z</dcterms:created>
  <dc:creator>Administrator</dc:creator>
  <cp:lastModifiedBy>别亦难</cp:lastModifiedBy>
  <cp:lastPrinted>2026-07-02T09:55:05Z</cp:lastPrinted>
  <dcterms:modified xsi:type="dcterms:W3CDTF">2026-07-02T09:55:18Z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