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焉耆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eastAsia="zh-CN"/>
        </w:rPr>
        <w:t>县上半年工业新能源生产总量增长</w:t>
      </w:r>
    </w:p>
    <w:p>
      <w:pPr>
        <w:spacing w:line="360" w:lineRule="auto"/>
        <w:ind w:firstLine="620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1"/>
          <w:szCs w:val="31"/>
          <w:lang w:eastAsia="zh-CN"/>
        </w:rPr>
        <w:t>上半年</w:t>
      </w:r>
      <w:r>
        <w:rPr>
          <w:rFonts w:hint="eastAsia" w:ascii="仿宋_GB2312" w:hAnsi="仿宋" w:eastAsia="仿宋_GB2312"/>
          <w:sz w:val="31"/>
          <w:szCs w:val="31"/>
        </w:rPr>
        <w:t>，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全县规模以上工业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新</w:t>
      </w:r>
      <w:r>
        <w:rPr>
          <w:rFonts w:hint="eastAsia" w:ascii="仿宋_GB2312" w:hAnsi="仿宋" w:eastAsia="仿宋_GB2312"/>
          <w:sz w:val="31"/>
          <w:szCs w:val="31"/>
          <w:lang w:eastAsia="zh-CN"/>
        </w:rPr>
        <w:t>能源生产消费量为</w:t>
      </w:r>
      <w:r>
        <w:rPr>
          <w:rFonts w:hint="eastAsia" w:ascii="仿宋_GB2312" w:hAnsi="仿宋" w:eastAsia="仿宋_GB2312"/>
          <w:sz w:val="31"/>
          <w:szCs w:val="31"/>
          <w:lang w:val="en-US" w:eastAsia="zh-CN"/>
        </w:rPr>
        <w:t>7488吨标准煤，同比增长15%；其中太阳能发电新能源生产增长迅速，发电量达26923万千瓦时，同比增长24.5%。新能源产品的增长主要得益于新疆华电焉耆太阳能发电有限公司自2024年8月40兆瓦</w:t>
      </w:r>
      <w:r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  <w:t>全容量并网运行以来，带动发电量快速增长，成为工业经济发展主动力之一。</w:t>
      </w:r>
      <w:bookmarkStart w:id="0" w:name="_GoBack"/>
      <w:bookmarkEnd w:id="0"/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ind w:firstLine="402" w:firstLineChars="100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</w:pPr>
    </w:p>
    <w:p>
      <w:pPr>
        <w:ind w:firstLine="402" w:firstLineChars="100"/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</w:rPr>
        <w:t>焉耆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eastAsia="zh-CN"/>
        </w:rPr>
        <w:t>县上半年工业新能源生产总量增长</w:t>
      </w:r>
      <w:r>
        <w:rPr>
          <w:rFonts w:hint="eastAsia" w:ascii="方正小标宋_GBK" w:hAnsi="方正小标宋_GBK" w:eastAsia="方正小标宋_GBK" w:cs="方正小标宋_GBK"/>
          <w:b/>
          <w:kern w:val="0"/>
          <w:sz w:val="40"/>
          <w:szCs w:val="40"/>
          <w:lang w:val="en-US" w:eastAsia="zh-CN"/>
        </w:rPr>
        <w:t>图解</w:t>
      </w:r>
    </w:p>
    <w:p>
      <w:pPr>
        <w:spacing w:line="360" w:lineRule="auto"/>
        <w:ind w:firstLine="636" w:firstLineChars="200"/>
        <w:rPr>
          <w:rFonts w:hint="eastAsia" w:eastAsia="仿宋_GB2312"/>
          <w:snapToGrid w:val="0"/>
          <w:color w:val="auto"/>
          <w:spacing w:val="4"/>
          <w:kern w:val="0"/>
          <w:sz w:val="31"/>
          <w:szCs w:val="31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374015</wp:posOffset>
            </wp:positionV>
            <wp:extent cx="5800725" cy="3928110"/>
            <wp:effectExtent l="5080" t="4445" r="4445" b="10795"/>
            <wp:wrapSquare wrapText="bothSides"/>
            <wp:docPr id="2" name="图表 1" descr="7b0a202020202263686172745265734964223a202232303437363830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A7877"/>
    <w:rsid w:val="13EA7877"/>
    <w:rsid w:val="15F8046F"/>
    <w:rsid w:val="3C4554D6"/>
    <w:rsid w:val="5DA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6" Type="http://schemas.microsoft.com/office/2011/relationships/chartColorStyle" Target="colors1.xml"/><Relationship Id="rId5" Type="http://schemas.microsoft.com/office/2011/relationships/chartStyle" Target="style1.xml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\Desktop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规模以上工业企业太阳能发电量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8575077540595"/>
          <c:y val="0.117200129324281"/>
          <c:w val="0.621419449005656"/>
          <c:h val="0.484869059165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[1.xlsx]Sheet1!$E$22</c:f>
              <c:strCache>
                <c:ptCount val="1"/>
                <c:pt idx="0">
                  <c:v>2024年发电量</c:v>
                </c:pt>
              </c:strCache>
            </c:strRef>
          </c:tx>
          <c:spPr>
            <a:blipFill rotWithShape="1">
              <a:blip xmlns:r="http://schemas.openxmlformats.org/officeDocument/2006/relationships" r:embed="rId3">
                <a:duotone>
                  <a:srgbClr val="4874CB"/>
                  <a:prstClr val="white"/>
                </a:duotone>
              </a:blip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[1.xlsx]Sheet1!$F$21:$J$21</c:f>
              <c:strCache>
                <c:ptCount val="5"/>
                <c:pt idx="0">
                  <c:v>新疆华电焉耆太阳能发电有限公司</c:v>
                </c:pt>
                <c:pt idx="1">
                  <c:v>焉耆县华光发电有限责任公司</c:v>
                </c:pt>
                <c:pt idx="2">
                  <c:v>焉耆华能光伏发电有限责任公司</c:v>
                </c:pt>
                <c:pt idx="3">
                  <c:v>焉耆县光润新能源发电有限公司</c:v>
                </c:pt>
                <c:pt idx="4">
                  <c:v>焉耆新奥太阳能源有限公司</c:v>
                </c:pt>
              </c:strCache>
            </c:strRef>
          </c:cat>
          <c:val>
            <c:numRef>
              <c:f>[1.xlsx]Sheet1!$F$22:$J$22</c:f>
              <c:numCache>
                <c:formatCode>General</c:formatCode>
                <c:ptCount val="5"/>
                <c:pt idx="0">
                  <c:v>10436</c:v>
                </c:pt>
                <c:pt idx="1">
                  <c:v>2203</c:v>
                </c:pt>
                <c:pt idx="2">
                  <c:v>1455</c:v>
                </c:pt>
                <c:pt idx="3">
                  <c:v>1332</c:v>
                </c:pt>
                <c:pt idx="4">
                  <c:v>1392</c:v>
                </c:pt>
              </c:numCache>
            </c:numRef>
          </c:val>
        </c:ser>
        <c:ser>
          <c:idx val="1"/>
          <c:order val="1"/>
          <c:tx>
            <c:strRef>
              <c:f>[1.xlsx]Sheet1!$E$23</c:f>
              <c:strCache>
                <c:ptCount val="1"/>
                <c:pt idx="0">
                  <c:v>2025年发电量</c:v>
                </c:pt>
              </c:strCache>
            </c:strRef>
          </c:tx>
          <c:spPr>
            <a:blipFill rotWithShape="1">
              <a:blip xmlns:r="http://schemas.openxmlformats.org/officeDocument/2006/relationships" r:embed="rId4">
                <a:duotone>
                  <a:srgbClr val="EE822F"/>
                  <a:prstClr val="white"/>
                </a:duotone>
              </a:blip>
              <a:stretch>
                <a:fillRect/>
              </a:stretch>
            </a:blip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[1.xlsx]Sheet1!$F$21:$J$21</c:f>
              <c:strCache>
                <c:ptCount val="5"/>
                <c:pt idx="0">
                  <c:v>新疆华电焉耆太阳能发电有限公司</c:v>
                </c:pt>
                <c:pt idx="1">
                  <c:v>焉耆县华光发电有限责任公司</c:v>
                </c:pt>
                <c:pt idx="2">
                  <c:v>焉耆华能光伏发电有限责任公司</c:v>
                </c:pt>
                <c:pt idx="3">
                  <c:v>焉耆县光润新能源发电有限公司</c:v>
                </c:pt>
                <c:pt idx="4">
                  <c:v>焉耆新奥太阳能源有限公司</c:v>
                </c:pt>
              </c:strCache>
            </c:strRef>
          </c:cat>
          <c:val>
            <c:numRef>
              <c:f>[1.xlsx]Sheet1!$F$23:$J$23</c:f>
              <c:numCache>
                <c:formatCode>General</c:formatCode>
                <c:ptCount val="5"/>
                <c:pt idx="0">
                  <c:v>23039</c:v>
                </c:pt>
                <c:pt idx="1">
                  <c:v>1224</c:v>
                </c:pt>
                <c:pt idx="2">
                  <c:v>945</c:v>
                </c:pt>
                <c:pt idx="3">
                  <c:v>940</c:v>
                </c:pt>
                <c:pt idx="4">
                  <c:v>776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696537571"/>
        <c:axId val="706366915"/>
      </c:barChart>
      <c:catAx>
        <c:axId val="6965375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Text" lastClr="000000">
                  <a:lumMod val="50000"/>
                  <a:lumOff val="50000"/>
                  <a:alpha val="200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ysClr val="windowText" lastClr="000000">
                <a:lumMod val="50000"/>
                <a:lumOff val="50000"/>
                <a:alpha val="2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06366915"/>
        <c:crosses val="autoZero"/>
        <c:auto val="1"/>
        <c:lblAlgn val="ctr"/>
        <c:lblOffset val="100"/>
        <c:noMultiLvlLbl val="0"/>
      </c:catAx>
      <c:valAx>
        <c:axId val="706366915"/>
        <c:scaling>
          <c:orientation val="minMax"/>
        </c:scaling>
        <c:delete val="1"/>
        <c:axPos val="l"/>
        <c:majorGridlines>
          <c:spPr>
            <a:ln w="6350" cap="flat" cmpd="sng" algn="ctr">
              <a:solidFill>
                <a:sysClr val="windowText" lastClr="000000">
                  <a:lumMod val="50000"/>
                  <a:lumOff val="50000"/>
                  <a:alpha val="200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696537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6350" cap="flat" cmpd="sng" algn="ctr">
      <a:solidFill>
        <a:sysClr val="windowText" lastClr="000000">
          <a:lumMod val="50000"/>
          <a:lumOff val="50000"/>
          <a:alpha val="15000"/>
        </a:sysClr>
      </a:solidFill>
      <a:round/>
    </a:ln>
    <a:effectLst/>
  </c:spPr>
  <c:txPr>
    <a:bodyPr/>
    <a:lstStyle/>
    <a:p>
      <a:pPr>
        <a:defRPr lang="zh-CN">
          <a:solidFill>
            <a:sysClr val="windowText" lastClr="000000">
              <a:lumMod val="75000"/>
              <a:lumOff val="25000"/>
            </a:sys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58">
    <a:dk1>
      <a:srgbClr val="000000"/>
    </a:dk1>
    <a:lt1>
      <a:srgbClr val="FFFFFF"/>
    </a:lt1>
    <a:dk2>
      <a:srgbClr val="44546A"/>
    </a:dk2>
    <a:lt2>
      <a:srgbClr val="E7E6E6"/>
    </a:lt2>
    <a:accent1>
      <a:srgbClr val="FF9205"/>
    </a:accent1>
    <a:accent2>
      <a:srgbClr val="EF534C"/>
    </a:accent2>
    <a:accent3>
      <a:srgbClr val="5DB020"/>
    </a:accent3>
    <a:accent4>
      <a:srgbClr val="468ED8"/>
    </a:accent4>
    <a:accent5>
      <a:srgbClr val="7058CA"/>
    </a:accent5>
    <a:accent6>
      <a:srgbClr val="C358CA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175</Characters>
  <Lines>0</Lines>
  <Paragraphs>0</Paragraphs>
  <TotalTime>0</TotalTime>
  <ScaleCrop>false</ScaleCrop>
  <LinksUpToDate>false</LinksUpToDate>
  <CharactersWithSpaces>175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2025-07-18T05:23:00Z</dcterms:created>
  <dc:creator>Administrator</dc:creator>
  <cp:lastModifiedBy>Administrator</cp:lastModifiedBy>
  <dcterms:modified xsi:type="dcterms:W3CDTF">2025-08-07T02:14:47Z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5A74E224FD1942A9A8D3B5518DF56DA3</vt:lpwstr>
  </property>
  <property fmtid="{D5CDD505-2E9C-101B-9397-08002B2CF9AE}" pid="4" name="KSOTemplateDocerSaveRecord">
    <vt:lpwstr>eyJoZGlkIjoiOWE0NWMwZjYwZmUxNWE1M2ViZTBjZjY4MjMzNTM4NGIiLCJ1c2VySWQiOiIyNjkxODUwMTkifQ==</vt:lpwstr>
  </property>
</Properties>
</file>