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lang w:val="en-US" w:eastAsia="zh-CN"/>
        </w:rPr>
        <w:t>焉耆工业园区葡萄产业品牌宣传营销中心改建项目</w:t>
      </w:r>
      <w:r>
        <w:rPr>
          <w:rFonts w:hint="eastAsia" w:ascii="宋体" w:hAnsi="宋体" w:eastAsia="宋体" w:cs="Arial"/>
          <w:b/>
          <w:bCs/>
          <w:sz w:val="52"/>
          <w:szCs w:val="52"/>
        </w:rPr>
        <w:t>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rPr>
        <w:t>3年度）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val="en-US" w:eastAsia="zh-CN"/>
        </w:rPr>
        <w:t>焉耆工业园区葡萄产业品牌宣传营销中心改建项目</w:t>
      </w:r>
      <w:r>
        <w:rPr>
          <w:rFonts w:hint="eastAsia" w:ascii="宋体" w:hAnsi="宋体" w:eastAsia="宋体" w:cs="仿宋_GB2312"/>
          <w:b/>
          <w:bCs/>
          <w:color w:val="000000"/>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焉耆工业园区管理委员会</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焉耆工业园区管理委员会</w:t>
      </w:r>
      <w:r>
        <w:rPr>
          <w:rFonts w:ascii="宋体" w:hAnsi="宋体" w:eastAsia="宋体" w:cs="宋体"/>
          <w:kern w:val="0"/>
          <w:sz w:val="32"/>
          <w:szCs w:val="32"/>
        </w:rPr>
        <w:t xml:space="preserve"> </w:t>
      </w:r>
    </w:p>
    <w:p>
      <w:pPr>
        <w:spacing w:line="560" w:lineRule="exact"/>
        <w:ind w:firstLine="321" w:firstLineChars="100"/>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张玉忠</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2024年05月14日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9"/>
            <w:rPr>
              <w:rFonts w:ascii="宋体" w:hAnsi="宋体" w:eastAsia="宋体"/>
              <w:b/>
              <w:bCs/>
              <w:color w:val="auto"/>
              <w:lang w:val="zh-CN"/>
            </w:rPr>
          </w:pPr>
          <w:r>
            <w:rPr>
              <w:rFonts w:ascii="宋体" w:hAnsi="宋体" w:eastAsia="宋体"/>
              <w:b/>
              <w:bCs/>
              <w:color w:val="auto"/>
              <w:lang w:val="zh-CN"/>
            </w:rPr>
            <w:t>目录</w:t>
          </w:r>
          <w:r>
            <w:rPr>
              <w:rFonts w:asciiTheme="minorHAnsi" w:hAnsiTheme="minorHAnsi" w:eastAsiaTheme="minorEastAsia"/>
              <w:sz w:val="22"/>
              <w:szCs w:val="22"/>
            </w:rPr>
            <w:fldChar w:fldCharType="begin"/>
          </w:r>
          <w:r>
            <w:instrText xml:space="preserve"> TOC \o "1-3" \h \z \u </w:instrText>
          </w:r>
          <w:r>
            <w:rPr>
              <w:rFonts w:asciiTheme="minorHAnsi" w:hAnsiTheme="minorHAnsi" w:eastAsiaTheme="minorEastAsia"/>
              <w:sz w:val="22"/>
              <w:szCs w:val="22"/>
            </w:rPr>
            <w:fldChar w:fldCharType="separate"/>
          </w:r>
          <w:r>
            <w:fldChar w:fldCharType="begin"/>
          </w:r>
          <w:r>
            <w:instrText xml:space="preserve"> HYPERLINK \l "_Toc68703827" </w:instrText>
          </w:r>
          <w:r>
            <w:fldChar w:fldCharType="separate"/>
          </w:r>
          <w:r>
            <w:rPr>
              <w:rStyle w:val="16"/>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"_Toc68703828" </w:instrText>
          </w:r>
          <w:r>
            <w:fldChar w:fldCharType="separate"/>
          </w:r>
          <w:r>
            <w:rPr>
              <w:rStyle w:val="16"/>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"_Toc68703829" </w:instrText>
          </w:r>
          <w:r>
            <w:fldChar w:fldCharType="separate"/>
          </w:r>
          <w:r>
            <w:rPr>
              <w:rStyle w:val="16"/>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"_Toc68703830" </w:instrText>
          </w:r>
          <w:r>
            <w:fldChar w:fldCharType="separate"/>
          </w:r>
          <w:r>
            <w:rPr>
              <w:rStyle w:val="16"/>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"_Toc68703831" </w:instrText>
          </w:r>
          <w:r>
            <w:fldChar w:fldCharType="separate"/>
          </w:r>
          <w:r>
            <w:rPr>
              <w:rStyle w:val="16"/>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"_Toc68703832" </w:instrText>
          </w:r>
          <w:r>
            <w:fldChar w:fldCharType="separate"/>
          </w:r>
          <w:r>
            <w:rPr>
              <w:rStyle w:val="16"/>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"_Toc68703833" </w:instrText>
          </w:r>
          <w:r>
            <w:fldChar w:fldCharType="separate"/>
          </w:r>
          <w:r>
            <w:rPr>
              <w:rStyle w:val="16"/>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"_Toc68703834" </w:instrText>
          </w:r>
          <w:r>
            <w:fldChar w:fldCharType="separate"/>
          </w:r>
          <w:r>
            <w:rPr>
              <w:rStyle w:val="16"/>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"_Toc68703835" </w:instrText>
          </w:r>
          <w:r>
            <w:fldChar w:fldCharType="separate"/>
          </w:r>
          <w:r>
            <w:rPr>
              <w:rStyle w:val="16"/>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"_Toc68703836" </w:instrText>
          </w:r>
          <w:r>
            <w:fldChar w:fldCharType="separate"/>
          </w:r>
          <w:r>
            <w:rPr>
              <w:rStyle w:val="16"/>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"_Toc68703837" </w:instrText>
          </w:r>
          <w:r>
            <w:fldChar w:fldCharType="separate"/>
          </w:r>
          <w:r>
            <w:rPr>
              <w:rStyle w:val="16"/>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"_Toc68703838" </w:instrText>
          </w:r>
          <w:r>
            <w:fldChar w:fldCharType="separate"/>
          </w:r>
          <w:r>
            <w:rPr>
              <w:rStyle w:val="16"/>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"_Toc68703839" </w:instrText>
          </w:r>
          <w:r>
            <w:fldChar w:fldCharType="separate"/>
          </w:r>
          <w:r>
            <w:rPr>
              <w:rStyle w:val="16"/>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"_Toc68703840" </w:instrText>
          </w:r>
          <w:r>
            <w:fldChar w:fldCharType="separate"/>
          </w:r>
          <w:r>
            <w:rPr>
              <w:rStyle w:val="16"/>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"_Toc68703841" </w:instrText>
          </w:r>
          <w:r>
            <w:fldChar w:fldCharType="separate"/>
          </w:r>
          <w:r>
            <w:rPr>
              <w:rStyle w:val="16"/>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"_Toc68703842" </w:instrText>
          </w:r>
          <w:r>
            <w:fldChar w:fldCharType="separate"/>
          </w:r>
          <w:r>
            <w:rPr>
              <w:rStyle w:val="16"/>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"_Toc68703843" </w:instrText>
          </w:r>
          <w:r>
            <w:fldChar w:fldCharType="separate"/>
          </w:r>
          <w:r>
            <w:rPr>
              <w:rStyle w:val="16"/>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"_Toc68703844" </w:instrText>
          </w:r>
          <w:r>
            <w:fldChar w:fldCharType="separate"/>
          </w:r>
          <w:r>
            <w:rPr>
              <w:rStyle w:val="16"/>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"_Toc68703845" </w:instrText>
          </w:r>
          <w:r>
            <w:fldChar w:fldCharType="separate"/>
          </w:r>
          <w:r>
            <w:rPr>
              <w:rStyle w:val="16"/>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"_Toc68703846" </w:instrText>
          </w:r>
          <w:r>
            <w:fldChar w:fldCharType="separate"/>
          </w:r>
          <w:r>
            <w:rPr>
              <w:rStyle w:val="16"/>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lang w:eastAsia="zh-CN"/>
        </w:rPr>
        <w:t>焉耆工业园区管理委员会</w:t>
      </w:r>
      <w:r>
        <w:rPr>
          <w:rFonts w:hint="eastAsia" w:ascii="宋体" w:hAnsi="宋体" w:eastAsia="宋体" w:cs="Arial"/>
          <w:b/>
          <w:bCs/>
          <w:sz w:val="36"/>
          <w:szCs w:val="36"/>
        </w:rPr>
        <w:t>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pStyle w:val="2"/>
        <w:spacing w:line="360" w:lineRule="auto"/>
        <w:rPr>
          <w:rFonts w:ascii="仿宋_GB2312" w:hAnsiTheme="majorHAnsi" w:cstheme="majorBidi"/>
          <w:b w:val="0"/>
          <w:bCs w:val="0"/>
          <w:kern w:val="2"/>
          <w:sz w:val="32"/>
          <w:szCs w:val="32"/>
        </w:rPr>
      </w:pPr>
      <w:bookmarkStart w:id="0" w:name="_Toc68703827"/>
      <w:r>
        <w:rPr>
          <w:rFonts w:hint="eastAsia" w:ascii="仿宋_GB2312" w:hAnsiTheme="majorHAnsi" w:cstheme="majorBidi"/>
          <w:b w:val="0"/>
          <w:bCs w:val="0"/>
          <w:kern w:val="2"/>
          <w:sz w:val="32"/>
          <w:szCs w:val="32"/>
        </w:rPr>
        <w:t>一</w:t>
      </w:r>
      <w:r>
        <w:rPr>
          <w:rFonts w:hint="eastAsia" w:ascii="仿宋_GB2312" w:hAnsiTheme="majorHAnsi" w:cstheme="majorBidi"/>
          <w:bCs w:val="0"/>
          <w:kern w:val="2"/>
          <w:sz w:val="32"/>
          <w:szCs w:val="32"/>
        </w:rPr>
        <w:t>、基本情况</w:t>
      </w:r>
      <w:bookmarkEnd w:id="0"/>
    </w:p>
    <w:p>
      <w:pPr>
        <w:pStyle w:val="3"/>
        <w:spacing w:line="360" w:lineRule="auto"/>
        <w:rPr>
          <w:rFonts w:hint="eastAsia" w:ascii="仿宋_GB2312" w:hAnsi="Times New Roman" w:eastAsia="仿宋_GB2312" w:cs="Times New Roman"/>
          <w:b w:val="0"/>
          <w:bCs w:val="0"/>
          <w:kern w:val="2"/>
          <w:sz w:val="30"/>
          <w:szCs w:val="24"/>
          <w:highlight w:val="none"/>
          <w:lang w:val="en-US" w:eastAsia="zh-CN" w:bidi="ar-SA"/>
        </w:rPr>
      </w:pPr>
      <w:bookmarkStart w:id="1" w:name="_Toc68703828"/>
      <w:r>
        <w:rPr>
          <w:rFonts w:hint="eastAsia" w:ascii="仿宋_GB2312" w:hAnsi="Times New Roman" w:eastAsia="仿宋_GB2312" w:cs="Times New Roman"/>
          <w:b w:val="0"/>
          <w:bCs w:val="0"/>
          <w:kern w:val="2"/>
          <w:sz w:val="30"/>
          <w:szCs w:val="24"/>
          <w:highlight w:val="none"/>
          <w:lang w:val="en-US" w:eastAsia="zh-CN" w:bidi="ar-SA"/>
        </w:rPr>
        <w:t>（一）项目概况。</w:t>
      </w:r>
      <w:bookmarkEnd w:id="1"/>
    </w:p>
    <w:p>
      <w:pPr>
        <w:keepNext w:val="0"/>
        <w:keepLines w:val="0"/>
        <w:widowControl/>
        <w:suppressLineNumbers w:val="0"/>
        <w:ind w:firstLine="300" w:firstLineChars="100"/>
        <w:jc w:val="left"/>
        <w:rPr>
          <w:rFonts w:hint="eastAsia" w:ascii="仿宋_GB2312"/>
          <w:highlight w:val="none"/>
          <w:lang w:val="en-US" w:eastAsia="zh-CN"/>
        </w:rPr>
      </w:pPr>
      <w:r>
        <w:rPr>
          <w:rFonts w:hint="eastAsia" w:ascii="仿宋_GB2312" w:hAnsi="Times New Roman" w:eastAsia="仿宋_GB2312" w:cs="Times New Roman"/>
          <w:b w:val="0"/>
          <w:bCs w:val="0"/>
          <w:kern w:val="2"/>
          <w:sz w:val="30"/>
          <w:szCs w:val="24"/>
          <w:highlight w:val="none"/>
          <w:lang w:val="en-US" w:eastAsia="zh-CN" w:bidi="ar-SA"/>
        </w:rPr>
        <w:t>1、项目背景</w:t>
      </w:r>
      <w:r>
        <w:rPr>
          <w:rFonts w:hint="eastAsia" w:ascii="仿宋_GB2312" w:hAnsi="Times New Roman" w:eastAsia="仿宋_GB2312" w:cs="Times New Roman"/>
          <w:b w:val="0"/>
          <w:bCs w:val="0"/>
          <w:color w:val="0000FF"/>
          <w:kern w:val="2"/>
          <w:sz w:val="30"/>
          <w:szCs w:val="24"/>
          <w:highlight w:val="none"/>
          <w:lang w:val="en-US" w:eastAsia="zh-CN" w:bidi="ar-SA"/>
        </w:rPr>
        <w:t>:</w:t>
      </w:r>
      <w:r>
        <w:rPr>
          <w:rFonts w:hint="eastAsia" w:ascii="仿宋_GB2312"/>
          <w:highlight w:val="none"/>
          <w:lang w:val="en-US" w:eastAsia="zh-CN"/>
        </w:rPr>
        <w:t>巴财农[2021]37号关于下达2021年中央农业生产发</w:t>
      </w:r>
    </w:p>
    <w:p>
      <w:pPr>
        <w:keepNext w:val="0"/>
        <w:keepLines w:val="0"/>
        <w:widowControl/>
        <w:suppressLineNumbers w:val="0"/>
        <w:ind w:firstLine="300" w:firstLineChars="100"/>
        <w:jc w:val="left"/>
        <w:rPr>
          <w:rFonts w:hint="eastAsia" w:ascii="仿宋_GB2312"/>
          <w:highlight w:val="none"/>
          <w:lang w:val="en-US" w:eastAsia="zh-CN"/>
        </w:rPr>
      </w:pPr>
    </w:p>
    <w:p>
      <w:pPr>
        <w:keepNext w:val="0"/>
        <w:keepLines w:val="0"/>
        <w:widowControl/>
        <w:suppressLineNumbers w:val="0"/>
        <w:ind w:firstLine="300" w:firstLineChars="100"/>
        <w:jc w:val="left"/>
        <w:rPr>
          <w:rFonts w:hint="default" w:ascii="仿宋_GB2312"/>
          <w:highlight w:val="none"/>
          <w:lang w:val="en-US" w:eastAsia="zh-CN"/>
        </w:rPr>
      </w:pPr>
      <w:r>
        <w:rPr>
          <w:rFonts w:hint="eastAsia" w:ascii="仿宋_GB2312"/>
          <w:highlight w:val="none"/>
          <w:lang w:val="en-US" w:eastAsia="zh-CN"/>
        </w:rPr>
        <w:t>展资金（第三批）预算的通知</w:t>
      </w:r>
    </w:p>
    <w:p>
      <w:pPr>
        <w:spacing w:line="360" w:lineRule="auto"/>
        <w:ind w:firstLine="600" w:firstLineChars="200"/>
        <w:rPr>
          <w:rFonts w:ascii="仿宋_GB2312"/>
          <w:highlight w:val="none"/>
        </w:rPr>
      </w:pPr>
      <w:r>
        <w:rPr>
          <w:rFonts w:hint="eastAsia" w:ascii="仿宋_GB2312"/>
          <w:highlight w:val="none"/>
        </w:rPr>
        <w:t>2、主要内容及实施情况</w:t>
      </w:r>
    </w:p>
    <w:p>
      <w:pPr>
        <w:pageBreakBefore w:val="0"/>
        <w:kinsoku/>
        <w:wordWrap/>
        <w:overflowPunct/>
        <w:topLinePunct w:val="0"/>
        <w:autoSpaceDE/>
        <w:autoSpaceDN/>
        <w:bidi w:val="0"/>
        <w:adjustRightInd/>
        <w:spacing w:line="580" w:lineRule="exact"/>
        <w:ind w:firstLine="543" w:firstLineChars="181"/>
        <w:textAlignment w:val="auto"/>
        <w:rPr>
          <w:rFonts w:hint="default" w:ascii="仿宋_GB2312" w:eastAsia="仿宋_GB2312"/>
          <w:highlight w:val="none"/>
          <w:lang w:val="en-US" w:eastAsia="zh-CN"/>
        </w:rPr>
      </w:pPr>
      <w:r>
        <w:rPr>
          <w:rFonts w:hint="eastAsia" w:ascii="仿宋_GB2312"/>
          <w:highlight w:val="none"/>
        </w:rPr>
        <w:t>主要内容：</w:t>
      </w:r>
      <w:r>
        <w:rPr>
          <w:rFonts w:hint="eastAsia" w:ascii="仿宋" w:hAnsi="仿宋" w:eastAsia="仿宋" w:cs="仿宋"/>
          <w:szCs w:val="32"/>
          <w:highlight w:val="none"/>
        </w:rPr>
        <w:t>焉耆县葡萄产业品牌宣传营销中心建设项目（二期改造）项目60平方公里，实现葡萄产业品牌宣传营销中心正常开展工作，达到葡萄产业销售增加，让更多群众收到经济效益</w:t>
      </w:r>
      <w:r>
        <w:rPr>
          <w:rFonts w:hint="default" w:ascii="Times New Roman" w:hAnsi="Times New Roman" w:eastAsia="仿宋" w:cs="Times New Roman"/>
          <w:sz w:val="32"/>
          <w:szCs w:val="32"/>
        </w:rPr>
        <w:t>提供良好</w:t>
      </w:r>
      <w:r>
        <w:rPr>
          <w:rFonts w:hint="eastAsia" w:eastAsia="仿宋" w:cs="Times New Roman"/>
          <w:sz w:val="32"/>
          <w:szCs w:val="32"/>
          <w:lang w:val="en-US" w:eastAsia="zh-CN"/>
        </w:rPr>
        <w:t>环境和</w:t>
      </w:r>
      <w:r>
        <w:rPr>
          <w:rFonts w:hint="default" w:ascii="Times New Roman" w:hAnsi="Times New Roman" w:eastAsia="仿宋" w:cs="Times New Roman"/>
          <w:sz w:val="32"/>
          <w:szCs w:val="32"/>
        </w:rPr>
        <w:t>信息保障。</w:t>
      </w:r>
    </w:p>
    <w:p>
      <w:pPr>
        <w:pageBreakBefore w:val="0"/>
        <w:kinsoku/>
        <w:wordWrap/>
        <w:overflowPunct/>
        <w:topLinePunct w:val="0"/>
        <w:autoSpaceDE/>
        <w:autoSpaceDN/>
        <w:bidi w:val="0"/>
        <w:adjustRightInd/>
        <w:spacing w:line="580" w:lineRule="exact"/>
        <w:ind w:firstLine="543" w:firstLineChars="181"/>
        <w:textAlignment w:val="auto"/>
        <w:rPr>
          <w:rFonts w:ascii="仿宋_GB2312"/>
          <w:color w:val="auto"/>
          <w:highlight w:val="none"/>
        </w:rPr>
      </w:pPr>
      <w:r>
        <w:rPr>
          <w:rFonts w:hint="eastAsia" w:ascii="仿宋_GB2312"/>
          <w:color w:val="auto"/>
          <w:highlight w:val="none"/>
        </w:rPr>
        <w:t>实施情况：</w:t>
      </w:r>
      <w:r>
        <w:rPr>
          <w:rFonts w:hint="eastAsia" w:ascii="仿宋_GB2312"/>
          <w:color w:val="auto"/>
          <w:highlight w:val="none"/>
          <w:lang w:val="en-US" w:eastAsia="zh-CN"/>
        </w:rPr>
        <w:t>完成焉耆</w:t>
      </w:r>
      <w:r>
        <w:rPr>
          <w:rFonts w:hint="eastAsia" w:ascii="仿宋" w:hAnsi="仿宋" w:eastAsia="仿宋" w:cs="仿宋"/>
          <w:color w:val="auto"/>
          <w:szCs w:val="32"/>
          <w:highlight w:val="none"/>
        </w:rPr>
        <w:t>县葡萄产业品牌宣传营销中心建设（二期改造）</w:t>
      </w:r>
      <w:r>
        <w:rPr>
          <w:rFonts w:hint="eastAsia" w:ascii="仿宋" w:hAnsi="仿宋" w:eastAsia="仿宋" w:cs="仿宋"/>
          <w:color w:val="auto"/>
          <w:szCs w:val="32"/>
          <w:highlight w:val="none"/>
          <w:lang w:val="en-US" w:eastAsia="zh-CN"/>
        </w:rPr>
        <w:t>项目，</w:t>
      </w:r>
      <w:r>
        <w:rPr>
          <w:rFonts w:hint="default" w:ascii="Times New Roman" w:hAnsi="Times New Roman" w:eastAsia="仿宋" w:cs="Times New Roman"/>
          <w:color w:val="auto"/>
          <w:sz w:val="32"/>
          <w:szCs w:val="32"/>
          <w:highlight w:val="none"/>
        </w:rPr>
        <w:t>提供良好</w:t>
      </w:r>
      <w:r>
        <w:rPr>
          <w:rFonts w:hint="eastAsia" w:eastAsia="仿宋" w:cs="Times New Roman"/>
          <w:color w:val="auto"/>
          <w:sz w:val="32"/>
          <w:szCs w:val="32"/>
          <w:highlight w:val="none"/>
          <w:lang w:val="en-US" w:eastAsia="zh-CN"/>
        </w:rPr>
        <w:t>环境和</w:t>
      </w:r>
      <w:r>
        <w:rPr>
          <w:rFonts w:hint="default" w:ascii="Times New Roman" w:hAnsi="Times New Roman" w:eastAsia="仿宋" w:cs="Times New Roman"/>
          <w:color w:val="auto"/>
          <w:sz w:val="32"/>
          <w:szCs w:val="32"/>
          <w:highlight w:val="none"/>
        </w:rPr>
        <w:t>信息保障，改善</w:t>
      </w:r>
      <w:r>
        <w:rPr>
          <w:rFonts w:hint="eastAsia" w:eastAsia="仿宋" w:cs="Times New Roman"/>
          <w:color w:val="auto"/>
          <w:sz w:val="32"/>
          <w:szCs w:val="32"/>
          <w:highlight w:val="none"/>
          <w:lang w:val="en-US" w:eastAsia="zh-CN"/>
        </w:rPr>
        <w:t>葡萄产业销售路径和销售额</w:t>
      </w:r>
      <w:r>
        <w:rPr>
          <w:rFonts w:hint="default" w:ascii="Times New Roman" w:hAnsi="Times New Roman" w:eastAsia="仿宋" w:cs="Times New Roman"/>
          <w:color w:val="auto"/>
          <w:sz w:val="32"/>
          <w:szCs w:val="32"/>
          <w:highlight w:val="none"/>
        </w:rPr>
        <w:t>生产生活条件。</w:t>
      </w:r>
    </w:p>
    <w:p>
      <w:pPr>
        <w:spacing w:line="360" w:lineRule="auto"/>
        <w:ind w:firstLine="600" w:firstLineChars="200"/>
        <w:rPr>
          <w:rFonts w:ascii="仿宋_GB2312"/>
          <w:highlight w:val="none"/>
        </w:rPr>
      </w:pPr>
      <w:r>
        <w:rPr>
          <w:rFonts w:hint="eastAsia" w:ascii="仿宋_GB2312"/>
          <w:highlight w:val="none"/>
          <w:lang w:val="en-US" w:eastAsia="zh-CN"/>
        </w:rPr>
        <w:t>3</w:t>
      </w:r>
      <w:r>
        <w:rPr>
          <w:rFonts w:hint="eastAsia" w:ascii="仿宋_GB2312"/>
          <w:highlight w:val="none"/>
        </w:rPr>
        <w:t>、资金投入和使用情况</w:t>
      </w:r>
    </w:p>
    <w:p>
      <w:pPr>
        <w:spacing w:line="360" w:lineRule="auto"/>
        <w:ind w:firstLine="600" w:firstLineChars="200"/>
        <w:rPr>
          <w:rFonts w:ascii="仿宋_GB2312"/>
          <w:highlight w:val="none"/>
        </w:rPr>
      </w:pPr>
      <w:r>
        <w:rPr>
          <w:rFonts w:hint="eastAsia" w:ascii="仿宋_GB2312"/>
          <w:highlight w:val="none"/>
        </w:rPr>
        <w:t>资金投入情况：该项目年初预算数</w:t>
      </w:r>
      <w:r>
        <w:rPr>
          <w:rFonts w:hint="eastAsia" w:ascii="仿宋_GB2312"/>
          <w:highlight w:val="none"/>
          <w:lang w:val="en-US" w:eastAsia="zh-CN"/>
        </w:rPr>
        <w:t>100</w:t>
      </w:r>
      <w:r>
        <w:rPr>
          <w:rFonts w:hint="eastAsia" w:ascii="仿宋_GB2312"/>
          <w:highlight w:val="none"/>
        </w:rPr>
        <w:t>万元，全年预算数</w:t>
      </w:r>
      <w:r>
        <w:rPr>
          <w:rFonts w:hint="eastAsia" w:ascii="仿宋_GB2312"/>
          <w:highlight w:val="none"/>
          <w:lang w:val="en-US" w:eastAsia="zh-CN"/>
        </w:rPr>
        <w:t>100</w:t>
      </w:r>
      <w:r>
        <w:rPr>
          <w:rFonts w:hint="eastAsia" w:ascii="仿宋_GB2312"/>
          <w:highlight w:val="none"/>
        </w:rPr>
        <w:t>万元</w:t>
      </w:r>
      <w:r>
        <w:rPr>
          <w:rFonts w:ascii="仿宋_GB2312"/>
          <w:highlight w:val="none"/>
        </w:rPr>
        <w:t>,</w:t>
      </w:r>
      <w:r>
        <w:rPr>
          <w:rFonts w:hint="eastAsia" w:ascii="仿宋_GB2312"/>
          <w:highlight w:val="none"/>
        </w:rPr>
        <w:t>实际总投入</w:t>
      </w:r>
      <w:r>
        <w:rPr>
          <w:rFonts w:hint="eastAsia" w:ascii="仿宋_GB2312"/>
          <w:highlight w:val="none"/>
          <w:lang w:val="en-US" w:eastAsia="zh-CN"/>
        </w:rPr>
        <w:t>100</w:t>
      </w:r>
      <w:r>
        <w:rPr>
          <w:rFonts w:hint="eastAsia" w:ascii="仿宋_GB2312"/>
          <w:highlight w:val="none"/>
        </w:rPr>
        <w:t>万元，该项目落实到位</w:t>
      </w:r>
      <w:r>
        <w:rPr>
          <w:rFonts w:hint="eastAsia" w:ascii="仿宋_GB2312"/>
          <w:highlight w:val="none"/>
          <w:lang w:val="en-US" w:eastAsia="zh-CN"/>
        </w:rPr>
        <w:t>100</w:t>
      </w:r>
      <w:r>
        <w:rPr>
          <w:rFonts w:hint="eastAsia" w:ascii="仿宋_GB2312"/>
          <w:highlight w:val="none"/>
        </w:rPr>
        <w:t>万元，资金来源为</w:t>
      </w:r>
      <w:r>
        <w:rPr>
          <w:rFonts w:hint="eastAsia" w:ascii="仿宋_GB2312"/>
          <w:highlight w:val="none"/>
          <w:lang w:val="en-US" w:eastAsia="zh-CN"/>
        </w:rPr>
        <w:t>地方财政</w:t>
      </w:r>
      <w:r>
        <w:rPr>
          <w:rFonts w:hint="eastAsia" w:ascii="仿宋_GB2312"/>
          <w:highlight w:val="none"/>
        </w:rPr>
        <w:t>资金。</w:t>
      </w:r>
    </w:p>
    <w:p>
      <w:pPr>
        <w:spacing w:line="360" w:lineRule="auto"/>
        <w:ind w:firstLine="600" w:firstLineChars="200"/>
        <w:rPr>
          <w:rFonts w:ascii="仿宋_GB2312"/>
          <w:highlight w:val="none"/>
        </w:rPr>
      </w:pPr>
      <w:r>
        <w:rPr>
          <w:rFonts w:hint="eastAsia" w:ascii="仿宋_GB2312"/>
          <w:highlight w:val="none"/>
        </w:rPr>
        <w:t>资金使用情况：该项目年初预算数</w:t>
      </w:r>
      <w:r>
        <w:rPr>
          <w:rFonts w:hint="eastAsia" w:ascii="仿宋_GB2312"/>
          <w:highlight w:val="none"/>
          <w:lang w:val="en-US" w:eastAsia="zh-CN"/>
        </w:rPr>
        <w:t>100</w:t>
      </w:r>
      <w:r>
        <w:rPr>
          <w:rFonts w:hint="eastAsia" w:ascii="仿宋_GB2312"/>
          <w:highlight w:val="none"/>
        </w:rPr>
        <w:t>万元，全年预算数</w:t>
      </w:r>
      <w:r>
        <w:rPr>
          <w:rFonts w:hint="eastAsia" w:ascii="仿宋_GB2312"/>
          <w:highlight w:val="none"/>
          <w:lang w:val="en-US" w:eastAsia="zh-CN"/>
        </w:rPr>
        <w:t>100</w:t>
      </w:r>
      <w:r>
        <w:rPr>
          <w:rFonts w:hint="eastAsia" w:ascii="仿宋_GB2312"/>
          <w:highlight w:val="none"/>
        </w:rPr>
        <w:t>万元</w:t>
      </w:r>
      <w:r>
        <w:rPr>
          <w:rFonts w:ascii="仿宋_GB2312"/>
          <w:highlight w:val="none"/>
        </w:rPr>
        <w:t>,</w:t>
      </w:r>
      <w:r>
        <w:rPr>
          <w:rFonts w:hint="eastAsia" w:ascii="仿宋_GB2312"/>
          <w:highlight w:val="none"/>
        </w:rPr>
        <w:t>全年执行数</w:t>
      </w:r>
      <w:r>
        <w:rPr>
          <w:rFonts w:hint="eastAsia" w:ascii="仿宋_GB2312"/>
          <w:highlight w:val="none"/>
          <w:lang w:val="en-US" w:eastAsia="zh-CN"/>
        </w:rPr>
        <w:t>100</w:t>
      </w:r>
      <w:r>
        <w:rPr>
          <w:rFonts w:hint="eastAsia" w:ascii="仿宋_GB2312"/>
          <w:highlight w:val="none"/>
        </w:rPr>
        <w:t>万元，预算执行率为</w:t>
      </w:r>
      <w:r>
        <w:rPr>
          <w:rFonts w:hint="eastAsia" w:ascii="仿宋_GB2312"/>
          <w:highlight w:val="none"/>
          <w:lang w:val="en-US" w:eastAsia="zh-CN"/>
        </w:rPr>
        <w:t>100</w:t>
      </w:r>
      <w:r>
        <w:rPr>
          <w:rFonts w:hint="eastAsia" w:ascii="仿宋_GB2312"/>
          <w:highlight w:val="none"/>
        </w:rPr>
        <w:t>%。</w:t>
      </w:r>
    </w:p>
    <w:p>
      <w:pPr>
        <w:pStyle w:val="3"/>
        <w:spacing w:line="360" w:lineRule="auto"/>
        <w:ind w:firstLine="600" w:firstLineChars="200"/>
        <w:rPr>
          <w:rFonts w:ascii="仿宋_GB2312" w:hAnsi="Times New Roman" w:eastAsia="仿宋_GB2312" w:cs="Times New Roman"/>
          <w:b w:val="0"/>
          <w:bCs w:val="0"/>
          <w:sz w:val="30"/>
          <w:szCs w:val="24"/>
          <w:highlight w:val="none"/>
        </w:rPr>
      </w:pPr>
      <w:bookmarkStart w:id="2" w:name="_Toc68703829"/>
      <w:r>
        <w:rPr>
          <w:rFonts w:hint="eastAsia" w:ascii="仿宋_GB2312" w:hAnsi="Times New Roman" w:eastAsia="仿宋_GB2312" w:cs="Times New Roman"/>
          <w:b w:val="0"/>
          <w:bCs w:val="0"/>
          <w:sz w:val="30"/>
          <w:szCs w:val="24"/>
          <w:highlight w:val="none"/>
        </w:rPr>
        <w:t>（二）项目绩效目标。</w:t>
      </w:r>
      <w:bookmarkEnd w:id="2"/>
    </w:p>
    <w:p>
      <w:pPr>
        <w:spacing w:line="360" w:lineRule="auto"/>
        <w:ind w:firstLine="600" w:firstLineChars="200"/>
        <w:rPr>
          <w:rFonts w:hint="default" w:ascii="仿宋_GB2312" w:eastAsia="仿宋_GB2312"/>
          <w:highlight w:val="none"/>
          <w:lang w:val="en-US" w:eastAsia="zh-CN"/>
        </w:rPr>
      </w:pPr>
      <w:r>
        <w:rPr>
          <w:rFonts w:hint="eastAsia" w:ascii="仿宋_GB2312"/>
          <w:highlight w:val="none"/>
        </w:rPr>
        <w:t>1、总体目标：</w:t>
      </w:r>
      <w:r>
        <w:rPr>
          <w:rFonts w:hint="eastAsia" w:ascii="仿宋_GB2312"/>
          <w:highlight w:val="none"/>
          <w:lang w:val="en-US" w:eastAsia="zh-CN"/>
        </w:rPr>
        <w:t>完成焉耆县葡萄产业品牌宣传营销中心建设项目（二期改造）项目60平方公里，实现葡萄产业品牌宣传营销中心正常开展工作，达到葡萄产业销售增加，让更多群众收到经济效益。</w:t>
      </w:r>
    </w:p>
    <w:p>
      <w:pPr>
        <w:spacing w:line="360" w:lineRule="auto"/>
        <w:ind w:firstLine="600" w:firstLineChars="200"/>
        <w:rPr>
          <w:rFonts w:ascii="仿宋_GB2312"/>
          <w:highlight w:val="none"/>
        </w:rPr>
      </w:pPr>
    </w:p>
    <w:p>
      <w:pPr>
        <w:spacing w:line="560" w:lineRule="exact"/>
        <w:ind w:firstLine="600" w:firstLineChars="200"/>
        <w:rPr>
          <w:rFonts w:hint="eastAsia" w:ascii="仿宋_GB2312" w:eastAsia="仿宋_GB2312"/>
          <w:highlight w:val="none"/>
          <w:lang w:val="en-US" w:eastAsia="zh-CN"/>
        </w:rPr>
      </w:pPr>
      <w:r>
        <w:rPr>
          <w:rFonts w:ascii="仿宋_GB2312"/>
          <w:highlight w:val="none"/>
        </w:rPr>
        <w:t>2</w:t>
      </w:r>
      <w:r>
        <w:rPr>
          <w:rFonts w:hint="eastAsia" w:ascii="仿宋_GB2312"/>
          <w:highlight w:val="none"/>
        </w:rPr>
        <w:t>、阶段性目标：</w:t>
      </w:r>
      <w:r>
        <w:rPr>
          <w:rFonts w:hint="eastAsia" w:ascii="仿宋_GB2312"/>
          <w:highlight w:val="none"/>
          <w:lang w:val="en-US" w:eastAsia="zh-CN"/>
        </w:rPr>
        <w:t>按时完成焉耆县葡萄产业品牌宣传营销中心建设（二期改造）项目60平方公里</w:t>
      </w:r>
    </w:p>
    <w:p>
      <w:pPr>
        <w:spacing w:line="360" w:lineRule="auto"/>
        <w:ind w:firstLine="600" w:firstLineChars="200"/>
        <w:rPr>
          <w:rFonts w:hint="default" w:ascii="仿宋_GB2312" w:eastAsia="仿宋_GB2312"/>
          <w:highlight w:val="none"/>
          <w:lang w:val="en-US" w:eastAsia="zh-CN"/>
        </w:rPr>
      </w:pPr>
    </w:p>
    <w:p>
      <w:pPr>
        <w:pStyle w:val="2"/>
        <w:spacing w:line="360" w:lineRule="auto"/>
        <w:rPr>
          <w:rFonts w:ascii="仿宋_GB2312" w:hAnsiTheme="majorHAnsi" w:cstheme="majorBidi"/>
          <w:bCs w:val="0"/>
          <w:kern w:val="2"/>
          <w:sz w:val="32"/>
          <w:szCs w:val="32"/>
          <w:highlight w:val="none"/>
        </w:rPr>
      </w:pPr>
      <w:bookmarkStart w:id="3" w:name="_Toc68703830"/>
      <w:r>
        <w:rPr>
          <w:rFonts w:hint="eastAsia" w:ascii="仿宋_GB2312" w:hAnsiTheme="majorHAnsi" w:cstheme="majorBidi"/>
          <w:b w:val="0"/>
          <w:bCs w:val="0"/>
          <w:kern w:val="2"/>
          <w:sz w:val="32"/>
          <w:szCs w:val="32"/>
          <w:highlight w:val="none"/>
        </w:rPr>
        <w:t>二、</w:t>
      </w:r>
      <w:r>
        <w:rPr>
          <w:rFonts w:hint="eastAsia" w:ascii="仿宋_GB2312" w:hAnsiTheme="majorHAnsi" w:cstheme="majorBidi"/>
          <w:bCs w:val="0"/>
          <w:kern w:val="2"/>
          <w:sz w:val="32"/>
          <w:szCs w:val="32"/>
          <w:highlight w:val="none"/>
        </w:rPr>
        <w:t>绩效评价工作开展情况</w:t>
      </w:r>
      <w:bookmarkEnd w:id="3"/>
    </w:p>
    <w:p>
      <w:pPr>
        <w:pStyle w:val="3"/>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1、绩效评价目的：</w:t>
      </w:r>
    </w:p>
    <w:p>
      <w:pPr>
        <w:spacing w:line="360" w:lineRule="auto"/>
        <w:ind w:firstLine="640" w:firstLineChars="200"/>
        <w:jc w:val="left"/>
        <w:rPr>
          <w:rFonts w:ascii="仿宋" w:hAnsi="仿宋" w:eastAsia="仿宋"/>
          <w:color w:val="000000"/>
          <w:szCs w:val="32"/>
        </w:rPr>
      </w:pPr>
      <w:r>
        <w:rPr>
          <w:rFonts w:hint="default"/>
          <w:color w:val="000000" w:themeColor="text1"/>
          <w:sz w:val="32"/>
          <w:szCs w:val="32"/>
        </w:rPr>
        <w:t>通过绩效评价，客观地评判项目的管理绩效，了解和掌握</w:t>
      </w:r>
      <w:r>
        <w:rPr>
          <w:rFonts w:hint="eastAsia"/>
          <w:color w:val="000000" w:themeColor="text1"/>
          <w:sz w:val="32"/>
          <w:szCs w:val="32"/>
          <w:lang w:eastAsia="zh-CN"/>
        </w:rPr>
        <w:t>重点项目</w:t>
      </w:r>
      <w:r>
        <w:rPr>
          <w:rFonts w:hint="eastAsia" w:ascii="仿宋_GB2312"/>
          <w:highlight w:val="none"/>
          <w:lang w:val="en-US" w:eastAsia="zh-CN"/>
        </w:rPr>
        <w:t>焉耆县葡萄产业品牌宣传营销中心建设（二期改造）项目</w:t>
      </w:r>
      <w:r>
        <w:rPr>
          <w:rFonts w:hint="default"/>
          <w:color w:val="000000" w:themeColor="text1"/>
          <w:sz w:val="32"/>
          <w:szCs w:val="32"/>
        </w:rPr>
        <w:t>的具体情况，评价该项目资金安排的科学性、合理性、规范性和资金的使用成效，及时总结项目管理经验，完善项目管理办法，提高项目管理水平和资金使用效益。促使我</w:t>
      </w:r>
      <w:r>
        <w:rPr>
          <w:rFonts w:hint="eastAsia"/>
          <w:color w:val="000000" w:themeColor="text1"/>
          <w:sz w:val="32"/>
          <w:szCs w:val="32"/>
          <w:lang w:val="en-US" w:eastAsia="zh-CN"/>
        </w:rPr>
        <w:t>单位</w:t>
      </w:r>
      <w:r>
        <w:rPr>
          <w:rFonts w:hint="default"/>
          <w:color w:val="000000" w:themeColor="text1"/>
          <w:sz w:val="32"/>
          <w:szCs w:val="32"/>
        </w:rPr>
        <w:t>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spacing w:line="360" w:lineRule="auto"/>
        <w:ind w:firstLine="600" w:firstLineChars="200"/>
        <w:rPr>
          <w:rFonts w:hint="eastAsia" w:ascii="仿宋_GB2312"/>
          <w:highlight w:val="none"/>
          <w:lang w:val="en-US" w:eastAsia="zh-CN"/>
        </w:rPr>
      </w:pPr>
      <w:r>
        <w:rPr>
          <w:rFonts w:hint="eastAsia" w:ascii="仿宋_GB2312"/>
          <w:highlight w:val="none"/>
          <w:lang w:val="en-US" w:eastAsia="zh-CN"/>
        </w:rPr>
        <w:t>焉耆县葡萄产业品牌宣传营销中心建设（二期改造）项目</w:t>
      </w:r>
    </w:p>
    <w:p>
      <w:pPr>
        <w:spacing w:line="360" w:lineRule="auto"/>
        <w:ind w:firstLine="600" w:firstLineChars="200"/>
      </w:pPr>
      <w:r>
        <w:rPr>
          <w:rFonts w:hint="eastAsia"/>
        </w:rPr>
        <w:t>3、绩效评价范围：</w:t>
      </w:r>
    </w:p>
    <w:p>
      <w:pPr>
        <w:pageBreakBefore w:val="0"/>
        <w:widowControl w:val="0"/>
        <w:kinsoku/>
        <w:wordWrap/>
        <w:overflowPunct/>
        <w:topLinePunct w:val="0"/>
        <w:autoSpaceDE/>
        <w:autoSpaceDN/>
        <w:bidi w:val="0"/>
        <w:adjustRightInd/>
        <w:spacing w:line="560" w:lineRule="exact"/>
        <w:ind w:firstLine="640" w:firstLineChars="200"/>
        <w:textAlignment w:val="auto"/>
        <w:rPr>
          <w:color w:val="FF0000"/>
        </w:rPr>
      </w:pPr>
      <w:r>
        <w:rPr>
          <w:rFonts w:hint="eastAsia"/>
          <w:color w:val="auto"/>
          <w:sz w:val="32"/>
          <w:szCs w:val="32"/>
        </w:rPr>
        <w:t>本次评价从项目决策（包括绩效目标、决策过程）、项目管理（包括项目资金、项目实施）、项目产出（包括项目产出数量、产出质量、产出时效和产出成本）项目效益四个维度进行</w:t>
      </w:r>
      <w:r>
        <w:rPr>
          <w:rFonts w:hint="eastAsia"/>
          <w:color w:val="000000" w:themeColor="text1"/>
          <w:sz w:val="32"/>
          <w:szCs w:val="32"/>
          <w:lang w:eastAsia="zh-CN"/>
        </w:rPr>
        <w:t>重点建设项目征迁征迁补偿及评估费项目</w:t>
      </w:r>
      <w:r>
        <w:rPr>
          <w:rFonts w:hint="eastAsia"/>
          <w:color w:val="auto"/>
          <w:sz w:val="32"/>
          <w:szCs w:val="32"/>
        </w:rPr>
        <w:t>评价，评价核心为专项资金的支出完成情况和效果。</w:t>
      </w:r>
    </w:p>
    <w:p>
      <w:pPr>
        <w:spacing w:line="360" w:lineRule="auto"/>
        <w:ind w:firstLine="600" w:firstLineChars="200"/>
        <w:rPr>
          <w:color w:val="FF0000"/>
          <w:highlight w:val="green"/>
        </w:rPr>
      </w:pPr>
    </w:p>
    <w:p>
      <w:pPr>
        <w:spacing w:line="360" w:lineRule="auto"/>
        <w:rPr>
          <w:highlight w:val="green"/>
        </w:rPr>
      </w:pPr>
    </w:p>
    <w:p>
      <w:pPr>
        <w:pStyle w:val="3"/>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一）科学公正。本次自评按照前期准备、组织实施、分析评价的程序进行，采取绩效自评，通过材料核查、问卷调查等方式，综合运用对比分析和单位各部门负责人评议等方法进行评价，确保评价过程及结果客观、公正。</w:t>
      </w:r>
    </w:p>
    <w:p>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（二）统筹兼顾。本次由</w:t>
      </w:r>
      <w:r>
        <w:rPr>
          <w:rFonts w:hint="eastAsia" w:ascii="仿宋_GB2312"/>
          <w:bCs/>
          <w:color w:val="auto"/>
          <w:sz w:val="32"/>
          <w:szCs w:val="32"/>
          <w:lang w:val="en-US" w:eastAsia="zh-CN"/>
        </w:rPr>
        <w:t>工业园区管理委员会</w:t>
      </w:r>
      <w:r>
        <w:rPr>
          <w:rFonts w:hint="eastAsia" w:ascii="仿宋_GB2312"/>
          <w:bCs/>
          <w:color w:val="auto"/>
          <w:sz w:val="32"/>
          <w:szCs w:val="32"/>
        </w:rPr>
        <w:t>主要领导负责召集各项目主管人员及项目执行部门召开项目自评会议，根据规范程序布置工作任务，统一自评标准，制定了项目绩效自评方案，分工明确，责任到人，确保绩效评价工作扎实、开展。</w:t>
      </w:r>
    </w:p>
    <w:p>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（三）激励约束。绩效评价结果应与资金分配挂钩，建立健全评价结果与与财政预算资金分配挂钩，并作为改进管理、完善政策的重要依据，向上一年度绩效评价考核优秀的部门倾斜。</w:t>
      </w:r>
    </w:p>
    <w:p>
      <w:pPr>
        <w:spacing w:line="360" w:lineRule="auto"/>
      </w:pPr>
      <w:r>
        <w:rPr>
          <w:rFonts w:hint="eastAsia" w:ascii="仿宋_GB2312"/>
          <w:bCs/>
          <w:color w:val="auto"/>
          <w:sz w:val="32"/>
          <w:szCs w:val="32"/>
        </w:rPr>
        <w:t>（四）公开透明。我单位绩效评价结束以后，将根据《政府信息公开条例》规定，自评结果在</w:t>
      </w:r>
      <w:r>
        <w:rPr>
          <w:rFonts w:hint="eastAsia" w:ascii="仿宋_GB2312"/>
          <w:bCs/>
          <w:color w:val="auto"/>
          <w:sz w:val="32"/>
          <w:szCs w:val="32"/>
          <w:lang w:val="en-US" w:eastAsia="zh-CN"/>
        </w:rPr>
        <w:t>焉耆县</w:t>
      </w:r>
      <w:r>
        <w:rPr>
          <w:rFonts w:hint="eastAsia" w:ascii="仿宋_GB2312"/>
          <w:bCs/>
          <w:color w:val="auto"/>
          <w:sz w:val="32"/>
          <w:szCs w:val="32"/>
        </w:rPr>
        <w:t>政府网站进行公开，广泛接受人民群众监督，接受社会各界监督，让公众全面了解政府绩效评价过程和评价结果。</w:t>
      </w:r>
    </w:p>
    <w:p>
      <w:pPr>
        <w:spacing w:line="360" w:lineRule="auto"/>
      </w:pPr>
      <w:r>
        <w:rPr>
          <w:rFonts w:hint="eastAsia"/>
        </w:rPr>
        <w:t>2、评价指标体系（附表说明）</w:t>
      </w:r>
    </w:p>
    <w:p>
      <w:pPr>
        <w:pStyle w:val="3"/>
        <w:spacing w:before="0" w:after="0" w:line="240" w:lineRule="auto"/>
        <w:jc w:val="center"/>
        <w:rPr>
          <w:rFonts w:ascii="Times New Roman" w:hAnsi="Times New Roman" w:eastAsia="仿宋_GB2312" w:cs="Times New Roman"/>
          <w:b w:val="0"/>
          <w:bCs w:val="0"/>
          <w:sz w:val="30"/>
          <w:szCs w:val="24"/>
        </w:rPr>
      </w:pPr>
      <w:r>
        <w:rPr>
          <w:rFonts w:hint="eastAsia" w:ascii="仿宋_GB2312" w:hAnsi="Times New Roman" w:eastAsia="仿宋_GB2312" w:cs="Times New Roman"/>
          <w:b w:val="0"/>
          <w:bCs/>
          <w:color w:val="auto"/>
          <w:kern w:val="2"/>
          <w:sz w:val="32"/>
          <w:szCs w:val="32"/>
          <w:lang w:val="en-US" w:eastAsia="zh-CN" w:bidi="ar-SA"/>
        </w:rPr>
        <w:t>焉耆县葡萄产业品牌宣传营销中心建设（二期改造）项目</w:t>
      </w:r>
      <w:r>
        <w:rPr>
          <w:rFonts w:hint="eastAsia" w:ascii="Times New Roman" w:hAnsi="Times New Roman" w:eastAsia="仿宋_GB2312" w:cs="Times New Roman"/>
          <w:b w:val="0"/>
          <w:bCs w:val="0"/>
          <w:sz w:val="30"/>
          <w:szCs w:val="24"/>
        </w:rPr>
        <w:t>绩效评价指标体系</w:t>
      </w:r>
    </w:p>
    <w:tbl>
      <w:tblPr>
        <w:tblStyle w:val="14"/>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vAlign w:val="top"/>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vAlign w:val="top"/>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vAlign w:val="top"/>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auto"/>
                <w:kern w:val="0"/>
                <w:sz w:val="22"/>
                <w:highlight w:val="none"/>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pPr>
            <w:r>
              <w:rPr>
                <w:rFonts w:hint="eastAsia"/>
                <w:color w:val="auto"/>
                <w:highlight w:val="none"/>
                <w:lang w:val="en-US" w:eastAsia="zh-CN"/>
              </w:rPr>
              <w:t>4</w:t>
            </w:r>
          </w:p>
        </w:tc>
        <w:tc>
          <w:tcPr>
            <w:tcW w:w="874" w:type="dxa"/>
            <w:tcBorders>
              <w:bottom w:val="single" w:color="auto" w:sz="4" w:space="0"/>
            </w:tcBorders>
            <w:shd w:val="clear" w:color="auto" w:fill="FFFFFF"/>
            <w:vAlign w:val="top"/>
          </w:tcPr>
          <w:p>
            <w:pPr>
              <w:spacing w:line="600" w:lineRule="auto"/>
              <w:jc w:val="center"/>
            </w:pPr>
            <w:r>
              <w:rPr>
                <w:rFonts w:hint="eastAsia"/>
                <w:color w:val="auto"/>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10</w:t>
            </w:r>
          </w:p>
        </w:tc>
        <w:tc>
          <w:tcPr>
            <w:tcW w:w="874" w:type="dxa"/>
            <w:shd w:val="clear" w:color="auto"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15</w:t>
            </w:r>
          </w:p>
        </w:tc>
        <w:tc>
          <w:tcPr>
            <w:tcW w:w="874" w:type="dxa"/>
            <w:shd w:val="clear" w:color="auto" w:fill="FFFFFF"/>
            <w:vAlign w:val="top"/>
          </w:tcPr>
          <w:p>
            <w:pPr>
              <w:spacing w:line="600" w:lineRule="auto"/>
              <w:jc w:val="cente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5</w:t>
            </w:r>
          </w:p>
        </w:tc>
        <w:tc>
          <w:tcPr>
            <w:tcW w:w="874" w:type="dxa"/>
            <w:shd w:val="clear" w:color="000000"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vAlign w:val="top"/>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pPr>
      <w:r>
        <w:rPr>
          <w:rFonts w:hint="eastAsia"/>
        </w:rPr>
        <w:t>3、评价方法</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color w:val="000000" w:themeColor="text1"/>
          <w:sz w:val="32"/>
          <w:szCs w:val="32"/>
        </w:rPr>
      </w:pPr>
      <w:r>
        <w:rPr>
          <w:rFonts w:hint="eastAsia"/>
          <w:color w:val="000000" w:themeColor="text1"/>
          <w:sz w:val="32"/>
          <w:szCs w:val="32"/>
        </w:rP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w:t>
      </w:r>
      <w:r>
        <w:rPr>
          <w:rFonts w:hint="eastAsia"/>
          <w:color w:val="000000" w:themeColor="text1"/>
          <w:sz w:val="32"/>
          <w:szCs w:val="32"/>
          <w:lang w:val="en-US" w:eastAsia="zh-CN"/>
        </w:rPr>
        <w:t>影响</w:t>
      </w:r>
      <w:r>
        <w:rPr>
          <w:rFonts w:hint="eastAsia"/>
          <w:color w:val="000000" w:themeColor="text1"/>
          <w:sz w:val="32"/>
          <w:szCs w:val="32"/>
        </w:rPr>
        <w:t>项目立项依据、绩效目标、资金投入、使用、产出及效益等方面</w:t>
      </w:r>
      <w:r>
        <w:rPr>
          <w:rFonts w:hint="eastAsia"/>
          <w:color w:val="000000" w:themeColor="text1"/>
          <w:sz w:val="32"/>
          <w:szCs w:val="32"/>
          <w:lang w:eastAsia="zh-CN"/>
        </w:rPr>
        <w:t>的</w:t>
      </w:r>
      <w:r>
        <w:rPr>
          <w:rFonts w:hint="eastAsia"/>
          <w:color w:val="000000" w:themeColor="text1"/>
          <w:sz w:val="32"/>
          <w:szCs w:val="32"/>
          <w:lang w:val="en-US" w:eastAsia="zh-CN"/>
        </w:rPr>
        <w:t>因素</w:t>
      </w:r>
      <w:r>
        <w:rPr>
          <w:rFonts w:hint="eastAsia"/>
          <w:color w:val="000000" w:themeColor="text1"/>
          <w:sz w:val="32"/>
          <w:szCs w:val="32"/>
        </w:rPr>
        <w:t>，</w:t>
      </w:r>
      <w:r>
        <w:rPr>
          <w:rFonts w:hint="eastAsia"/>
          <w:color w:val="000000" w:themeColor="text1"/>
          <w:sz w:val="32"/>
          <w:szCs w:val="32"/>
          <w:lang w:val="en-US" w:eastAsia="zh-CN"/>
        </w:rPr>
        <w:t>判断</w:t>
      </w:r>
      <w:r>
        <w:rPr>
          <w:rFonts w:hint="eastAsia"/>
          <w:color w:val="000000" w:themeColor="text1"/>
          <w:sz w:val="32"/>
          <w:szCs w:val="32"/>
        </w:rPr>
        <w:t>项目实施情况，并在此基础上进行评价。</w:t>
      </w:r>
    </w:p>
    <w:p>
      <w:pPr>
        <w:spacing w:line="360" w:lineRule="auto"/>
      </w:pPr>
    </w:p>
    <w:p>
      <w:pPr>
        <w:spacing w:line="360" w:lineRule="auto"/>
      </w:pPr>
      <w:r>
        <w:rPr>
          <w:rFonts w:hint="eastAsia"/>
        </w:rPr>
        <w:t>4、评价标准</w:t>
      </w:r>
    </w:p>
    <w:p>
      <w:pPr>
        <w:spacing w:line="360" w:lineRule="auto"/>
        <w:ind w:firstLine="640" w:firstLineChars="200"/>
        <w:rPr>
          <w:bCs/>
          <w:sz w:val="32"/>
          <w:szCs w:val="32"/>
        </w:rPr>
      </w:pPr>
      <w:r>
        <w:rPr>
          <w:rFonts w:hint="eastAsia" w:ascii="Times New Roman" w:hAnsi="Times New Roman" w:eastAsia="仿宋_GB2312" w:cs="Times New Roman"/>
          <w:color w:val="000000" w:themeColor="text1"/>
          <w:kern w:val="2"/>
          <w:sz w:val="32"/>
          <w:szCs w:val="32"/>
          <w:lang w:val="en-US" w:eastAsia="zh-CN" w:bidi="ar-SA"/>
        </w:rPr>
        <w:t>本次项目支出绩效自评采用计划标准。原因是：本项目通过项目实施方案及</w:t>
      </w:r>
      <w:r>
        <w:rPr>
          <w:rFonts w:hint="eastAsia" w:ascii="仿宋_GB2312"/>
          <w:highlight w:val="none"/>
          <w:lang w:val="en-US" w:eastAsia="zh-CN"/>
        </w:rPr>
        <w:t>焉耆县葡萄产业品牌宣传营销中心建设（二期改造）</w:t>
      </w:r>
      <w:r>
        <w:rPr>
          <w:rFonts w:hint="eastAsia" w:ascii="Times New Roman" w:hAnsi="Times New Roman" w:eastAsia="仿宋_GB2312" w:cs="Times New Roman"/>
          <w:color w:val="000000" w:themeColor="text1"/>
          <w:kern w:val="2"/>
          <w:sz w:val="32"/>
          <w:szCs w:val="32"/>
          <w:lang w:val="en-US" w:eastAsia="zh-CN" w:bidi="ar-SA"/>
        </w:rPr>
        <w:t>项目指标数据确定三级指标进行自评，使评价结果更加科学真实。</w:t>
      </w:r>
    </w:p>
    <w:p>
      <w:pPr>
        <w:pStyle w:val="3"/>
        <w:spacing w:before="0" w:after="0" w:line="560" w:lineRule="exact"/>
        <w:ind w:firstLine="640" w:firstLineChars="200"/>
        <w:rPr>
          <w:rFonts w:ascii="仿宋_GB2312" w:eastAsia="仿宋_GB2312"/>
          <w:b w:val="0"/>
          <w:bCs w:val="0"/>
        </w:rPr>
      </w:pPr>
      <w:bookmarkStart w:id="6" w:name="_Toc68703833"/>
      <w:r>
        <w:rPr>
          <w:rFonts w:hint="eastAsia" w:ascii="仿宋_GB2312" w:eastAsia="仿宋_GB2312"/>
          <w:b w:val="0"/>
          <w:bCs w:val="0"/>
        </w:rPr>
        <w:t>（三）绩效评价工作过程。</w:t>
      </w:r>
      <w:bookmarkEnd w:id="6"/>
    </w:p>
    <w:p>
      <w:pPr>
        <w:spacing w:line="560" w:lineRule="exact"/>
        <w:ind w:firstLine="640" w:firstLineChars="200"/>
        <w:rPr>
          <w:bCs/>
          <w:sz w:val="32"/>
          <w:szCs w:val="32"/>
        </w:rPr>
      </w:pPr>
      <w:r>
        <w:rPr>
          <w:rFonts w:hint="eastAsia"/>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bCs/>
          <w:sz w:val="32"/>
          <w:szCs w:val="32"/>
        </w:rPr>
      </w:pPr>
      <w:r>
        <w:rPr>
          <w:rFonts w:hint="eastAsia"/>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sz w:val="32"/>
          <w:szCs w:val="32"/>
        </w:rPr>
      </w:pPr>
      <w:r>
        <w:rPr>
          <w:rFonts w:hint="eastAsia"/>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pStyle w:val="10"/>
      </w:pPr>
    </w:p>
    <w:p>
      <w:pPr>
        <w:pStyle w:val="2"/>
        <w:spacing w:line="360" w:lineRule="auto"/>
        <w:rPr>
          <w:rFonts w:ascii="宋体" w:hAnsi="宋体" w:eastAsia="宋体"/>
          <w:b/>
          <w:bCs/>
          <w:sz w:val="32"/>
          <w:szCs w:val="32"/>
        </w:rPr>
      </w:pPr>
      <w:bookmarkStart w:id="7" w:name="_Toc68703834"/>
      <w:r>
        <w:rPr>
          <w:rFonts w:hint="eastAsia" w:ascii="宋体" w:hAnsi="宋体" w:eastAsia="宋体"/>
          <w:b/>
          <w:bCs/>
          <w:sz w:val="32"/>
          <w:szCs w:val="32"/>
        </w:rPr>
        <w:t>三、综合评价情况及评价结论</w:t>
      </w:r>
      <w:bookmarkEnd w:id="7"/>
    </w:p>
    <w:p>
      <w:pPr>
        <w:pStyle w:val="3"/>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widowControl w:val="0"/>
        <w:kinsoku/>
        <w:wordWrap/>
        <w:overflowPunct/>
        <w:topLinePunct w:val="0"/>
        <w:autoSpaceDE/>
        <w:autoSpaceDN/>
        <w:bidi w:val="0"/>
        <w:adjustRightInd/>
        <w:spacing w:line="560" w:lineRule="exact"/>
        <w:ind w:firstLine="640" w:firstLineChars="200"/>
        <w:textAlignment w:val="auto"/>
        <w:rPr>
          <w:color w:val="auto"/>
          <w:sz w:val="32"/>
          <w:szCs w:val="32"/>
        </w:rPr>
      </w:pPr>
      <w:r>
        <w:rPr>
          <w:rFonts w:hint="eastAsia"/>
          <w:color w:val="auto"/>
          <w:sz w:val="32"/>
          <w:szCs w:val="32"/>
        </w:rPr>
        <w:t>本项目严格按照科学公正、统筹兼顾、激励约束、公开透明绩效评价原则，采用因素分析法，坚持计划标准对本项目的立项、项绩效目标、资金投入、资金管理、组织实施、产出数量、产出质量、产出时效、产出成本、项目效益进行了综合评价。</w:t>
      </w:r>
    </w:p>
    <w:p>
      <w:pPr>
        <w:spacing w:line="360" w:lineRule="auto"/>
        <w:ind w:firstLine="600" w:firstLineChars="200"/>
        <w:jc w:val="center"/>
        <w:rPr>
          <w:rFonts w:ascii="仿宋_GB2312" w:hAnsiTheme="majorHAnsi" w:cstheme="majorBidi"/>
          <w:sz w:val="32"/>
          <w:szCs w:val="32"/>
        </w:rPr>
      </w:pPr>
      <w:r>
        <w:rPr>
          <w:rFonts w:hint="eastAsia" w:ascii="仿宋_GB2312"/>
          <w:highlight w:val="none"/>
          <w:lang w:val="en-US" w:eastAsia="zh-CN"/>
        </w:rPr>
        <w:t>焉耆县葡萄产业品牌宣传营销中心建设项目（二期改造）项目</w:t>
      </w:r>
      <w:r>
        <w:rPr>
          <w:rFonts w:hint="eastAsia" w:ascii="仿宋_GB2312" w:hAnsiTheme="majorHAnsi" w:cstheme="majorBidi"/>
          <w:sz w:val="32"/>
          <w:szCs w:val="32"/>
        </w:rPr>
        <w:t>评价得分情况</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r>
    </w:tbl>
    <w:p>
      <w:pPr>
        <w:pStyle w:val="3"/>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spacing w:line="560" w:lineRule="exact"/>
        <w:ind w:firstLine="600" w:firstLineChars="200"/>
        <w:jc w:val="left"/>
        <w:rPr>
          <w:rFonts w:hint="eastAsia" w:ascii="仿宋_GB2312" w:hAnsi="仿宋_GB2312" w:eastAsia="仿宋_GB2312" w:cs="仿宋_GB2312"/>
          <w:color w:val="000000"/>
          <w:kern w:val="0"/>
          <w:sz w:val="30"/>
          <w:szCs w:val="30"/>
        </w:rPr>
      </w:pPr>
      <w:bookmarkStart w:id="10" w:name="_Toc68703837"/>
      <w:r>
        <w:rPr>
          <w:rFonts w:hint="eastAsia" w:ascii="仿宋_GB2312" w:hAnsi="仿宋_GB2312" w:eastAsia="仿宋_GB2312" w:cs="仿宋_GB2312"/>
          <w:color w:val="000000"/>
          <w:kern w:val="0"/>
          <w:sz w:val="30"/>
          <w:szCs w:val="30"/>
        </w:rPr>
        <w:t>本项目的项目决策、项目过程、项目产出、项目效益均达到了预期要求，最终得分为100分，项目达成年度指标。</w:t>
      </w:r>
    </w:p>
    <w:p>
      <w:pPr>
        <w:spacing w:line="360" w:lineRule="auto"/>
        <w:ind w:firstLine="600" w:firstLineChars="200"/>
      </w:pPr>
    </w:p>
    <w:p>
      <w:pPr>
        <w:spacing w:line="360" w:lineRule="auto"/>
        <w:ind w:firstLine="643" w:firstLineChars="200"/>
        <w:rPr>
          <w:b/>
          <w:bCs/>
        </w:rPr>
      </w:pPr>
      <w:r>
        <w:rPr>
          <w:rFonts w:hint="eastAsia" w:ascii="宋体" w:hAnsi="宋体" w:eastAsia="宋体"/>
          <w:b/>
          <w:bCs/>
          <w:sz w:val="32"/>
          <w:szCs w:val="32"/>
        </w:rPr>
        <w:t>四、绩效评价指标分析</w:t>
      </w:r>
      <w:bookmarkEnd w:id="10"/>
    </w:p>
    <w:p>
      <w:pPr>
        <w:pStyle w:val="3"/>
        <w:spacing w:line="360" w:lineRule="auto"/>
        <w:ind w:firstLine="640" w:firstLineChars="200"/>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560" w:lineRule="exact"/>
        <w:ind w:firstLine="640" w:firstLineChars="2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rPr>
        <w:t>项目决策指标从</w:t>
      </w:r>
      <w:r>
        <w:rPr>
          <w:rFonts w:hint="eastAsia" w:ascii="仿宋_GB2312" w:hAnsi="仿宋_GB2312" w:eastAsia="仿宋_GB2312" w:cs="仿宋_GB2312"/>
          <w:color w:val="000000"/>
          <w:kern w:val="0"/>
          <w:sz w:val="30"/>
          <w:szCs w:val="30"/>
        </w:rPr>
        <w:t>项目立项</w:t>
      </w:r>
      <w:r>
        <w:rPr>
          <w:rFonts w:hint="eastAsia" w:ascii="仿宋_GB2312" w:hAnsi="仿宋" w:eastAsia="仿宋_GB2312" w:cs="宋体"/>
          <w:color w:val="333333"/>
          <w:sz w:val="32"/>
          <w:szCs w:val="32"/>
        </w:rPr>
        <w:t>、</w:t>
      </w:r>
      <w:r>
        <w:rPr>
          <w:rFonts w:ascii="仿宋_GB2312" w:hAnsi="仿宋_GB2312" w:eastAsia="仿宋_GB2312" w:cs="仿宋_GB2312"/>
          <w:color w:val="000000"/>
          <w:kern w:val="0"/>
          <w:sz w:val="30"/>
          <w:szCs w:val="30"/>
        </w:rPr>
        <w:t>绩效目标和</w:t>
      </w:r>
      <w:r>
        <w:rPr>
          <w:rFonts w:hint="eastAsia" w:ascii="仿宋_GB2312" w:hAnsi="仿宋_GB2312" w:eastAsia="仿宋_GB2312" w:cs="仿宋_GB2312"/>
          <w:color w:val="000000"/>
          <w:kern w:val="0"/>
          <w:sz w:val="30"/>
          <w:szCs w:val="30"/>
        </w:rPr>
        <w:t>资金投入</w:t>
      </w:r>
      <w:r>
        <w:rPr>
          <w:rFonts w:hint="eastAsia" w:ascii="仿宋_GB2312" w:hAnsi="仿宋" w:eastAsia="仿宋_GB2312" w:cs="宋体"/>
          <w:color w:val="333333"/>
          <w:sz w:val="32"/>
          <w:szCs w:val="32"/>
        </w:rPr>
        <w:t>3个方面对项目的立项决策目标完成情况进行考察，项目决策类指标分值20分，实际得分20分，得分率100%。项目决策指标得分情况如表所示。</w:t>
      </w:r>
    </w:p>
    <w:tbl>
      <w:tblPr>
        <w:tblStyle w:val="14"/>
        <w:tblW w:w="8522" w:type="dxa"/>
        <w:tblInd w:w="0" w:type="dxa"/>
        <w:tblLayout w:type="fixed"/>
        <w:tblCellMar>
          <w:top w:w="0" w:type="dxa"/>
          <w:left w:w="108" w:type="dxa"/>
          <w:bottom w:w="0" w:type="dxa"/>
          <w:right w:w="108" w:type="dxa"/>
        </w:tblCellMar>
      </w:tblPr>
      <w:tblGrid>
        <w:gridCol w:w="2517"/>
        <w:gridCol w:w="2269"/>
        <w:gridCol w:w="1986"/>
        <w:gridCol w:w="1750"/>
      </w:tblGrid>
      <w:tr>
        <w:tblPrEx>
          <w:tblCellMar>
            <w:top w:w="0" w:type="dxa"/>
            <w:left w:w="108" w:type="dxa"/>
            <w:bottom w:w="0" w:type="dxa"/>
            <w:right w:w="108" w:type="dxa"/>
          </w:tblCellMar>
        </w:tblPrEx>
        <w:trPr>
          <w:trHeight w:val="480" w:hRule="atLeast"/>
        </w:trPr>
        <w:tc>
          <w:tcPr>
            <w:tcW w:w="8522" w:type="dxa"/>
            <w:gridSpan w:val="4"/>
            <w:tcBorders>
              <w:top w:val="nil"/>
              <w:left w:val="nil"/>
              <w:bottom w:val="single" w:color="auto" w:sz="8" w:space="0"/>
              <w:right w:val="nil"/>
            </w:tcBorders>
            <w:shd w:val="clear" w:color="auto" w:fill="auto"/>
            <w:noWrap/>
            <w:vAlign w:val="center"/>
          </w:tcPr>
          <w:p>
            <w:pPr>
              <w:spacing w:line="560" w:lineRule="exact"/>
              <w:ind w:firstLine="2880" w:firstLineChars="9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rPr>
              <w:t>项目决策指标得分情况</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000000" w:fill="A6A6A6"/>
            <w:vAlign w:val="center"/>
          </w:tcPr>
          <w:p>
            <w:pPr>
              <w:widowControl/>
              <w:spacing w:line="400" w:lineRule="exact"/>
              <w:jc w:val="center"/>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二级指标</w:t>
            </w:r>
          </w:p>
        </w:tc>
        <w:tc>
          <w:tcPr>
            <w:tcW w:w="2269" w:type="dxa"/>
            <w:tcBorders>
              <w:top w:val="nil"/>
              <w:left w:val="nil"/>
              <w:bottom w:val="single" w:color="auto" w:sz="8" w:space="0"/>
              <w:right w:val="single" w:color="auto" w:sz="8" w:space="0"/>
            </w:tcBorders>
            <w:shd w:val="clear" w:color="000000" w:fill="A6A6A6"/>
            <w:vAlign w:val="center"/>
          </w:tcPr>
          <w:p>
            <w:pPr>
              <w:widowControl/>
              <w:spacing w:line="400" w:lineRule="exact"/>
              <w:jc w:val="center"/>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权重</w:t>
            </w:r>
          </w:p>
        </w:tc>
        <w:tc>
          <w:tcPr>
            <w:tcW w:w="1986" w:type="dxa"/>
            <w:tcBorders>
              <w:top w:val="nil"/>
              <w:left w:val="nil"/>
              <w:bottom w:val="single" w:color="auto" w:sz="8" w:space="0"/>
              <w:right w:val="single" w:color="auto" w:sz="8" w:space="0"/>
            </w:tcBorders>
            <w:shd w:val="clear" w:color="000000" w:fill="A6A6A6"/>
            <w:vAlign w:val="center"/>
          </w:tcPr>
          <w:p>
            <w:pPr>
              <w:widowControl/>
              <w:spacing w:line="400" w:lineRule="exact"/>
              <w:jc w:val="center"/>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得分率</w:t>
            </w:r>
          </w:p>
        </w:tc>
        <w:tc>
          <w:tcPr>
            <w:tcW w:w="1750" w:type="dxa"/>
            <w:tcBorders>
              <w:top w:val="nil"/>
              <w:left w:val="nil"/>
              <w:bottom w:val="single" w:color="auto" w:sz="8" w:space="0"/>
              <w:right w:val="single" w:color="auto" w:sz="8" w:space="0"/>
            </w:tcBorders>
            <w:shd w:val="clear" w:color="000000" w:fill="A6A6A6"/>
            <w:vAlign w:val="center"/>
          </w:tcPr>
          <w:p>
            <w:pPr>
              <w:widowControl/>
              <w:spacing w:line="400" w:lineRule="exact"/>
              <w:jc w:val="center"/>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实际得分</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pPr>
              <w:widowControl/>
              <w:spacing w:line="400" w:lineRule="exact"/>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项目立项</w:t>
            </w:r>
          </w:p>
        </w:tc>
        <w:tc>
          <w:tcPr>
            <w:tcW w:w="2269"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10</w:t>
            </w:r>
          </w:p>
        </w:tc>
        <w:tc>
          <w:tcPr>
            <w:tcW w:w="1986"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100%</w:t>
            </w:r>
          </w:p>
        </w:tc>
        <w:tc>
          <w:tcPr>
            <w:tcW w:w="1750"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10</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pPr>
              <w:widowControl/>
              <w:spacing w:line="400" w:lineRule="exact"/>
              <w:jc w:val="left"/>
              <w:rPr>
                <w:rFonts w:ascii="仿宋_GB2312" w:hAnsi="仿宋_GB2312" w:eastAsia="仿宋_GB2312" w:cs="仿宋_GB2312"/>
                <w:color w:val="000000"/>
                <w:kern w:val="0"/>
                <w:sz w:val="30"/>
                <w:szCs w:val="30"/>
              </w:rPr>
            </w:pPr>
            <w:r>
              <w:rPr>
                <w:rFonts w:ascii="仿宋_GB2312" w:hAnsi="仿宋_GB2312" w:eastAsia="仿宋_GB2312" w:cs="仿宋_GB2312"/>
                <w:color w:val="000000"/>
                <w:kern w:val="0"/>
                <w:sz w:val="30"/>
                <w:szCs w:val="30"/>
              </w:rPr>
              <w:t>绩效目标</w:t>
            </w:r>
          </w:p>
        </w:tc>
        <w:tc>
          <w:tcPr>
            <w:tcW w:w="2269"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5</w:t>
            </w:r>
          </w:p>
        </w:tc>
        <w:tc>
          <w:tcPr>
            <w:tcW w:w="1986"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100%</w:t>
            </w:r>
          </w:p>
        </w:tc>
        <w:tc>
          <w:tcPr>
            <w:tcW w:w="1750"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5</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pPr>
              <w:widowControl/>
              <w:spacing w:line="400" w:lineRule="exact"/>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资金投入</w:t>
            </w:r>
          </w:p>
        </w:tc>
        <w:tc>
          <w:tcPr>
            <w:tcW w:w="2269"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5</w:t>
            </w:r>
          </w:p>
        </w:tc>
        <w:tc>
          <w:tcPr>
            <w:tcW w:w="1986"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100%</w:t>
            </w:r>
          </w:p>
        </w:tc>
        <w:tc>
          <w:tcPr>
            <w:tcW w:w="1750"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5</w:t>
            </w:r>
          </w:p>
        </w:tc>
      </w:tr>
      <w:tr>
        <w:tblPrEx>
          <w:tblCellMar>
            <w:top w:w="0" w:type="dxa"/>
            <w:left w:w="108" w:type="dxa"/>
            <w:bottom w:w="0" w:type="dxa"/>
            <w:right w:w="108" w:type="dxa"/>
          </w:tblCellMar>
        </w:tblPrEx>
        <w:trPr>
          <w:trHeight w:val="510" w:hRule="exact"/>
        </w:trPr>
        <w:tc>
          <w:tcPr>
            <w:tcW w:w="2517"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合  计</w:t>
            </w:r>
          </w:p>
        </w:tc>
        <w:tc>
          <w:tcPr>
            <w:tcW w:w="2269" w:type="dxa"/>
            <w:tcBorders>
              <w:top w:val="single" w:color="auto" w:sz="8" w:space="0"/>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b/>
                <w:color w:val="000000"/>
                <w:kern w:val="0"/>
                <w:sz w:val="30"/>
                <w:szCs w:val="30"/>
              </w:rPr>
            </w:pPr>
            <w:r>
              <w:rPr>
                <w:rFonts w:hint="eastAsia" w:ascii="仿宋_GB2312" w:hAnsi="仿宋_GB2312" w:eastAsia="仿宋_GB2312" w:cs="仿宋_GB2312"/>
                <w:b/>
                <w:color w:val="000000"/>
                <w:kern w:val="0"/>
                <w:sz w:val="30"/>
                <w:szCs w:val="30"/>
              </w:rPr>
              <w:t>20</w:t>
            </w:r>
          </w:p>
        </w:tc>
        <w:tc>
          <w:tcPr>
            <w:tcW w:w="1986" w:type="dxa"/>
            <w:tcBorders>
              <w:top w:val="single" w:color="auto" w:sz="8" w:space="0"/>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100%</w:t>
            </w:r>
          </w:p>
        </w:tc>
        <w:tc>
          <w:tcPr>
            <w:tcW w:w="1750" w:type="dxa"/>
            <w:tcBorders>
              <w:top w:val="single" w:color="auto" w:sz="8" w:space="0"/>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20</w:t>
            </w:r>
          </w:p>
        </w:tc>
      </w:tr>
    </w:tbl>
    <w:p>
      <w:pPr>
        <w:spacing w:line="560" w:lineRule="exact"/>
        <w:ind w:firstLine="800" w:firstLineChars="25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rPr>
        <w:t>1</w:t>
      </w:r>
      <w:r>
        <w:rPr>
          <w:rFonts w:ascii="仿宋_GB2312" w:hAnsi="仿宋" w:eastAsia="仿宋_GB2312" w:cs="宋体"/>
          <w:color w:val="333333"/>
          <w:sz w:val="32"/>
          <w:szCs w:val="32"/>
        </w:rPr>
        <w:t>.</w:t>
      </w:r>
      <w:r>
        <w:rPr>
          <w:rFonts w:hint="eastAsia" w:ascii="仿宋_GB2312" w:hAnsi="仿宋_GB2312" w:eastAsia="仿宋_GB2312" w:cs="仿宋_GB2312"/>
          <w:color w:val="000000"/>
          <w:kern w:val="0"/>
          <w:sz w:val="30"/>
          <w:szCs w:val="30"/>
        </w:rPr>
        <w:t>项目立项</w:t>
      </w:r>
    </w:p>
    <w:p>
      <w:pPr>
        <w:spacing w:line="560" w:lineRule="exact"/>
        <w:ind w:firstLine="700" w:firstLineChars="25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（1）立项充分性</w:t>
      </w:r>
    </w:p>
    <w:p>
      <w:pPr>
        <w:spacing w:line="360" w:lineRule="auto"/>
        <w:ind w:firstLine="600" w:firstLineChars="200"/>
      </w:pPr>
      <w:r>
        <w:rPr>
          <w:rFonts w:hint="eastAsia"/>
          <w:lang w:val="en-US" w:eastAsia="zh-CN"/>
        </w:rPr>
        <w:t>根据州财政局《关于印发&lt;巴音郭楞蒙古自治州劳动密集型产业发展促进就业补助专项资金管理办法&gt;的通知</w:t>
      </w:r>
      <w:r>
        <w:rPr>
          <w:rFonts w:hint="eastAsia"/>
          <w:lang w:eastAsia="zh-CN"/>
        </w:rPr>
        <w:t>》（巴财</w:t>
      </w:r>
      <w:r>
        <w:rPr>
          <w:rFonts w:hint="eastAsia"/>
          <w:lang w:val="en-US" w:eastAsia="zh-CN"/>
        </w:rPr>
        <w:t>规[2021]1号</w:t>
      </w:r>
      <w:r>
        <w:rPr>
          <w:rFonts w:hint="eastAsia"/>
          <w:lang w:eastAsia="zh-CN"/>
        </w:rPr>
        <w:t>）文件</w:t>
      </w:r>
      <w:r>
        <w:rPr>
          <w:rFonts w:hint="eastAsia"/>
        </w:rPr>
        <w:t>，巴财</w:t>
      </w:r>
      <w:r>
        <w:rPr>
          <w:rFonts w:hint="eastAsia"/>
          <w:lang w:val="en-US" w:eastAsia="zh-CN"/>
        </w:rPr>
        <w:t>农</w:t>
      </w:r>
      <w:r>
        <w:rPr>
          <w:rFonts w:hint="eastAsia"/>
        </w:rPr>
        <w:t>｛20</w:t>
      </w:r>
      <w:r>
        <w:rPr>
          <w:rFonts w:hint="eastAsia"/>
          <w:lang w:val="en-US" w:eastAsia="zh-CN"/>
        </w:rPr>
        <w:t>21</w:t>
      </w:r>
      <w:r>
        <w:rPr>
          <w:rFonts w:hint="eastAsia"/>
        </w:rPr>
        <w:t>｝</w:t>
      </w:r>
      <w:r>
        <w:rPr>
          <w:rFonts w:hint="eastAsia"/>
          <w:lang w:val="en-US" w:eastAsia="zh-CN"/>
        </w:rPr>
        <w:t>37</w:t>
      </w:r>
      <w:r>
        <w:rPr>
          <w:rFonts w:hint="eastAsia"/>
        </w:rPr>
        <w:t>号</w:t>
      </w:r>
      <w:r>
        <w:rPr>
          <w:rFonts w:hint="eastAsia" w:ascii="仿宋_GB2312" w:hAnsi="仿宋_GB2312" w:eastAsia="仿宋_GB2312" w:cs="仿宋_GB2312"/>
          <w:sz w:val="28"/>
          <w:szCs w:val="28"/>
        </w:rPr>
        <w:t>文件精神项目立项符合行业发展规划和政策要求，与部门职责范围相符，属于部门履职所需；项目属于公共财政支持范围，符合中央、地方事权支出责任划分原则；不存在与相关部门同类项目或部门内部相关项目重复。</w:t>
      </w:r>
    </w:p>
    <w:p>
      <w:pPr>
        <w:pStyle w:val="12"/>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 xml:space="preserve">    </w:t>
      </w:r>
    </w:p>
    <w:p>
      <w:pPr>
        <w:spacing w:line="360" w:lineRule="auto"/>
      </w:pPr>
      <w:r>
        <w:rPr>
          <w:rFonts w:hint="eastAsia"/>
        </w:rPr>
        <w:t>2、立项程序规范性</w:t>
      </w:r>
    </w:p>
    <w:p>
      <w:pPr>
        <w:spacing w:line="360" w:lineRule="auto"/>
        <w:rPr>
          <w:rFonts w:hint="eastAsia"/>
        </w:rPr>
      </w:pPr>
      <w:r>
        <w:rPr>
          <w:rFonts w:hint="eastAsia"/>
        </w:rPr>
        <w:t>项目预算批复等材料符合相关要求，事前已经过必要的可行性研究、风险评估、绩效评估、集体决策。</w:t>
      </w:r>
    </w:p>
    <w:p>
      <w:pPr>
        <w:spacing w:line="360" w:lineRule="auto"/>
        <w:rPr>
          <w:rFonts w:hint="eastAsia"/>
        </w:rPr>
      </w:pPr>
      <w:r>
        <w:rPr>
          <w:rFonts w:hint="eastAsia"/>
        </w:rPr>
        <w:t>对于“项目立项”，根据评分标准，实际得分10分，得分率为100%</w:t>
      </w:r>
    </w:p>
    <w:p>
      <w:pPr>
        <w:spacing w:line="360" w:lineRule="auto"/>
        <w:rPr>
          <w:rFonts w:hint="eastAsia"/>
        </w:rPr>
      </w:pPr>
      <w:r>
        <w:rPr>
          <w:rFonts w:hint="eastAsia"/>
        </w:rPr>
        <w:t>3、绩效目标合理性</w:t>
      </w:r>
    </w:p>
    <w:p>
      <w:pPr>
        <w:spacing w:line="360" w:lineRule="auto"/>
        <w:rPr>
          <w:rFonts w:hint="eastAsia"/>
        </w:rPr>
      </w:pPr>
      <w:r>
        <w:rPr>
          <w:rFonts w:hint="eastAsia"/>
        </w:rPr>
        <w:t>项目绩效目标与实际工作内容有相关，项目预期产出效益和效果符合正常的业绩水平；与预算确定的项目投资额或资金量相匹配；</w:t>
      </w:r>
    </w:p>
    <w:p>
      <w:pPr>
        <w:spacing w:line="360" w:lineRule="auto"/>
        <w:rPr>
          <w:rFonts w:hint="eastAsia"/>
        </w:rPr>
      </w:pPr>
    </w:p>
    <w:p>
      <w:pPr>
        <w:spacing w:line="360" w:lineRule="auto"/>
      </w:pPr>
      <w:r>
        <w:rPr>
          <w:rFonts w:hint="eastAsia"/>
        </w:rPr>
        <w:t>4、绩效指标明确性</w:t>
      </w:r>
    </w:p>
    <w:p>
      <w:pPr>
        <w:spacing w:line="580" w:lineRule="exact"/>
        <w:ind w:firstLine="750" w:firstLineChars="250"/>
        <w:rPr>
          <w:rFonts w:hint="eastAsia"/>
        </w:rPr>
      </w:pPr>
      <w:r>
        <w:rPr>
          <w:rFonts w:hint="eastAsia"/>
        </w:rPr>
        <w:t>项目绩效目标已细化分解为具体的绩效指标，通过清晰、可衡量的指标值予以体现，与项目目标任务数或计划数相对应。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w:t>
      </w:r>
    </w:p>
    <w:p>
      <w:pPr>
        <w:spacing w:line="580" w:lineRule="exact"/>
        <w:ind w:firstLine="750" w:firstLineChars="250"/>
        <w:rPr>
          <w:rFonts w:hint="eastAsia"/>
        </w:rPr>
      </w:pPr>
      <w:r>
        <w:rPr>
          <w:rFonts w:hint="eastAsia"/>
        </w:rPr>
        <w:t>对于“绩效目标”，根据评分标准，实际得分5分，得分率100%。</w:t>
      </w:r>
    </w:p>
    <w:p>
      <w:pPr>
        <w:spacing w:line="580" w:lineRule="exact"/>
        <w:ind w:firstLine="750" w:firstLineChars="250"/>
        <w:rPr>
          <w:rFonts w:hint="eastAsia"/>
        </w:rPr>
      </w:pPr>
      <w:r>
        <w:rPr>
          <w:rFonts w:hint="eastAsia"/>
        </w:rPr>
        <w:t>5、预算编制科学性</w:t>
      </w:r>
    </w:p>
    <w:p>
      <w:pPr>
        <w:spacing w:line="580" w:lineRule="exact"/>
        <w:ind w:firstLine="750" w:firstLineChars="250"/>
        <w:rPr>
          <w:rFonts w:hint="eastAsia"/>
        </w:rPr>
      </w:pPr>
      <w:r>
        <w:rPr>
          <w:rFonts w:hint="eastAsia"/>
        </w:rPr>
        <w:t>预算编制经过科学论证，预算内容与项目内容相匹配，预算额度测算依据充分且按照标准编制，预算确定的项目资金量与工作任务相匹配。</w:t>
      </w:r>
    </w:p>
    <w:p>
      <w:pPr>
        <w:spacing w:line="360" w:lineRule="auto"/>
      </w:pPr>
      <w:r>
        <w:rPr>
          <w:rFonts w:hint="eastAsia"/>
        </w:rPr>
        <w:t>6、资金分配合理性</w:t>
      </w:r>
    </w:p>
    <w:p>
      <w:pPr>
        <w:spacing w:line="580" w:lineRule="exact"/>
        <w:ind w:firstLine="750" w:firstLineChars="250"/>
        <w:rPr>
          <w:rFonts w:hint="eastAsia"/>
        </w:rPr>
      </w:pPr>
      <w:bookmarkStart w:id="12" w:name="_Toc68703839"/>
      <w:r>
        <w:rPr>
          <w:rFonts w:hint="eastAsia"/>
        </w:rPr>
        <w:t>预算资金分配依据充分；资金分配额度合理，与项目单位相适应，</w:t>
      </w:r>
    </w:p>
    <w:p>
      <w:pPr>
        <w:spacing w:line="580" w:lineRule="exact"/>
        <w:ind w:firstLine="750" w:firstLineChars="250"/>
        <w:rPr>
          <w:rFonts w:hint="eastAsia"/>
        </w:rPr>
      </w:pPr>
      <w:r>
        <w:rPr>
          <w:rFonts w:hint="eastAsia"/>
        </w:rPr>
        <w:t>对于“资金投入”，根据评分标准，实际得分5分，得分率100%。</w:t>
      </w:r>
    </w:p>
    <w:p>
      <w:pPr>
        <w:spacing w:line="580" w:lineRule="exact"/>
        <w:ind w:firstLine="753" w:firstLineChars="250"/>
        <w:rPr>
          <w:rFonts w:hint="eastAsia"/>
          <w:b/>
          <w:bCs/>
          <w:color w:val="auto"/>
        </w:rPr>
      </w:pPr>
      <w:r>
        <w:rPr>
          <w:rFonts w:hint="eastAsia"/>
          <w:b/>
          <w:bCs/>
          <w:color w:val="auto"/>
        </w:rPr>
        <w:t>（二）项目过程情况。</w:t>
      </w:r>
      <w:bookmarkEnd w:id="12"/>
    </w:p>
    <w:p>
      <w:pPr>
        <w:spacing w:line="360" w:lineRule="auto"/>
      </w:pPr>
      <w:r>
        <w:rPr>
          <w:rFonts w:hint="eastAsia"/>
        </w:rPr>
        <w:t>1、资金到位率：</w:t>
      </w:r>
    </w:p>
    <w:p>
      <w:pPr>
        <w:spacing w:line="580" w:lineRule="exact"/>
        <w:ind w:firstLine="750" w:firstLineChars="250"/>
        <w:rPr>
          <w:rFonts w:hint="eastAsia"/>
        </w:rPr>
      </w:pPr>
      <w:r>
        <w:rPr>
          <w:rFonts w:hint="eastAsia"/>
        </w:rPr>
        <w:t xml:space="preserve">实际到位资金 </w:t>
      </w:r>
      <w:r>
        <w:rPr>
          <w:rFonts w:hint="eastAsia"/>
          <w:lang w:val="en-US" w:eastAsia="zh-CN"/>
        </w:rPr>
        <w:t>100</w:t>
      </w:r>
      <w:r>
        <w:rPr>
          <w:rFonts w:hint="eastAsia"/>
        </w:rPr>
        <w:t xml:space="preserve">万元，预算资金 </w:t>
      </w:r>
      <w:r>
        <w:rPr>
          <w:rFonts w:hint="eastAsia"/>
          <w:lang w:val="en-US" w:eastAsia="zh-CN"/>
        </w:rPr>
        <w:t>100</w:t>
      </w:r>
      <w:r>
        <w:rPr>
          <w:rFonts w:hint="eastAsia"/>
        </w:rPr>
        <w:t>万元，资金到位率100%。</w:t>
      </w:r>
    </w:p>
    <w:p>
      <w:pPr>
        <w:spacing w:line="580" w:lineRule="exact"/>
        <w:ind w:firstLine="750" w:firstLineChars="250"/>
        <w:rPr>
          <w:rFonts w:hint="eastAsia"/>
        </w:rPr>
      </w:pPr>
      <w:r>
        <w:rPr>
          <w:rFonts w:hint="eastAsia"/>
        </w:rPr>
        <w:t>2、预算执行率</w:t>
      </w:r>
    </w:p>
    <w:p>
      <w:pPr>
        <w:spacing w:line="580" w:lineRule="exact"/>
        <w:ind w:firstLine="750" w:firstLineChars="250"/>
        <w:rPr>
          <w:rFonts w:hint="eastAsia"/>
        </w:rPr>
      </w:pPr>
      <w:r>
        <w:rPr>
          <w:rFonts w:hint="eastAsia"/>
        </w:rPr>
        <w:t>年初预算数</w:t>
      </w:r>
      <w:r>
        <w:rPr>
          <w:rFonts w:hint="eastAsia"/>
          <w:lang w:val="en-US" w:eastAsia="zh-CN"/>
        </w:rPr>
        <w:t>100</w:t>
      </w:r>
      <w:r>
        <w:rPr>
          <w:rFonts w:hint="eastAsia"/>
        </w:rPr>
        <w:t>万元，全年预算数</w:t>
      </w:r>
      <w:r>
        <w:rPr>
          <w:rFonts w:hint="eastAsia"/>
          <w:lang w:val="en-US" w:eastAsia="zh-CN"/>
        </w:rPr>
        <w:t>100</w:t>
      </w:r>
      <w:r>
        <w:rPr>
          <w:rFonts w:hint="eastAsia"/>
        </w:rPr>
        <w:t>万元，全年执行数</w:t>
      </w:r>
      <w:r>
        <w:rPr>
          <w:rFonts w:hint="eastAsia"/>
          <w:lang w:val="en-US" w:eastAsia="zh-CN"/>
        </w:rPr>
        <w:t>100</w:t>
      </w:r>
      <w:r>
        <w:rPr>
          <w:rFonts w:hint="eastAsia"/>
        </w:rPr>
        <w:t>万元，预算执行率为</w:t>
      </w:r>
      <w:r>
        <w:rPr>
          <w:rFonts w:hint="eastAsia"/>
          <w:lang w:val="en-US" w:eastAsia="zh-CN"/>
        </w:rPr>
        <w:t>100</w:t>
      </w:r>
      <w:r>
        <w:rPr>
          <w:rFonts w:hint="eastAsia"/>
        </w:rPr>
        <w:t>%.</w:t>
      </w:r>
    </w:p>
    <w:p>
      <w:pPr>
        <w:spacing w:line="580" w:lineRule="exact"/>
        <w:ind w:firstLine="750" w:firstLineChars="250"/>
        <w:rPr>
          <w:rFonts w:hint="eastAsia"/>
        </w:rPr>
      </w:pPr>
      <w:r>
        <w:rPr>
          <w:rFonts w:hint="eastAsia"/>
        </w:rPr>
        <w:t>3、资金使用合规性</w:t>
      </w:r>
    </w:p>
    <w:p>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对于“资金管理”，根据评分标准，实际得分12分，得分率100%；</w:t>
      </w:r>
    </w:p>
    <w:p>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4、管理制度健全性</w:t>
      </w:r>
    </w:p>
    <w:p>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制度执行有效性</w:t>
      </w:r>
    </w:p>
    <w:p>
      <w:pPr>
        <w:spacing w:line="560" w:lineRule="exact"/>
        <w:ind w:firstLine="640" w:firstLineChars="2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w:t>
      </w:r>
      <w:r>
        <w:rPr>
          <w:rFonts w:hint="eastAsia" w:ascii="Times New Roman" w:hAnsi="Times New Roman" w:cs="Times New Roman"/>
          <w:lang w:val="en-US" w:eastAsia="zh-CN"/>
        </w:rPr>
        <w:t>况。</w:t>
      </w:r>
      <w:r>
        <w:rPr>
          <w:rFonts w:hint="eastAsia" w:ascii="仿宋_GB2312" w:hAnsi="仿宋" w:eastAsia="仿宋_GB2312" w:cs="宋体"/>
          <w:color w:val="333333"/>
          <w:sz w:val="32"/>
          <w:szCs w:val="32"/>
        </w:rPr>
        <w:t>对于“组织实施”，根据评分标准，实际得分8分，实际得分率100%。</w:t>
      </w:r>
    </w:p>
    <w:p>
      <w:pPr>
        <w:spacing w:line="360" w:lineRule="auto"/>
      </w:pPr>
    </w:p>
    <w:p>
      <w:pPr>
        <w:pStyle w:val="3"/>
        <w:spacing w:line="360" w:lineRule="auto"/>
        <w:rPr>
          <w:rFonts w:ascii="仿宋_GB2312" w:eastAsia="仿宋_GB2312"/>
          <w:b w:val="0"/>
          <w:bCs w:val="0"/>
        </w:rPr>
      </w:pPr>
      <w:bookmarkStart w:id="13" w:name="_Toc68703840"/>
      <w:r>
        <w:rPr>
          <w:rFonts w:hint="eastAsia" w:ascii="仿宋_GB2312" w:eastAsia="仿宋_GB2312"/>
          <w:b w:val="0"/>
          <w:bCs w:val="0"/>
        </w:rPr>
        <w:t>（三）项目产出情况。</w:t>
      </w:r>
      <w:bookmarkEnd w:id="13"/>
    </w:p>
    <w:p>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数量指标完成情况：指标1：改造工程量，指标值：60平方公里，实际完成值60平方公里，指标完成率100%，无偏差</w:t>
      </w:r>
      <w:r>
        <w:rPr>
          <w:rFonts w:hint="eastAsia" w:ascii="仿宋_GB2312" w:hAnsi="仿宋" w:cs="宋体"/>
          <w:color w:val="333333"/>
          <w:sz w:val="32"/>
          <w:szCs w:val="32"/>
          <w:lang w:val="en-US" w:eastAsia="zh-CN"/>
        </w:rPr>
        <w:t>。</w:t>
      </w:r>
    </w:p>
    <w:p>
      <w:pPr>
        <w:spacing w:line="560" w:lineRule="exact"/>
        <w:ind w:firstLine="640" w:firstLineChars="200"/>
        <w:jc w:val="left"/>
        <w:rPr>
          <w:rFonts w:hint="default"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指标2：改造工程数量，指标值：</w:t>
      </w:r>
      <w:r>
        <w:rPr>
          <w:rFonts w:hint="eastAsia" w:ascii="仿宋_GB2312" w:hAnsi="仿宋" w:cs="宋体"/>
          <w:color w:val="333333"/>
          <w:sz w:val="32"/>
          <w:szCs w:val="32"/>
          <w:lang w:val="en-US" w:eastAsia="zh-CN"/>
        </w:rPr>
        <w:t>1个</w:t>
      </w:r>
      <w:r>
        <w:rPr>
          <w:rFonts w:hint="eastAsia" w:ascii="仿宋_GB2312" w:hAnsi="仿宋" w:eastAsia="仿宋_GB2312" w:cs="宋体"/>
          <w:color w:val="333333"/>
          <w:sz w:val="32"/>
          <w:szCs w:val="32"/>
          <w:lang w:val="en-US" w:eastAsia="zh-CN"/>
        </w:rPr>
        <w:t>，实际完成值</w:t>
      </w:r>
      <w:r>
        <w:rPr>
          <w:rFonts w:hint="eastAsia" w:ascii="仿宋_GB2312" w:hAnsi="仿宋" w:cs="宋体"/>
          <w:color w:val="333333"/>
          <w:sz w:val="32"/>
          <w:szCs w:val="32"/>
          <w:lang w:val="en-US" w:eastAsia="zh-CN"/>
        </w:rPr>
        <w:t>1个</w:t>
      </w:r>
      <w:r>
        <w:rPr>
          <w:rFonts w:hint="eastAsia" w:ascii="仿宋_GB2312" w:hAnsi="仿宋" w:eastAsia="仿宋_GB2312" w:cs="宋体"/>
          <w:color w:val="333333"/>
          <w:sz w:val="32"/>
          <w:szCs w:val="32"/>
          <w:lang w:val="en-US" w:eastAsia="zh-CN"/>
        </w:rPr>
        <w:t>，指标完成率100%，无偏差。</w:t>
      </w:r>
    </w:p>
    <w:p>
      <w:pPr>
        <w:spacing w:line="560" w:lineRule="exact"/>
        <w:ind w:firstLine="640" w:firstLineChars="200"/>
        <w:jc w:val="left"/>
        <w:rPr>
          <w:rFonts w:hint="eastAsia" w:ascii="仿宋_GB2312" w:hAnsi="仿宋" w:cs="宋体"/>
          <w:color w:val="333333"/>
          <w:sz w:val="32"/>
          <w:szCs w:val="32"/>
          <w:lang w:val="en-US" w:eastAsia="zh-CN"/>
        </w:rPr>
      </w:pPr>
      <w:r>
        <w:rPr>
          <w:rFonts w:hint="eastAsia" w:ascii="仿宋_GB2312" w:hAnsi="仿宋" w:eastAsia="仿宋_GB2312" w:cs="宋体"/>
          <w:color w:val="333333"/>
          <w:sz w:val="32"/>
          <w:szCs w:val="32"/>
          <w:lang w:val="en-US" w:eastAsia="zh-CN"/>
        </w:rPr>
        <w:t>质量指标完成情况：指标1：项目设计变更率，指标值：&lt;=3％</w:t>
      </w:r>
      <w:r>
        <w:rPr>
          <w:rFonts w:hint="eastAsia" w:ascii="仿宋_GB2312" w:hAnsi="仿宋" w:cs="宋体"/>
          <w:color w:val="333333"/>
          <w:sz w:val="32"/>
          <w:szCs w:val="32"/>
          <w:lang w:val="en-US" w:eastAsia="zh-CN"/>
        </w:rPr>
        <w:t>，</w:t>
      </w:r>
      <w:r>
        <w:rPr>
          <w:rFonts w:hint="eastAsia" w:ascii="仿宋_GB2312" w:hAnsi="仿宋" w:eastAsia="仿宋_GB2312" w:cs="宋体"/>
          <w:color w:val="333333"/>
          <w:sz w:val="32"/>
          <w:szCs w:val="32"/>
          <w:lang w:val="en-US" w:eastAsia="zh-CN"/>
        </w:rPr>
        <w:t>实际完成</w:t>
      </w:r>
      <w:r>
        <w:rPr>
          <w:rFonts w:hint="eastAsia" w:ascii="仿宋_GB2312" w:hAnsi="仿宋" w:eastAsia="仿宋_GB2312" w:cs="宋体"/>
          <w:color w:val="333333"/>
          <w:sz w:val="32"/>
          <w:szCs w:val="32"/>
          <w:highlight w:val="none"/>
          <w:lang w:val="en-US" w:eastAsia="zh-CN"/>
        </w:rPr>
        <w:t>值</w:t>
      </w:r>
      <w:r>
        <w:rPr>
          <w:rFonts w:hint="eastAsia" w:ascii="仿宋_GB2312" w:hAnsi="仿宋" w:cs="宋体"/>
          <w:color w:val="333333"/>
          <w:sz w:val="32"/>
          <w:szCs w:val="32"/>
          <w:highlight w:val="none"/>
          <w:lang w:val="en-US" w:eastAsia="zh-CN"/>
        </w:rPr>
        <w:t>0</w:t>
      </w:r>
      <w:r>
        <w:rPr>
          <w:rFonts w:hint="eastAsia" w:ascii="仿宋_GB2312" w:hAnsi="仿宋" w:eastAsia="仿宋_GB2312" w:cs="宋体"/>
          <w:color w:val="333333"/>
          <w:sz w:val="32"/>
          <w:szCs w:val="32"/>
          <w:highlight w:val="none"/>
          <w:lang w:val="en-US" w:eastAsia="zh-CN"/>
        </w:rPr>
        <w:t>%，</w:t>
      </w:r>
      <w:r>
        <w:rPr>
          <w:rFonts w:hint="eastAsia" w:ascii="仿宋_GB2312" w:hAnsi="仿宋" w:eastAsia="仿宋_GB2312" w:cs="宋体"/>
          <w:color w:val="333333"/>
          <w:sz w:val="32"/>
          <w:szCs w:val="32"/>
          <w:lang w:val="en-US" w:eastAsia="zh-CN"/>
        </w:rPr>
        <w:t>指标完成率100%，</w:t>
      </w:r>
      <w:r>
        <w:rPr>
          <w:rFonts w:hint="eastAsia" w:ascii="仿宋_GB2312" w:hAnsi="仿宋" w:cs="宋体"/>
          <w:color w:val="333333"/>
          <w:sz w:val="32"/>
          <w:szCs w:val="32"/>
          <w:lang w:val="en-US" w:eastAsia="zh-CN"/>
        </w:rPr>
        <w:t>偏差原因：</w:t>
      </w:r>
    </w:p>
    <w:p>
      <w:pPr>
        <w:spacing w:line="560" w:lineRule="exact"/>
        <w:ind w:firstLine="640" w:firstLineChars="200"/>
        <w:jc w:val="left"/>
        <w:rPr>
          <w:rFonts w:hint="eastAsia" w:ascii="仿宋_GB2312" w:hAnsi="仿宋" w:cs="宋体"/>
          <w:color w:val="333333"/>
          <w:sz w:val="32"/>
          <w:szCs w:val="32"/>
          <w:lang w:val="en-US" w:eastAsia="zh-CN"/>
        </w:rPr>
      </w:pPr>
      <w:r>
        <w:rPr>
          <w:rFonts w:hint="eastAsia" w:ascii="仿宋_GB2312" w:hAnsi="仿宋" w:eastAsia="仿宋_GB2312" w:cs="宋体"/>
          <w:color w:val="333333"/>
          <w:sz w:val="32"/>
          <w:szCs w:val="32"/>
          <w:lang w:val="en-US" w:eastAsia="zh-CN"/>
        </w:rPr>
        <w:t>指标</w:t>
      </w:r>
      <w:r>
        <w:rPr>
          <w:rFonts w:hint="eastAsia" w:ascii="仿宋_GB2312" w:hAnsi="仿宋" w:cs="宋体"/>
          <w:color w:val="333333"/>
          <w:sz w:val="32"/>
          <w:szCs w:val="32"/>
          <w:lang w:val="en-US" w:eastAsia="zh-CN"/>
        </w:rPr>
        <w:t>2</w:t>
      </w:r>
      <w:r>
        <w:rPr>
          <w:rFonts w:hint="eastAsia" w:ascii="仿宋_GB2312" w:hAnsi="仿宋" w:eastAsia="仿宋_GB2312" w:cs="宋体"/>
          <w:color w:val="333333"/>
          <w:sz w:val="32"/>
          <w:szCs w:val="32"/>
          <w:lang w:val="en-US" w:eastAsia="zh-CN"/>
        </w:rPr>
        <w:t>：竣工验收合格率，指标值：</w:t>
      </w:r>
      <w:r>
        <w:rPr>
          <w:rFonts w:hint="eastAsia" w:ascii="仿宋_GB2312" w:hAnsi="仿宋" w:cs="宋体"/>
          <w:color w:val="333333"/>
          <w:sz w:val="32"/>
          <w:szCs w:val="32"/>
          <w:lang w:val="en-US" w:eastAsia="zh-CN"/>
        </w:rPr>
        <w:t>95</w:t>
      </w:r>
      <w:r>
        <w:rPr>
          <w:rFonts w:hint="eastAsia" w:ascii="仿宋_GB2312" w:hAnsi="仿宋" w:eastAsia="仿宋_GB2312" w:cs="宋体"/>
          <w:color w:val="333333"/>
          <w:sz w:val="32"/>
          <w:szCs w:val="32"/>
          <w:lang w:val="en-US" w:eastAsia="zh-CN"/>
        </w:rPr>
        <w:t>%，实际完成值100%，指标完成率</w:t>
      </w:r>
      <w:r>
        <w:rPr>
          <w:rFonts w:hint="eastAsia" w:ascii="仿宋_GB2312" w:hAnsi="仿宋" w:eastAsia="仿宋_GB2312" w:cs="宋体"/>
          <w:color w:val="333333"/>
          <w:sz w:val="32"/>
          <w:szCs w:val="32"/>
          <w:highlight w:val="none"/>
          <w:lang w:val="en-US" w:eastAsia="zh-CN"/>
        </w:rPr>
        <w:t>10</w:t>
      </w:r>
      <w:r>
        <w:rPr>
          <w:rFonts w:hint="eastAsia" w:ascii="仿宋_GB2312" w:hAnsi="仿宋" w:cs="宋体"/>
          <w:color w:val="333333"/>
          <w:sz w:val="32"/>
          <w:szCs w:val="32"/>
          <w:highlight w:val="none"/>
          <w:lang w:val="en-US" w:eastAsia="zh-CN"/>
        </w:rPr>
        <w:t>5</w:t>
      </w:r>
      <w:r>
        <w:rPr>
          <w:rFonts w:hint="eastAsia" w:ascii="仿宋_GB2312" w:hAnsi="仿宋" w:eastAsia="仿宋_GB2312" w:cs="宋体"/>
          <w:color w:val="333333"/>
          <w:sz w:val="32"/>
          <w:szCs w:val="32"/>
          <w:highlight w:val="none"/>
          <w:lang w:val="en-US" w:eastAsia="zh-CN"/>
        </w:rPr>
        <w:t>%，</w:t>
      </w:r>
      <w:r>
        <w:rPr>
          <w:rFonts w:hint="eastAsia" w:ascii="仿宋_GB2312" w:hAnsi="仿宋" w:cs="宋体"/>
          <w:color w:val="333333"/>
          <w:sz w:val="32"/>
          <w:szCs w:val="32"/>
          <w:lang w:val="en-US" w:eastAsia="zh-CN"/>
        </w:rPr>
        <w:t>偏差原因：</w:t>
      </w:r>
    </w:p>
    <w:p>
      <w:pPr>
        <w:spacing w:line="560" w:lineRule="exact"/>
        <w:ind w:firstLine="640" w:firstLineChars="200"/>
        <w:jc w:val="left"/>
        <w:rPr>
          <w:rFonts w:hint="default"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指标</w:t>
      </w:r>
      <w:r>
        <w:rPr>
          <w:rFonts w:hint="eastAsia" w:ascii="仿宋_GB2312" w:hAnsi="仿宋" w:cs="宋体"/>
          <w:color w:val="333333"/>
          <w:sz w:val="32"/>
          <w:szCs w:val="32"/>
          <w:lang w:val="en-US" w:eastAsia="zh-CN"/>
        </w:rPr>
        <w:t>3</w:t>
      </w:r>
      <w:r>
        <w:rPr>
          <w:rFonts w:hint="eastAsia" w:ascii="仿宋_GB2312" w:hAnsi="仿宋" w:eastAsia="仿宋_GB2312" w:cs="宋体"/>
          <w:color w:val="333333"/>
          <w:sz w:val="32"/>
          <w:szCs w:val="32"/>
          <w:lang w:val="en-US" w:eastAsia="zh-CN"/>
        </w:rPr>
        <w:t>：项目资金支付率，指标值：100%，实际完成值100%，指标完成率100%，无偏差</w:t>
      </w:r>
    </w:p>
    <w:p>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时效指标完成情况：指标1：项目按计划开工及时率，指标值：</w:t>
      </w:r>
      <w:r>
        <w:rPr>
          <w:rFonts w:hint="eastAsia" w:ascii="仿宋_GB2312" w:hAnsi="仿宋" w:cs="宋体"/>
          <w:color w:val="333333"/>
          <w:sz w:val="32"/>
          <w:szCs w:val="32"/>
          <w:lang w:val="en-US" w:eastAsia="zh-CN"/>
        </w:rPr>
        <w:t>95</w:t>
      </w:r>
      <w:r>
        <w:rPr>
          <w:rFonts w:hint="eastAsia" w:ascii="仿宋_GB2312" w:hAnsi="仿宋" w:eastAsia="仿宋_GB2312" w:cs="宋体"/>
          <w:color w:val="333333"/>
          <w:sz w:val="32"/>
          <w:szCs w:val="32"/>
          <w:lang w:val="en-US" w:eastAsia="zh-CN"/>
        </w:rPr>
        <w:t>%，实际完成值</w:t>
      </w:r>
      <w:r>
        <w:rPr>
          <w:rFonts w:hint="eastAsia" w:ascii="仿宋_GB2312" w:hAnsi="仿宋" w:cs="宋体"/>
          <w:color w:val="333333"/>
          <w:sz w:val="32"/>
          <w:szCs w:val="32"/>
          <w:lang w:val="en-US" w:eastAsia="zh-CN"/>
        </w:rPr>
        <w:t>95</w:t>
      </w:r>
      <w:r>
        <w:rPr>
          <w:rFonts w:hint="eastAsia" w:ascii="仿宋_GB2312" w:hAnsi="仿宋" w:eastAsia="仿宋_GB2312" w:cs="宋体"/>
          <w:color w:val="333333"/>
          <w:sz w:val="32"/>
          <w:szCs w:val="32"/>
          <w:lang w:val="en-US" w:eastAsia="zh-CN"/>
        </w:rPr>
        <w:t>%，指标完成率100%，</w:t>
      </w:r>
      <w:r>
        <w:rPr>
          <w:rFonts w:hint="eastAsia" w:ascii="仿宋_GB2312" w:hAnsi="仿宋" w:cs="宋体"/>
          <w:color w:val="333333"/>
          <w:sz w:val="32"/>
          <w:szCs w:val="32"/>
          <w:lang w:val="en-US" w:eastAsia="zh-CN"/>
        </w:rPr>
        <w:t>偏差原因：</w:t>
      </w:r>
    </w:p>
    <w:p>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指标</w:t>
      </w:r>
      <w:r>
        <w:rPr>
          <w:rFonts w:hint="eastAsia" w:ascii="仿宋_GB2312" w:hAnsi="仿宋" w:cs="宋体"/>
          <w:color w:val="333333"/>
          <w:sz w:val="32"/>
          <w:szCs w:val="32"/>
          <w:lang w:val="en-US" w:eastAsia="zh-CN"/>
        </w:rPr>
        <w:t>2</w:t>
      </w:r>
      <w:r>
        <w:rPr>
          <w:rFonts w:hint="eastAsia" w:ascii="仿宋_GB2312" w:hAnsi="仿宋" w:eastAsia="仿宋_GB2312" w:cs="宋体"/>
          <w:color w:val="333333"/>
          <w:sz w:val="32"/>
          <w:szCs w:val="32"/>
          <w:lang w:val="en-US" w:eastAsia="zh-CN"/>
        </w:rPr>
        <w:t>：项目按计划完工及时率，指标值：</w:t>
      </w:r>
      <w:r>
        <w:rPr>
          <w:rFonts w:hint="eastAsia" w:ascii="仿宋_GB2312" w:hAnsi="仿宋" w:cs="宋体"/>
          <w:color w:val="333333"/>
          <w:sz w:val="32"/>
          <w:szCs w:val="32"/>
          <w:lang w:val="en-US" w:eastAsia="zh-CN"/>
        </w:rPr>
        <w:t>95</w:t>
      </w:r>
      <w:r>
        <w:rPr>
          <w:rFonts w:hint="eastAsia" w:ascii="仿宋_GB2312" w:hAnsi="仿宋" w:eastAsia="仿宋_GB2312" w:cs="宋体"/>
          <w:color w:val="333333"/>
          <w:sz w:val="32"/>
          <w:szCs w:val="32"/>
          <w:lang w:val="en-US" w:eastAsia="zh-CN"/>
        </w:rPr>
        <w:t>%，实际完成值</w:t>
      </w:r>
      <w:r>
        <w:rPr>
          <w:rFonts w:hint="eastAsia" w:ascii="仿宋_GB2312" w:hAnsi="仿宋" w:cs="宋体"/>
          <w:color w:val="333333"/>
          <w:sz w:val="32"/>
          <w:szCs w:val="32"/>
          <w:lang w:val="en-US" w:eastAsia="zh-CN"/>
        </w:rPr>
        <w:t>95</w:t>
      </w:r>
      <w:r>
        <w:rPr>
          <w:rFonts w:hint="eastAsia" w:ascii="仿宋_GB2312" w:hAnsi="仿宋" w:eastAsia="仿宋_GB2312" w:cs="宋体"/>
          <w:color w:val="333333"/>
          <w:sz w:val="32"/>
          <w:szCs w:val="32"/>
          <w:lang w:val="en-US" w:eastAsia="zh-CN"/>
        </w:rPr>
        <w:t>%，指标完成率100%，</w:t>
      </w:r>
      <w:r>
        <w:rPr>
          <w:rFonts w:hint="eastAsia" w:ascii="仿宋_GB2312" w:hAnsi="仿宋" w:cs="宋体"/>
          <w:color w:val="333333"/>
          <w:sz w:val="32"/>
          <w:szCs w:val="32"/>
          <w:lang w:val="en-US" w:eastAsia="zh-CN"/>
        </w:rPr>
        <w:t>偏差原因：</w:t>
      </w:r>
    </w:p>
    <w:p>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4.经济成本指标完成情况：指标1：项目预算控制率，指标值：100%，指标完成率100%，无偏差</w:t>
      </w:r>
      <w:r>
        <w:rPr>
          <w:rFonts w:hint="eastAsia" w:ascii="仿宋_GB2312" w:hAnsi="仿宋" w:cs="宋体"/>
          <w:color w:val="333333"/>
          <w:sz w:val="32"/>
          <w:szCs w:val="32"/>
          <w:lang w:val="en-US" w:eastAsia="zh-CN"/>
        </w:rPr>
        <w:t>。</w:t>
      </w:r>
    </w:p>
    <w:p>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（四）项目效益情况。</w:t>
      </w:r>
    </w:p>
    <w:p>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1.社会效益指标完成情况：指标1：正常运转率，指标值：</w:t>
      </w:r>
      <w:r>
        <w:rPr>
          <w:rFonts w:hint="eastAsia" w:ascii="仿宋_GB2312" w:hAnsi="仿宋" w:cs="宋体"/>
          <w:color w:val="333333"/>
          <w:sz w:val="32"/>
          <w:szCs w:val="32"/>
          <w:lang w:val="en-US" w:eastAsia="zh-CN"/>
        </w:rPr>
        <w:t>95%，</w:t>
      </w:r>
      <w:r>
        <w:rPr>
          <w:rFonts w:hint="eastAsia" w:ascii="仿宋_GB2312" w:hAnsi="仿宋" w:eastAsia="仿宋_GB2312" w:cs="宋体"/>
          <w:color w:val="333333"/>
          <w:sz w:val="32"/>
          <w:szCs w:val="32"/>
          <w:lang w:val="en-US" w:eastAsia="zh-CN"/>
        </w:rPr>
        <w:t>实际完成值</w:t>
      </w:r>
      <w:r>
        <w:rPr>
          <w:rFonts w:hint="eastAsia" w:ascii="仿宋_GB2312" w:hAnsi="仿宋" w:cs="宋体"/>
          <w:color w:val="333333"/>
          <w:sz w:val="32"/>
          <w:szCs w:val="32"/>
          <w:lang w:val="en-US" w:eastAsia="zh-CN"/>
        </w:rPr>
        <w:t>：95%，</w:t>
      </w:r>
      <w:r>
        <w:rPr>
          <w:rFonts w:hint="eastAsia" w:ascii="仿宋_GB2312" w:hAnsi="仿宋" w:eastAsia="仿宋_GB2312" w:cs="宋体"/>
          <w:color w:val="333333"/>
          <w:sz w:val="32"/>
          <w:szCs w:val="32"/>
          <w:lang w:val="en-US" w:eastAsia="zh-CN"/>
        </w:rPr>
        <w:t>指标完成率100%，</w:t>
      </w:r>
      <w:r>
        <w:rPr>
          <w:rFonts w:hint="eastAsia" w:ascii="仿宋_GB2312" w:hAnsi="仿宋" w:cs="宋体"/>
          <w:color w:val="333333"/>
          <w:sz w:val="32"/>
          <w:szCs w:val="32"/>
          <w:lang w:val="en-US" w:eastAsia="zh-CN"/>
        </w:rPr>
        <w:t>偏差原因：</w:t>
      </w:r>
    </w:p>
    <w:p>
      <w:pPr>
        <w:spacing w:line="560" w:lineRule="exact"/>
        <w:ind w:firstLine="640" w:firstLineChars="200"/>
        <w:jc w:val="left"/>
        <w:rPr>
          <w:rFonts w:hint="default"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指标</w:t>
      </w:r>
      <w:r>
        <w:rPr>
          <w:rFonts w:hint="eastAsia" w:ascii="仿宋_GB2312" w:hAnsi="仿宋" w:cs="宋体"/>
          <w:color w:val="333333"/>
          <w:sz w:val="32"/>
          <w:szCs w:val="32"/>
          <w:lang w:val="en-US" w:eastAsia="zh-CN"/>
        </w:rPr>
        <w:t>2</w:t>
      </w:r>
      <w:r>
        <w:rPr>
          <w:rFonts w:hint="eastAsia" w:ascii="仿宋_GB2312" w:hAnsi="仿宋" w:eastAsia="仿宋_GB2312" w:cs="宋体"/>
          <w:color w:val="333333"/>
          <w:sz w:val="32"/>
          <w:szCs w:val="32"/>
          <w:lang w:val="en-US" w:eastAsia="zh-CN"/>
        </w:rPr>
        <w:t>：项目收益人数，指标值：</w:t>
      </w:r>
      <w:r>
        <w:rPr>
          <w:rFonts w:hint="eastAsia" w:ascii="仿宋_GB2312" w:hAnsi="仿宋" w:cs="宋体"/>
          <w:color w:val="333333"/>
          <w:sz w:val="32"/>
          <w:szCs w:val="32"/>
          <w:lang w:val="en-US" w:eastAsia="zh-CN"/>
        </w:rPr>
        <w:t>50个</w:t>
      </w:r>
      <w:r>
        <w:rPr>
          <w:rFonts w:hint="eastAsia" w:ascii="仿宋_GB2312" w:hAnsi="仿宋" w:eastAsia="仿宋_GB2312" w:cs="宋体"/>
          <w:color w:val="333333"/>
          <w:sz w:val="32"/>
          <w:szCs w:val="32"/>
          <w:lang w:val="en-US" w:eastAsia="zh-CN"/>
        </w:rPr>
        <w:t>，实际完成值</w:t>
      </w:r>
      <w:r>
        <w:rPr>
          <w:rFonts w:hint="eastAsia" w:ascii="仿宋_GB2312" w:hAnsi="仿宋" w:cs="宋体"/>
          <w:color w:val="333333"/>
          <w:sz w:val="32"/>
          <w:szCs w:val="32"/>
          <w:lang w:val="en-US" w:eastAsia="zh-CN"/>
        </w:rPr>
        <w:t>：50</w:t>
      </w:r>
      <w:r>
        <w:rPr>
          <w:rFonts w:hint="eastAsia" w:ascii="仿宋_GB2312" w:hAnsi="仿宋" w:eastAsia="仿宋_GB2312" w:cs="宋体"/>
          <w:color w:val="333333"/>
          <w:sz w:val="32"/>
          <w:szCs w:val="32"/>
          <w:lang w:val="en-US" w:eastAsia="zh-CN"/>
        </w:rPr>
        <w:t>，指标完成率100%，无偏差。</w:t>
      </w:r>
    </w:p>
    <w:p>
      <w:pPr>
        <w:spacing w:line="560" w:lineRule="exact"/>
        <w:ind w:firstLine="640" w:firstLineChars="200"/>
        <w:jc w:val="left"/>
        <w:rPr>
          <w:rFonts w:hint="eastAsia" w:ascii="仿宋_GB2312" w:hAnsi="仿宋" w:eastAsia="仿宋_GB2312" w:cs="宋体"/>
          <w:color w:val="333333"/>
          <w:sz w:val="32"/>
          <w:szCs w:val="32"/>
          <w:lang w:val="en-US" w:eastAsia="zh-CN"/>
        </w:rPr>
      </w:pPr>
    </w:p>
    <w:p>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2.满意度指标完成情况分析：指标1：受益群众满意度，指标值：100%，实际完成值100%，指标完成率100%，无偏差。</w:t>
      </w:r>
    </w:p>
    <w:p>
      <w:pPr>
        <w:spacing w:line="560" w:lineRule="exact"/>
        <w:ind w:firstLine="643" w:firstLineChars="200"/>
        <w:jc w:val="left"/>
        <w:rPr>
          <w:rFonts w:hint="eastAsia" w:ascii="仿宋_GB2312" w:hAnsi="仿宋" w:eastAsia="仿宋_GB2312" w:cs="宋体"/>
          <w:b/>
          <w:bCs/>
          <w:color w:val="333333"/>
          <w:sz w:val="32"/>
          <w:szCs w:val="32"/>
          <w:lang w:val="en-US" w:eastAsia="zh-Hans"/>
        </w:rPr>
      </w:pPr>
      <w:r>
        <w:rPr>
          <w:rFonts w:hint="eastAsia" w:ascii="仿宋_GB2312" w:hAnsi="仿宋" w:eastAsia="仿宋_GB2312" w:cs="宋体"/>
          <w:b/>
          <w:bCs/>
          <w:color w:val="333333"/>
          <w:sz w:val="32"/>
          <w:szCs w:val="32"/>
          <w:lang w:val="en-US" w:eastAsia="zh-Hans"/>
        </w:rPr>
        <w:t>五、预算执行进度与绩效指标总体完成率偏差</w:t>
      </w:r>
    </w:p>
    <w:p>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焉耆县葡萄产业品牌宣传营销中心建设（二期改造）项目年初预算</w:t>
      </w:r>
      <w:r>
        <w:rPr>
          <w:rFonts w:hint="eastAsia" w:ascii="仿宋_GB2312" w:hAnsi="仿宋" w:cs="宋体"/>
          <w:color w:val="333333"/>
          <w:sz w:val="32"/>
          <w:szCs w:val="32"/>
          <w:lang w:val="en-US" w:eastAsia="zh-CN"/>
        </w:rPr>
        <w:t>100</w:t>
      </w:r>
      <w:r>
        <w:rPr>
          <w:rFonts w:hint="eastAsia" w:ascii="仿宋_GB2312" w:hAnsi="仿宋" w:eastAsia="仿宋_GB2312" w:cs="宋体"/>
          <w:color w:val="333333"/>
          <w:sz w:val="32"/>
          <w:szCs w:val="32"/>
          <w:lang w:val="en-US" w:eastAsia="zh-CN"/>
        </w:rPr>
        <w:t>万元，全年预算</w:t>
      </w:r>
      <w:r>
        <w:rPr>
          <w:rFonts w:hint="eastAsia" w:ascii="仿宋_GB2312" w:hAnsi="仿宋" w:cs="宋体"/>
          <w:color w:val="333333"/>
          <w:sz w:val="32"/>
          <w:szCs w:val="32"/>
          <w:lang w:val="en-US" w:eastAsia="zh-CN"/>
        </w:rPr>
        <w:t>100</w:t>
      </w:r>
      <w:r>
        <w:rPr>
          <w:rFonts w:hint="eastAsia" w:ascii="仿宋_GB2312" w:hAnsi="仿宋" w:eastAsia="仿宋_GB2312" w:cs="宋体"/>
          <w:color w:val="333333"/>
          <w:sz w:val="32"/>
          <w:szCs w:val="32"/>
          <w:lang w:val="en-US" w:eastAsia="zh-CN"/>
        </w:rPr>
        <w:t>万元，实际支出</w:t>
      </w:r>
      <w:r>
        <w:rPr>
          <w:rFonts w:hint="eastAsia" w:ascii="仿宋_GB2312" w:hAnsi="仿宋" w:cs="宋体"/>
          <w:color w:val="333333"/>
          <w:sz w:val="32"/>
          <w:szCs w:val="32"/>
          <w:lang w:val="en-US" w:eastAsia="zh-CN"/>
        </w:rPr>
        <w:t>100</w:t>
      </w:r>
      <w:r>
        <w:rPr>
          <w:rFonts w:hint="eastAsia" w:ascii="仿宋_GB2312" w:hAnsi="仿宋" w:eastAsia="仿宋_GB2312" w:cs="宋体"/>
          <w:color w:val="333333"/>
          <w:sz w:val="32"/>
          <w:szCs w:val="32"/>
          <w:lang w:val="en-US" w:eastAsia="zh-CN"/>
        </w:rPr>
        <w:t>万元，预算执行率为100%，项目绩效指标总体完成率为100%，</w:t>
      </w:r>
      <w:r>
        <w:rPr>
          <w:rFonts w:hint="eastAsia" w:ascii="仿宋_GB2312" w:hAnsi="仿宋" w:eastAsia="仿宋_GB2312" w:cs="宋体"/>
          <w:color w:val="333333"/>
          <w:sz w:val="32"/>
          <w:szCs w:val="32"/>
          <w:lang w:val="en-US" w:eastAsia="zh-Hans"/>
        </w:rPr>
        <w:t>总体</w:t>
      </w:r>
      <w:r>
        <w:rPr>
          <w:rFonts w:hint="eastAsia" w:ascii="仿宋_GB2312" w:hAnsi="仿宋" w:eastAsia="仿宋_GB2312" w:cs="宋体"/>
          <w:color w:val="333333"/>
          <w:sz w:val="32"/>
          <w:szCs w:val="32"/>
          <w:lang w:val="en-US" w:eastAsia="zh-CN"/>
        </w:rPr>
        <w:t>偏差率为0%,</w:t>
      </w:r>
      <w:r>
        <w:rPr>
          <w:rFonts w:hint="eastAsia" w:ascii="仿宋_GB2312" w:hAnsi="仿宋" w:eastAsia="仿宋_GB2312" w:cs="宋体"/>
          <w:color w:val="333333"/>
          <w:sz w:val="32"/>
          <w:szCs w:val="32"/>
          <w:lang w:val="en-US" w:eastAsia="zh-Hans"/>
        </w:rPr>
        <w:t>偏差</w:t>
      </w:r>
      <w:r>
        <w:rPr>
          <w:rFonts w:hint="eastAsia" w:ascii="仿宋_GB2312" w:hAnsi="仿宋" w:eastAsia="仿宋_GB2312" w:cs="宋体"/>
          <w:color w:val="333333"/>
          <w:sz w:val="32"/>
          <w:szCs w:val="32"/>
          <w:lang w:val="en-US" w:eastAsia="zh-CN"/>
        </w:rPr>
        <w:t>原因无，</w:t>
      </w:r>
      <w:r>
        <w:rPr>
          <w:rFonts w:hint="eastAsia" w:ascii="仿宋_GB2312" w:hAnsi="仿宋" w:eastAsia="仿宋_GB2312" w:cs="宋体"/>
          <w:color w:val="333333"/>
          <w:sz w:val="32"/>
          <w:szCs w:val="32"/>
          <w:lang w:val="en-US" w:eastAsia="zh-Hans"/>
        </w:rPr>
        <w:t>改进</w:t>
      </w:r>
      <w:r>
        <w:rPr>
          <w:rFonts w:hint="eastAsia" w:ascii="仿宋_GB2312" w:hAnsi="仿宋" w:eastAsia="仿宋_GB2312" w:cs="宋体"/>
          <w:color w:val="333333"/>
          <w:sz w:val="32"/>
          <w:szCs w:val="32"/>
          <w:lang w:val="en-US" w:eastAsia="zh-CN"/>
        </w:rPr>
        <w:t>措施无。</w:t>
      </w:r>
    </w:p>
    <w:p>
      <w:pPr>
        <w:spacing w:line="560" w:lineRule="exact"/>
        <w:ind w:firstLine="640" w:firstLineChars="200"/>
        <w:jc w:val="left"/>
        <w:rPr>
          <w:rFonts w:hint="eastAsia" w:ascii="仿宋_GB2312" w:hAnsi="仿宋" w:eastAsia="仿宋_GB2312" w:cs="宋体"/>
          <w:color w:val="333333"/>
          <w:sz w:val="32"/>
          <w:szCs w:val="32"/>
          <w:lang w:val="en-US" w:eastAsia="zh-CN"/>
        </w:rPr>
      </w:pPr>
    </w:p>
    <w:p>
      <w:pPr>
        <w:pStyle w:val="2"/>
        <w:spacing w:line="360" w:lineRule="auto"/>
        <w:rPr>
          <w:rFonts w:ascii="宋体" w:hAnsi="宋体" w:eastAsia="宋体"/>
          <w:sz w:val="32"/>
          <w:szCs w:val="32"/>
        </w:rPr>
      </w:pPr>
      <w:bookmarkStart w:id="14" w:name="_Toc68703842"/>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4"/>
    </w:p>
    <w:p>
      <w:pPr>
        <w:pStyle w:val="3"/>
        <w:spacing w:line="360" w:lineRule="auto"/>
        <w:rPr>
          <w:rFonts w:ascii="仿宋_GB2312" w:eastAsia="仿宋_GB2312"/>
          <w:b w:val="0"/>
          <w:bCs w:val="0"/>
        </w:rPr>
      </w:pPr>
      <w:bookmarkStart w:id="15" w:name="_Toc68703843"/>
      <w:r>
        <w:rPr>
          <w:rFonts w:hint="eastAsia" w:ascii="仿宋_GB2312" w:eastAsia="仿宋_GB2312"/>
          <w:b w:val="0"/>
          <w:bCs w:val="0"/>
        </w:rPr>
        <w:t>（一）主要经验及做法</w:t>
      </w:r>
      <w:bookmarkEnd w:id="15"/>
    </w:p>
    <w:p>
      <w:pPr>
        <w:spacing w:line="560" w:lineRule="exact"/>
        <w:ind w:firstLine="600" w:firstLineChars="200"/>
        <w:rPr>
          <w:rFonts w:ascii="仿宋" w:hAnsi="仿宋" w:eastAsia="仿宋" w:cs="仿宋"/>
          <w:szCs w:val="32"/>
        </w:rPr>
      </w:pPr>
      <w:bookmarkStart w:id="16" w:name="_Toc68703844"/>
      <w:r>
        <w:rPr>
          <w:rFonts w:hint="eastAsia" w:ascii="仿宋" w:hAnsi="仿宋" w:eastAsia="仿宋" w:cs="仿宋"/>
          <w:szCs w:val="32"/>
        </w:rPr>
        <w:t>项目实施过程中，按照项目计划规范地组织实施，有条不紊开展相关工作，并做好资料收集整理工作；成立项目绩效管理领导小组，将项目的运行，资金使用情况全部纳入领导小组的全程监管之下；合理安排项目资金，确保项目及时必要；制订项目资金使用管理规定，保证资金使用严格按财务制度办理。</w:t>
      </w:r>
    </w:p>
    <w:p>
      <w:pPr>
        <w:pStyle w:val="3"/>
        <w:spacing w:line="360" w:lineRule="auto"/>
        <w:rPr>
          <w:rFonts w:ascii="仿宋_GB2312" w:eastAsia="仿宋_GB2312"/>
          <w:b w:val="0"/>
          <w:bCs w:val="0"/>
        </w:rPr>
      </w:pPr>
      <w:r>
        <w:rPr>
          <w:rFonts w:hint="eastAsia" w:ascii="仿宋_GB2312" w:eastAsia="仿宋_GB2312"/>
          <w:b w:val="0"/>
          <w:bCs w:val="0"/>
        </w:rPr>
        <w:t>（二）存在的问题及原因分析</w:t>
      </w:r>
      <w:bookmarkEnd w:id="16"/>
    </w:p>
    <w:p>
      <w:pPr>
        <w:ind w:firstLine="640" w:firstLineChars="200"/>
        <w:contextualSpacing/>
        <w:rPr>
          <w:rFonts w:hint="eastAsia" w:ascii="仿宋_GB2312" w:hAnsi="仿宋" w:cs="宋体"/>
          <w:color w:val="333333"/>
          <w:sz w:val="32"/>
          <w:szCs w:val="32"/>
          <w:lang w:eastAsia="zh-CN"/>
        </w:rPr>
      </w:pPr>
      <w:bookmarkStart w:id="17" w:name="_Toc68703845"/>
      <w:r>
        <w:rPr>
          <w:rFonts w:hint="eastAsia" w:ascii="仿宋_GB2312" w:hAnsi="仿宋" w:cs="宋体"/>
          <w:color w:val="333333"/>
          <w:sz w:val="32"/>
          <w:szCs w:val="32"/>
          <w:lang w:val="en-US" w:eastAsia="zh-CN"/>
        </w:rPr>
        <w:t>存在的问题：</w:t>
      </w:r>
      <w:r>
        <w:rPr>
          <w:rFonts w:hint="eastAsia" w:ascii="仿宋_GB2312" w:hAnsi="仿宋" w:eastAsia="仿宋_GB2312" w:cs="宋体"/>
          <w:color w:val="333333"/>
          <w:sz w:val="32"/>
          <w:szCs w:val="32"/>
        </w:rPr>
        <w:t>参与绩效管理工作的人员经验不足，绩效管理水平有待提高，绩效管理意识进一步提高</w:t>
      </w:r>
      <w:r>
        <w:rPr>
          <w:rFonts w:hint="eastAsia" w:ascii="仿宋_GB2312" w:hAnsi="仿宋" w:cs="宋体"/>
          <w:color w:val="333333"/>
          <w:sz w:val="32"/>
          <w:szCs w:val="32"/>
          <w:lang w:eastAsia="zh-CN"/>
        </w:rPr>
        <w:t>。</w:t>
      </w:r>
    </w:p>
    <w:p>
      <w:pPr>
        <w:ind w:firstLine="640" w:firstLineChars="200"/>
        <w:contextualSpacing/>
        <w:rPr>
          <w:rFonts w:ascii="仿宋_GB2312" w:hAnsi="仿宋" w:eastAsia="仿宋_GB2312" w:cs="宋体"/>
          <w:color w:val="333333"/>
          <w:sz w:val="32"/>
          <w:szCs w:val="32"/>
        </w:rPr>
      </w:pPr>
      <w:r>
        <w:rPr>
          <w:rFonts w:hint="eastAsia" w:ascii="仿宋_GB2312" w:hAnsi="仿宋" w:cs="宋体"/>
          <w:color w:val="333333"/>
          <w:sz w:val="32"/>
          <w:szCs w:val="32"/>
          <w:lang w:val="en-US" w:eastAsia="zh-CN"/>
        </w:rPr>
        <w:t>原因分析：</w:t>
      </w:r>
      <w:r>
        <w:rPr>
          <w:rFonts w:hint="eastAsia" w:ascii="仿宋_GB2312" w:hAnsi="仿宋" w:eastAsia="仿宋_GB2312" w:cs="宋体"/>
          <w:color w:val="333333"/>
          <w:sz w:val="32"/>
          <w:szCs w:val="32"/>
        </w:rPr>
        <w:t>按照财政支出绩效管理的要求，继续完善绩效评价的评价体系及工作流程，提高财政资金使用管理的水平和效率。</w:t>
      </w:r>
    </w:p>
    <w:p>
      <w:pPr>
        <w:pStyle w:val="2"/>
        <w:spacing w:line="360" w:lineRule="auto"/>
        <w:rPr>
          <w:rFonts w:ascii="宋体" w:hAnsi="宋体" w:eastAsia="宋体"/>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7"/>
    </w:p>
    <w:p>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1.多进行有关绩效管理工作方面的培训。积极组织第三方开展绩效管理工作培训，进一步夯实业务基础，提高我单位绩效人员水平。</w:t>
      </w:r>
    </w:p>
    <w:p>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2.专门设定对绩效工作人员定职、定岗、定责等相关制度措施，进一步提升我单位绩效管理工作业务水平，扎实做好绩效管理工作。</w:t>
      </w:r>
    </w:p>
    <w:p>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560" w:lineRule="exact"/>
        <w:ind w:firstLine="600" w:firstLineChars="200"/>
        <w:rPr>
          <w:rFonts w:ascii="仿宋_GB2312" w:hAnsi="仿宋_GB2312" w:cs="仿宋_GB2312"/>
          <w:color w:val="000000" w:themeColor="text1"/>
          <w:szCs w:val="32"/>
        </w:rPr>
      </w:pPr>
    </w:p>
    <w:p/>
    <w:p>
      <w:pPr>
        <w:pStyle w:val="2"/>
        <w:spacing w:line="360" w:lineRule="auto"/>
        <w:rPr>
          <w:rFonts w:ascii="宋体" w:hAnsi="宋体" w:eastAsia="宋体"/>
          <w:sz w:val="32"/>
          <w:szCs w:val="32"/>
        </w:rPr>
      </w:pPr>
      <w:bookmarkStart w:id="18"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18"/>
    </w:p>
    <w:p>
      <w:pPr>
        <w:spacing w:line="560" w:lineRule="exact"/>
        <w:ind w:firstLine="640" w:firstLineChars="2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bookmarkStart w:id="19" w:name="_GoBack"/>
      <w:bookmarkEnd w:id="19"/>
    </w:p>
    <w:p>
      <w:pPr>
        <w:ind w:firstLine="3900" w:firstLineChars="1300"/>
        <w:rPr>
          <w:rFonts w:ascii="仿宋_GB2312" w:hAnsi="仿宋_GB2312" w:cs="仿宋_GB2312"/>
          <w:color w:val="000000" w:themeColor="text1"/>
          <w:sz w:val="32"/>
          <w:szCs w:val="32"/>
        </w:rPr>
      </w:pPr>
      <w:r>
        <w:rPr>
          <w:rFonts w:hint="eastAsia" w:ascii="仿宋_GB2312" w:hAnsi="仿宋_GB2312" w:eastAsia="仿宋_GB2312" w:cs="仿宋_GB2312"/>
          <w:b w:val="0"/>
          <w:bCs w:val="0"/>
          <w:color w:val="000000" w:themeColor="text1"/>
          <w:kern w:val="2"/>
        </w:rPr>
        <w:t xml:space="preserve">             </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GUxNzNhN2NhODRjOGQ3NWMxNjA1OTg4NGZjMjFjZjMifQ=="/>
  </w:docVars>
  <w:rsids>
    <w:rsidRoot w:val="007D49C5"/>
    <w:rsid w:val="0002560D"/>
    <w:rsid w:val="000B223C"/>
    <w:rsid w:val="000D2F80"/>
    <w:rsid w:val="00212B85"/>
    <w:rsid w:val="00217FBE"/>
    <w:rsid w:val="002313D5"/>
    <w:rsid w:val="00340054"/>
    <w:rsid w:val="00376D6A"/>
    <w:rsid w:val="004253F7"/>
    <w:rsid w:val="00472206"/>
    <w:rsid w:val="004850D4"/>
    <w:rsid w:val="00562FFC"/>
    <w:rsid w:val="00571796"/>
    <w:rsid w:val="005C5F90"/>
    <w:rsid w:val="00614288"/>
    <w:rsid w:val="0065042B"/>
    <w:rsid w:val="006A4CD9"/>
    <w:rsid w:val="007634A4"/>
    <w:rsid w:val="00770F0F"/>
    <w:rsid w:val="007D49C5"/>
    <w:rsid w:val="008032CD"/>
    <w:rsid w:val="008464B5"/>
    <w:rsid w:val="00890E39"/>
    <w:rsid w:val="00890E6C"/>
    <w:rsid w:val="008C631D"/>
    <w:rsid w:val="008E10F3"/>
    <w:rsid w:val="00977705"/>
    <w:rsid w:val="00987A38"/>
    <w:rsid w:val="00A7206A"/>
    <w:rsid w:val="00AE41A6"/>
    <w:rsid w:val="00B42AEA"/>
    <w:rsid w:val="00BA5133"/>
    <w:rsid w:val="00BA7845"/>
    <w:rsid w:val="00BB605A"/>
    <w:rsid w:val="00BC435C"/>
    <w:rsid w:val="00C25EE0"/>
    <w:rsid w:val="00C469AA"/>
    <w:rsid w:val="00C865BA"/>
    <w:rsid w:val="00CA4843"/>
    <w:rsid w:val="00CB56EC"/>
    <w:rsid w:val="00DA5CCF"/>
    <w:rsid w:val="00DE47B2"/>
    <w:rsid w:val="00E10C7D"/>
    <w:rsid w:val="00EF1FE3"/>
    <w:rsid w:val="00FD62B6"/>
    <w:rsid w:val="01DF0AF6"/>
    <w:rsid w:val="02DE71B0"/>
    <w:rsid w:val="04FF2DCA"/>
    <w:rsid w:val="058E3A28"/>
    <w:rsid w:val="071F0864"/>
    <w:rsid w:val="091F2D9D"/>
    <w:rsid w:val="0C5E598A"/>
    <w:rsid w:val="0DD759F4"/>
    <w:rsid w:val="0E440C27"/>
    <w:rsid w:val="10B93687"/>
    <w:rsid w:val="117E0FE2"/>
    <w:rsid w:val="12E60237"/>
    <w:rsid w:val="15DA37C6"/>
    <w:rsid w:val="18463EA2"/>
    <w:rsid w:val="1AA43102"/>
    <w:rsid w:val="1B065E2C"/>
    <w:rsid w:val="1FDC6E9A"/>
    <w:rsid w:val="207812B9"/>
    <w:rsid w:val="24977834"/>
    <w:rsid w:val="261D62C0"/>
    <w:rsid w:val="266D3BDD"/>
    <w:rsid w:val="2732278A"/>
    <w:rsid w:val="297963D7"/>
    <w:rsid w:val="2B7B0DEB"/>
    <w:rsid w:val="34D12A8B"/>
    <w:rsid w:val="355344E3"/>
    <w:rsid w:val="36914A2B"/>
    <w:rsid w:val="3AB02FA5"/>
    <w:rsid w:val="3B2D45F6"/>
    <w:rsid w:val="3F3020FF"/>
    <w:rsid w:val="40C76D3F"/>
    <w:rsid w:val="439717CE"/>
    <w:rsid w:val="45863281"/>
    <w:rsid w:val="478E6EED"/>
    <w:rsid w:val="47C61F56"/>
    <w:rsid w:val="47E524E0"/>
    <w:rsid w:val="48C23FA9"/>
    <w:rsid w:val="4BF5381C"/>
    <w:rsid w:val="56251BB0"/>
    <w:rsid w:val="56B91708"/>
    <w:rsid w:val="57A04676"/>
    <w:rsid w:val="58090D48"/>
    <w:rsid w:val="599D2D4D"/>
    <w:rsid w:val="5AD11B1C"/>
    <w:rsid w:val="5D333896"/>
    <w:rsid w:val="5D9B1445"/>
    <w:rsid w:val="5DB76275"/>
    <w:rsid w:val="622575EA"/>
    <w:rsid w:val="63624ED5"/>
    <w:rsid w:val="63DD455C"/>
    <w:rsid w:val="696C260A"/>
    <w:rsid w:val="6ACD532A"/>
    <w:rsid w:val="6AF73BCF"/>
    <w:rsid w:val="737600B6"/>
    <w:rsid w:val="74C9378B"/>
    <w:rsid w:val="75231113"/>
    <w:rsid w:val="7B693818"/>
    <w:rsid w:val="7BF54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7"/>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Body Text Indent"/>
    <w:basedOn w:val="1"/>
    <w:autoRedefine/>
    <w:unhideWhenUsed/>
    <w:qFormat/>
    <w:uiPriority w:val="99"/>
    <w:pPr>
      <w:spacing w:line="360" w:lineRule="auto"/>
      <w:ind w:firstLine="468"/>
    </w:pPr>
    <w:rPr>
      <w:rFonts w:ascii="宋体"/>
      <w:bCs/>
      <w:sz w:val="28"/>
    </w:rPr>
  </w:style>
  <w:style w:type="paragraph" w:styleId="6">
    <w:name w:val="Balloon Text"/>
    <w:basedOn w:val="1"/>
    <w:link w:val="22"/>
    <w:autoRedefine/>
    <w:semiHidden/>
    <w:unhideWhenUsed/>
    <w:qFormat/>
    <w:uiPriority w:val="99"/>
    <w:rPr>
      <w:sz w:val="18"/>
      <w:szCs w:val="18"/>
    </w:rPr>
  </w:style>
  <w:style w:type="paragraph" w:styleId="7">
    <w:name w:val="footer"/>
    <w:basedOn w:val="1"/>
    <w:link w:val="21"/>
    <w:autoRedefine/>
    <w:unhideWhenUsed/>
    <w:qFormat/>
    <w:uiPriority w:val="99"/>
    <w:pPr>
      <w:tabs>
        <w:tab w:val="center" w:pos="4153"/>
        <w:tab w:val="right" w:pos="8306"/>
      </w:tabs>
      <w:snapToGrid w:val="0"/>
      <w:jc w:val="left"/>
    </w:pPr>
    <w:rPr>
      <w:sz w:val="18"/>
      <w:szCs w:val="18"/>
    </w:rPr>
  </w:style>
  <w:style w:type="paragraph" w:styleId="8">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footnote text"/>
    <w:basedOn w:val="1"/>
    <w:autoRedefine/>
    <w:qFormat/>
    <w:uiPriority w:val="0"/>
    <w:pPr>
      <w:snapToGrid w:val="0"/>
      <w:jc w:val="left"/>
    </w:pPr>
    <w:rPr>
      <w:sz w:val="18"/>
      <w:szCs w:val="18"/>
    </w:rPr>
  </w:style>
  <w:style w:type="paragraph" w:styleId="11">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Body Text First Indent 2"/>
    <w:basedOn w:val="5"/>
    <w:unhideWhenUsed/>
    <w:qFormat/>
    <w:uiPriority w:val="99"/>
    <w:pPr>
      <w:spacing w:after="120" w:line="312" w:lineRule="auto"/>
      <w:ind w:left="420" w:leftChars="200" w:firstLine="420"/>
    </w:pPr>
    <w:rPr>
      <w:rFonts w:eastAsia="宋体"/>
      <w:sz w:val="24"/>
    </w:rPr>
  </w:style>
  <w:style w:type="character" w:styleId="16">
    <w:name w:val="Hyperlink"/>
    <w:basedOn w:val="15"/>
    <w:autoRedefine/>
    <w:unhideWhenUsed/>
    <w:qFormat/>
    <w:uiPriority w:val="99"/>
    <w:rPr>
      <w:color w:val="0563C1" w:themeColor="hyperlink"/>
      <w:u w:val="single"/>
    </w:rPr>
  </w:style>
  <w:style w:type="character" w:customStyle="1" w:styleId="17">
    <w:name w:val="标题 1 Char"/>
    <w:basedOn w:val="15"/>
    <w:link w:val="2"/>
    <w:autoRedefine/>
    <w:qFormat/>
    <w:uiPriority w:val="9"/>
    <w:rPr>
      <w:rFonts w:ascii="Times New Roman" w:hAnsi="Times New Roman" w:eastAsia="仿宋_GB2312" w:cs="Times New Roman"/>
      <w:b/>
      <w:bCs/>
      <w:kern w:val="44"/>
      <w:sz w:val="44"/>
      <w:szCs w:val="44"/>
    </w:rPr>
  </w:style>
  <w:style w:type="character" w:customStyle="1" w:styleId="18">
    <w:name w:val="标题 2 Char"/>
    <w:basedOn w:val="15"/>
    <w:link w:val="3"/>
    <w:autoRedefine/>
    <w:qFormat/>
    <w:uiPriority w:val="9"/>
    <w:rPr>
      <w:rFonts w:asciiTheme="majorHAnsi" w:hAnsiTheme="majorHAnsi" w:eastAsiaTheme="majorEastAsia" w:cstheme="majorBidi"/>
      <w:b/>
      <w:bCs/>
      <w:sz w:val="32"/>
      <w:szCs w:val="32"/>
    </w:rPr>
  </w:style>
  <w:style w:type="paragraph" w:customStyle="1" w:styleId="19">
    <w:name w:val="TOC 标题1"/>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0">
    <w:name w:val="页眉 Char"/>
    <w:basedOn w:val="15"/>
    <w:link w:val="8"/>
    <w:autoRedefine/>
    <w:qFormat/>
    <w:uiPriority w:val="99"/>
    <w:rPr>
      <w:rFonts w:ascii="Times New Roman" w:hAnsi="Times New Roman" w:eastAsia="仿宋_GB2312" w:cs="Times New Roman"/>
      <w:sz w:val="18"/>
      <w:szCs w:val="18"/>
    </w:rPr>
  </w:style>
  <w:style w:type="character" w:customStyle="1" w:styleId="21">
    <w:name w:val="页脚 Char"/>
    <w:basedOn w:val="15"/>
    <w:link w:val="7"/>
    <w:autoRedefine/>
    <w:qFormat/>
    <w:uiPriority w:val="99"/>
    <w:rPr>
      <w:rFonts w:ascii="Times New Roman" w:hAnsi="Times New Roman" w:eastAsia="仿宋_GB2312" w:cs="Times New Roman"/>
      <w:sz w:val="18"/>
      <w:szCs w:val="18"/>
    </w:rPr>
  </w:style>
  <w:style w:type="character" w:customStyle="1" w:styleId="22">
    <w:name w:val="批注框文本 Char"/>
    <w:basedOn w:val="15"/>
    <w:link w:val="6"/>
    <w:autoRedefine/>
    <w:semiHidden/>
    <w:qFormat/>
    <w:uiPriority w:val="99"/>
    <w:rPr>
      <w:rFonts w:eastAsia="仿宋_GB2312"/>
      <w:kern w:val="2"/>
      <w:sz w:val="18"/>
      <w:szCs w:val="18"/>
    </w:rPr>
  </w:style>
  <w:style w:type="paragraph" w:customStyle="1" w:styleId="23">
    <w:name w:val="闻政-正文段落文字"/>
    <w:basedOn w:val="1"/>
    <w:autoRedefine/>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E4E9B60-6F44-4CB7-807C-96F31074D881}">
  <ds:schemaRefs/>
</ds:datastoreItem>
</file>

<file path=docProps/app.xml><?xml version="1.0" encoding="utf-8"?>
<Properties xmlns="http://schemas.openxmlformats.org/officeDocument/2006/extended-properties" xmlns:vt="http://schemas.openxmlformats.org/officeDocument/2006/docPropsVTypes">
  <Template>Normal</Template>
  <Pages>18</Pages>
  <Words>1143</Words>
  <Characters>6516</Characters>
  <Lines>54</Lines>
  <Paragraphs>15</Paragraphs>
  <TotalTime>65</TotalTime>
  <ScaleCrop>false</ScaleCrop>
  <LinksUpToDate>false</LinksUpToDate>
  <CharactersWithSpaces>7644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2024-05-16T05:55:09Z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C10A60A6D9144BF185A63F71A217C929_12</vt:lpwstr>
  </property>
</Properties>
</file>