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64091">
      <w:pPr>
        <w:jc w:val="center"/>
        <w:rPr>
          <w:rFonts w:ascii="宋体" w:hAnsi="宋体" w:eastAsia="宋体" w:cs="Arial"/>
          <w:b/>
          <w:bCs/>
          <w:sz w:val="48"/>
          <w:szCs w:val="48"/>
        </w:rPr>
      </w:pPr>
    </w:p>
    <w:p w14:paraId="0771757D">
      <w:pPr>
        <w:jc w:val="center"/>
        <w:rPr>
          <w:rFonts w:ascii="宋体" w:hAnsi="宋体" w:eastAsia="宋体" w:cs="Arial"/>
          <w:b/>
          <w:bCs/>
          <w:sz w:val="48"/>
          <w:szCs w:val="48"/>
        </w:rPr>
      </w:pPr>
    </w:p>
    <w:p w14:paraId="2C224A44">
      <w:pPr>
        <w:jc w:val="center"/>
        <w:rPr>
          <w:rFonts w:ascii="宋体" w:hAnsi="宋体" w:eastAsia="宋体" w:cs="Arial"/>
          <w:b/>
          <w:bCs/>
          <w:sz w:val="48"/>
          <w:szCs w:val="48"/>
        </w:rPr>
      </w:pPr>
    </w:p>
    <w:p w14:paraId="5DB14029">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49E688E0">
      <w:pPr>
        <w:jc w:val="center"/>
        <w:rPr>
          <w:rFonts w:ascii="宋体" w:hAnsi="宋体" w:eastAsia="宋体" w:cs="Arial"/>
          <w:b/>
          <w:bCs/>
          <w:sz w:val="48"/>
          <w:szCs w:val="48"/>
        </w:rPr>
      </w:pPr>
    </w:p>
    <w:p w14:paraId="633D483D">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1A594D04">
      <w:pPr>
        <w:spacing w:line="480" w:lineRule="auto"/>
        <w:jc w:val="center"/>
        <w:rPr>
          <w:rFonts w:ascii="仿宋_GB2312" w:hAnsi="仿宋_GB2312" w:cs="仿宋_GB2312"/>
          <w:b/>
          <w:kern w:val="0"/>
          <w:sz w:val="50"/>
          <w:szCs w:val="50"/>
          <w:lang w:bidi="en-US"/>
        </w:rPr>
      </w:pPr>
    </w:p>
    <w:p w14:paraId="6E610F48">
      <w:pPr>
        <w:spacing w:line="480" w:lineRule="auto"/>
        <w:jc w:val="center"/>
        <w:rPr>
          <w:rFonts w:ascii="仿宋_GB2312" w:hAnsi="仿宋_GB2312" w:cs="仿宋_GB2312"/>
          <w:b/>
          <w:kern w:val="0"/>
          <w:sz w:val="50"/>
          <w:szCs w:val="50"/>
          <w:lang w:bidi="en-US"/>
        </w:rPr>
      </w:pPr>
    </w:p>
    <w:p w14:paraId="2493C25E">
      <w:pPr>
        <w:spacing w:line="480" w:lineRule="auto"/>
        <w:jc w:val="center"/>
        <w:rPr>
          <w:rFonts w:ascii="仿宋_GB2312" w:hAnsi="仿宋_GB2312" w:cs="仿宋_GB2312"/>
          <w:b/>
          <w:kern w:val="0"/>
          <w:sz w:val="50"/>
          <w:szCs w:val="50"/>
          <w:lang w:bidi="en-US"/>
        </w:rPr>
      </w:pPr>
    </w:p>
    <w:p w14:paraId="22A38D7E">
      <w:pPr>
        <w:spacing w:line="480" w:lineRule="auto"/>
        <w:jc w:val="center"/>
        <w:rPr>
          <w:rFonts w:ascii="仿宋_GB2312" w:hAnsi="仿宋_GB2312" w:cs="仿宋_GB2312"/>
          <w:b/>
          <w:kern w:val="0"/>
          <w:sz w:val="50"/>
          <w:szCs w:val="50"/>
          <w:lang w:bidi="en-US"/>
        </w:rPr>
      </w:pPr>
    </w:p>
    <w:p w14:paraId="09F7BCB6">
      <w:pPr>
        <w:spacing w:line="480" w:lineRule="auto"/>
        <w:jc w:val="center"/>
        <w:rPr>
          <w:rFonts w:ascii="仿宋_GB2312" w:hAnsi="仿宋_GB2312" w:cs="仿宋_GB2312"/>
          <w:b/>
          <w:kern w:val="0"/>
          <w:sz w:val="50"/>
          <w:szCs w:val="50"/>
          <w:lang w:bidi="en-US"/>
        </w:rPr>
      </w:pPr>
    </w:p>
    <w:p w14:paraId="1E124C80">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中央补助地方公共文化服务体系建设补助资金</w:t>
      </w:r>
      <w:r>
        <w:rPr>
          <w:rFonts w:ascii="宋体" w:hAnsi="宋体" w:eastAsia="宋体" w:cs="宋体"/>
          <w:kern w:val="0"/>
          <w:sz w:val="32"/>
          <w:szCs w:val="32"/>
        </w:rPr>
        <w:t xml:space="preserve"> </w:t>
      </w:r>
    </w:p>
    <w:p w14:paraId="65613F5F">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焉耆回族自治县融媒体中心</w:t>
      </w:r>
      <w:r>
        <w:rPr>
          <w:rFonts w:ascii="宋体" w:hAnsi="宋体" w:eastAsia="宋体" w:cs="宋体"/>
          <w:kern w:val="0"/>
          <w:sz w:val="32"/>
          <w:szCs w:val="32"/>
        </w:rPr>
        <w:t xml:space="preserve"> </w:t>
      </w:r>
    </w:p>
    <w:p w14:paraId="709396C3">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bCs/>
          <w:color w:val="000000"/>
          <w:kern w:val="0"/>
          <w:sz w:val="32"/>
          <w:szCs w:val="32"/>
          <w:lang w:eastAsia="zh-CN"/>
        </w:rPr>
        <w:t>焉耆回族自治县融媒体中心</w:t>
      </w:r>
      <w:r>
        <w:rPr>
          <w:rFonts w:ascii="宋体" w:hAnsi="宋体" w:eastAsia="宋体" w:cs="宋体"/>
          <w:kern w:val="0"/>
          <w:sz w:val="32"/>
          <w:szCs w:val="32"/>
        </w:rPr>
        <w:t xml:space="preserve"> </w:t>
      </w:r>
    </w:p>
    <w:p w14:paraId="4ECC50B5">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刘豫</w:t>
      </w:r>
      <w:bookmarkStart w:id="21" w:name="_GoBack"/>
      <w:bookmarkEnd w:id="21"/>
    </w:p>
    <w:p w14:paraId="1E295EED">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14:paraId="5A261580">
      <w:pPr>
        <w:jc w:val="center"/>
        <w:rPr>
          <w:rFonts w:ascii="宋体" w:hAnsi="宋体" w:eastAsia="宋体" w:cs="Arial"/>
          <w:b/>
          <w:bCs/>
          <w:sz w:val="36"/>
          <w:szCs w:val="36"/>
        </w:rPr>
      </w:pPr>
    </w:p>
    <w:p w14:paraId="18B684D1">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427260F7">
          <w:pPr>
            <w:pStyle w:val="17"/>
            <w:jc w:val="center"/>
            <w:rPr>
              <w:rFonts w:ascii="宋体" w:hAnsi="宋体" w:eastAsia="宋体"/>
              <w:b/>
              <w:bCs/>
              <w:color w:val="auto"/>
              <w:lang w:val="zh-CN"/>
            </w:rPr>
          </w:pPr>
          <w:r>
            <w:rPr>
              <w:rFonts w:ascii="宋体" w:hAnsi="宋体" w:eastAsia="宋体"/>
              <w:b/>
              <w:bCs/>
              <w:color w:val="auto"/>
              <w:lang w:val="zh-CN"/>
            </w:rPr>
            <w:t>目录</w:t>
          </w:r>
        </w:p>
        <w:p w14:paraId="456D88F3">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56A580D9">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3FA1AFE8">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76DB1647">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0BD8672E">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7461008B">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6148B111">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145453A2">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79CA0CAE">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45EFB062">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3107012C">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6F861FA7">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21C0BF86">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6D5B95F5">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613BC2F5">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01CE46D2">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409B0C23">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4745CAF6">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560531DF">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1E199008">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616D73B1">
          <w:r>
            <w:rPr>
              <w:b/>
              <w:bCs/>
              <w:lang w:val="zh-CN"/>
            </w:rPr>
            <w:fldChar w:fldCharType="end"/>
          </w:r>
        </w:p>
      </w:sdtContent>
    </w:sdt>
    <w:p w14:paraId="05C75662">
      <w:pPr>
        <w:widowControl/>
        <w:jc w:val="left"/>
        <w:rPr>
          <w:rFonts w:ascii="宋体" w:hAnsi="宋体" w:eastAsia="宋体" w:cs="Arial"/>
          <w:b/>
          <w:bCs/>
          <w:sz w:val="36"/>
          <w:szCs w:val="36"/>
        </w:rPr>
      </w:pPr>
      <w:r>
        <w:rPr>
          <w:rFonts w:ascii="宋体" w:hAnsi="宋体" w:eastAsia="宋体" w:cs="Arial"/>
          <w:b/>
          <w:bCs/>
          <w:sz w:val="36"/>
          <w:szCs w:val="36"/>
        </w:rPr>
        <w:br w:type="page"/>
      </w:r>
    </w:p>
    <w:p w14:paraId="343089F2">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9BF1A02">
      <w:pPr>
        <w:jc w:val="center"/>
        <w:rPr>
          <w:rFonts w:ascii="仿宋_GB2312"/>
          <w:szCs w:val="30"/>
        </w:rPr>
      </w:pPr>
    </w:p>
    <w:p w14:paraId="5DED8B02">
      <w:pPr>
        <w:pStyle w:val="2"/>
        <w:pageBreakBefore w:val="0"/>
        <w:kinsoku/>
        <w:wordWrap/>
        <w:overflowPunct/>
        <w:topLinePunct w:val="0"/>
        <w:autoSpaceDE/>
        <w:autoSpaceDN/>
        <w:bidi w:val="0"/>
        <w:adjustRightInd/>
        <w:spacing w:line="560" w:lineRule="exact"/>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B25DCB3">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46689406">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根据【巴财教】65号，中央补助地方公共文化服务体系建设补助资金，通过安排经费58.7万元，购买服务附属设备、耗材和维修等，实现设备播放正常，从而巩固工作正常开展。</w:t>
      </w:r>
    </w:p>
    <w:p w14:paraId="16F1B54E">
      <w:pPr>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sz w:val="32"/>
          <w:szCs w:val="32"/>
          <w:lang w:eastAsia="zh-CN"/>
        </w:rPr>
      </w:pPr>
      <w:r>
        <w:rPr>
          <w:rFonts w:hint="eastAsia" w:ascii="仿宋_GB2312"/>
          <w:sz w:val="32"/>
          <w:szCs w:val="32"/>
        </w:rPr>
        <w:t>项目背景</w:t>
      </w:r>
    </w:p>
    <w:p w14:paraId="09611D96">
      <w:pPr>
        <w:pStyle w:val="10"/>
        <w:pageBreakBefore w:val="0"/>
        <w:kinsoku/>
        <w:wordWrap/>
        <w:overflowPunct/>
        <w:topLinePunct w:val="0"/>
        <w:autoSpaceDE/>
        <w:autoSpaceDN/>
        <w:bidi w:val="0"/>
        <w:adjustRightInd/>
        <w:spacing w:line="560" w:lineRule="exact"/>
        <w:jc w:val="both"/>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宋体"/>
          <w:lang w:val="en-US" w:eastAsia="zh-CN"/>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 xml:space="preserve">  </w:t>
      </w:r>
      <w:r>
        <w:rPr>
          <w:rFonts w:hint="eastAsia" w:ascii="仿宋_GB2312" w:eastAsia="仿宋_GB2312" w:hAnsiTheme="majorHAnsi" w:cstheme="majorBidi"/>
          <w:b w:val="0"/>
          <w:bCs w:val="0"/>
          <w:kern w:val="2"/>
          <w:sz w:val="32"/>
          <w:szCs w:val="32"/>
          <w:lang w:val="en-US" w:eastAsia="zh-CN" w:bidi="ar-SA"/>
        </w:rPr>
        <w:t>根据【巴财教】65号，中央补助地方公共文化服务体系建设补助资金</w:t>
      </w:r>
    </w:p>
    <w:p w14:paraId="4DDDD521">
      <w:pPr>
        <w:pageBreakBefore w:val="0"/>
        <w:kinsoku/>
        <w:wordWrap/>
        <w:overflowPunct/>
        <w:topLinePunct w:val="0"/>
        <w:autoSpaceDE/>
        <w:autoSpaceDN/>
        <w:bidi w:val="0"/>
        <w:adjustRightInd/>
        <w:spacing w:line="560" w:lineRule="exact"/>
        <w:ind w:firstLine="640" w:firstLineChars="200"/>
        <w:textAlignment w:val="auto"/>
        <w:rPr>
          <w:rFonts w:ascii="仿宋_GB2312"/>
          <w:sz w:val="32"/>
          <w:szCs w:val="32"/>
        </w:rPr>
      </w:pPr>
      <w:r>
        <w:rPr>
          <w:rFonts w:hint="eastAsia" w:ascii="仿宋_GB2312"/>
          <w:sz w:val="32"/>
          <w:szCs w:val="32"/>
        </w:rPr>
        <w:t>2、主要内容</w:t>
      </w:r>
      <w:r>
        <w:rPr>
          <w:rFonts w:hint="eastAsia"/>
          <w:sz w:val="32"/>
          <w:szCs w:val="32"/>
        </w:rPr>
        <w:t>及</w:t>
      </w:r>
      <w:r>
        <w:rPr>
          <w:rFonts w:hint="eastAsia" w:ascii="仿宋_GB2312"/>
          <w:sz w:val="32"/>
          <w:szCs w:val="32"/>
        </w:rPr>
        <w:t>实施情况</w:t>
      </w:r>
    </w:p>
    <w:p w14:paraId="466DC314">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主要内容：通过项目的实施可进一步巩固中央广播电视节目无线覆盖成果，进一步提升广播电视公共服务水平和质量。实现发射台站按规定完整转播好中央广播电视节目，做到“满功率、满调幅度、满时间”安全播出。</w:t>
      </w:r>
    </w:p>
    <w:p w14:paraId="04902DC3">
      <w:pPr>
        <w:pageBreakBefore w:val="0"/>
        <w:kinsoku/>
        <w:wordWrap/>
        <w:overflowPunct/>
        <w:topLinePunct w:val="0"/>
        <w:autoSpaceDE/>
        <w:autoSpaceDN/>
        <w:bidi w:val="0"/>
        <w:adjustRightInd/>
        <w:spacing w:line="560" w:lineRule="exact"/>
        <w:ind w:firstLine="640" w:firstLineChars="200"/>
        <w:textAlignment w:val="auto"/>
        <w:rPr>
          <w:rFonts w:ascii="仿宋_GB2312"/>
          <w:color w:val="FF0000"/>
        </w:rPr>
      </w:pPr>
      <w:r>
        <w:rPr>
          <w:rFonts w:hint="eastAsia" w:ascii="仿宋_GB2312" w:eastAsia="仿宋_GB2312" w:hAnsiTheme="majorHAnsi" w:cstheme="majorBidi"/>
          <w:b w:val="0"/>
          <w:bCs w:val="0"/>
          <w:kern w:val="2"/>
          <w:sz w:val="32"/>
          <w:szCs w:val="32"/>
          <w:lang w:val="en-US" w:eastAsia="zh-CN" w:bidi="ar-SA"/>
        </w:rPr>
        <w:t>实施情况：通过购买1套服务附属设备和耗材、维修等，实现设备播放正常，从而巩固工作正常开展。</w:t>
      </w:r>
    </w:p>
    <w:p w14:paraId="7A78BA59">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sz w:val="32"/>
          <w:szCs w:val="32"/>
        </w:rPr>
      </w:pPr>
      <w:r>
        <w:rPr>
          <w:rFonts w:hint="eastAsia" w:ascii="仿宋_GB2312"/>
          <w:sz w:val="32"/>
          <w:szCs w:val="32"/>
          <w:lang w:val="en-US" w:eastAsia="zh-CN"/>
        </w:rPr>
        <w:t>3</w:t>
      </w:r>
      <w:r>
        <w:rPr>
          <w:rFonts w:hint="eastAsia" w:ascii="仿宋_GB2312"/>
          <w:sz w:val="32"/>
          <w:szCs w:val="32"/>
        </w:rPr>
        <w:t>、资金投入和使用情况</w:t>
      </w:r>
    </w:p>
    <w:p w14:paraId="0BD0A9B7">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资金投入情况：该项目年初预算数0万元，全年预算数58.7万元，实际总投入58.7万元，该项目资金已全部落实到位，资金来源为财政拨款。</w:t>
      </w:r>
    </w:p>
    <w:p w14:paraId="364FD7AC">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资金使用情况：该项目年初预算数0万元，全年预算数58.7万元，全年执行数58.7万元，预算执行率为100%，用于：</w:t>
      </w:r>
      <w:r>
        <w:rPr>
          <w:rFonts w:hint="default" w:ascii="仿宋_GB2312" w:eastAsia="仿宋_GB2312" w:hAnsiTheme="majorHAnsi" w:cstheme="majorBidi"/>
          <w:b w:val="0"/>
          <w:bCs w:val="0"/>
          <w:kern w:val="2"/>
          <w:sz w:val="32"/>
          <w:szCs w:val="32"/>
          <w:lang w:val="en-US" w:eastAsia="zh-CN" w:bidi="ar-SA"/>
        </w:rPr>
        <w:t>购买发射机</w:t>
      </w:r>
      <w:r>
        <w:rPr>
          <w:rFonts w:hint="eastAsia" w:ascii="仿宋_GB2312" w:eastAsia="仿宋_GB2312" w:hAnsiTheme="majorHAnsi" w:cstheme="majorBidi"/>
          <w:b w:val="0"/>
          <w:bCs w:val="0"/>
          <w:kern w:val="2"/>
          <w:sz w:val="32"/>
          <w:szCs w:val="32"/>
          <w:lang w:val="en-US" w:eastAsia="zh-CN" w:bidi="ar-SA"/>
        </w:rPr>
        <w:t>1套15</w:t>
      </w:r>
      <w:r>
        <w:rPr>
          <w:rFonts w:hint="default" w:ascii="仿宋_GB2312" w:eastAsia="仿宋_GB2312" w:hAnsiTheme="majorHAnsi" w:cstheme="majorBidi"/>
          <w:b w:val="0"/>
          <w:bCs w:val="0"/>
          <w:kern w:val="2"/>
          <w:sz w:val="32"/>
          <w:szCs w:val="32"/>
          <w:lang w:val="en-US" w:eastAsia="zh-CN" w:bidi="ar-SA"/>
        </w:rPr>
        <w:t>万元</w:t>
      </w:r>
      <w:r>
        <w:rPr>
          <w:rFonts w:hint="eastAsia" w:ascii="仿宋_GB2312" w:eastAsia="仿宋_GB2312" w:hAnsiTheme="majorHAnsi" w:cstheme="majorBidi"/>
          <w:b w:val="0"/>
          <w:bCs w:val="0"/>
          <w:kern w:val="2"/>
          <w:sz w:val="32"/>
          <w:szCs w:val="32"/>
          <w:lang w:val="en-US" w:eastAsia="zh-CN" w:bidi="ar-SA"/>
        </w:rPr>
        <w:t>,道路安防设施3万元，无线附属设备7.2万元，铁塔检测及维修8万元，县级融媒体中心建设10万元，大喇叭设备6.2万元，购买电费及耗材9.3万元。</w:t>
      </w:r>
    </w:p>
    <w:p w14:paraId="59849332">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514D8749">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总体目标：通过安排经费，购买1批服务附属设备，进一步巩固中央广播电视节目无线覆盖成果，进一步提升广播电视公共服务水平和质量。实现发射台站按规定完整转播好中央广播电视节目，做到“满功率、满调幅度、满时间”安全播出。</w:t>
      </w:r>
    </w:p>
    <w:p w14:paraId="0875F1B7">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阶段性目标：第一阶段，根据县级融媒体中心建设要求，自治县广播电视无线覆盖工程的实施，政府采购购买服务附属设备、耗材和发射机维护；第二阶段，确保12套自治县无线覆盖工程配备的转播节目的电视发射机和调频发射机正常运转。</w:t>
      </w:r>
    </w:p>
    <w:p w14:paraId="2AC8670E">
      <w:pPr>
        <w:pStyle w:val="2"/>
        <w:pageBreakBefore w:val="0"/>
        <w:kinsoku/>
        <w:wordWrap/>
        <w:overflowPunct/>
        <w:topLinePunct w:val="0"/>
        <w:autoSpaceDE/>
        <w:autoSpaceDN/>
        <w:bidi w:val="0"/>
        <w:adjustRightInd/>
        <w:spacing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EAE104D">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4AB1616B">
      <w:pPr>
        <w:pageBreakBefore w:val="0"/>
        <w:kinsoku/>
        <w:wordWrap/>
        <w:overflowPunct/>
        <w:topLinePunct w:val="0"/>
        <w:autoSpaceDE/>
        <w:autoSpaceDN/>
        <w:bidi w:val="0"/>
        <w:adjustRightInd/>
        <w:spacing w:line="560" w:lineRule="exact"/>
        <w:ind w:firstLine="600" w:firstLineChars="200"/>
        <w:textAlignment w:val="auto"/>
      </w:pPr>
      <w:r>
        <w:rPr>
          <w:rFonts w:hint="eastAsia"/>
        </w:rPr>
        <w:t>1、绩效评价目的：</w:t>
      </w:r>
    </w:p>
    <w:p w14:paraId="22FBAE4F">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通过绩效评价，客观地评判项目的管理绩效，了解和掌握【巴财教】65号，中央补助地方公共文化服务体系建设补助资金经费的具体情况，评价该项目资金安排的科学性、合理性、规范性和资金的使用成效，及时总结项目管理经验，完善项目管理办法，提高项目管理水平和资金使用效益。促使我中心根据绩效评价中发现的问题，认真加以整改，及时调整和完善单位的工作计划和绩效目标并加强项目管理，提高管理水平，同时为项目后续资金投入、分配和管理提供决策依据。</w:t>
      </w:r>
    </w:p>
    <w:p w14:paraId="5276B184">
      <w:pPr>
        <w:pageBreakBefore w:val="0"/>
        <w:kinsoku/>
        <w:wordWrap/>
        <w:overflowPunct/>
        <w:topLinePunct w:val="0"/>
        <w:autoSpaceDE/>
        <w:autoSpaceDN/>
        <w:bidi w:val="0"/>
        <w:adjustRightInd/>
        <w:spacing w:line="560" w:lineRule="exact"/>
        <w:ind w:firstLine="600" w:firstLineChars="200"/>
        <w:jc w:val="left"/>
        <w:textAlignment w:val="auto"/>
      </w:pPr>
      <w:r>
        <w:rPr>
          <w:rFonts w:hint="eastAsia"/>
        </w:rPr>
        <w:t>2、绩效评价对象：</w:t>
      </w:r>
    </w:p>
    <w:p w14:paraId="212B6408">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【巴财教】65号，中央补助地方公共文化服务体系建设补助资金</w:t>
      </w:r>
    </w:p>
    <w:p w14:paraId="2B93AED4">
      <w:pPr>
        <w:pageBreakBefore w:val="0"/>
        <w:kinsoku/>
        <w:wordWrap/>
        <w:overflowPunct/>
        <w:topLinePunct w:val="0"/>
        <w:autoSpaceDE/>
        <w:autoSpaceDN/>
        <w:bidi w:val="0"/>
        <w:adjustRightInd/>
        <w:spacing w:line="560" w:lineRule="exact"/>
        <w:ind w:firstLine="600" w:firstLineChars="200"/>
        <w:textAlignment w:val="auto"/>
      </w:pPr>
      <w:r>
        <w:rPr>
          <w:rFonts w:hint="eastAsia"/>
        </w:rPr>
        <w:t>3、绩效评价范围：</w:t>
      </w:r>
    </w:p>
    <w:p w14:paraId="1665A26A">
      <w:pPr>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评价从项目决策（包括绩效目标、决策过程）、项目管理（包括项目资金、项目实施）、项目产出（包括项目产出数量、产出质量、产出时效和产出成本）项目效益四个维度进行，根据【巴财教】65号，中央补助地方公共文化服务体系建设补助资金评价，评价核心为专项资金的支出完成情况和效果。</w:t>
      </w:r>
    </w:p>
    <w:p w14:paraId="344CDFB5">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6848C63F">
      <w:pPr>
        <w:pageBreakBefore w:val="0"/>
        <w:kinsoku/>
        <w:wordWrap/>
        <w:overflowPunct/>
        <w:topLinePunct w:val="0"/>
        <w:autoSpaceDE/>
        <w:autoSpaceDN/>
        <w:bidi w:val="0"/>
        <w:adjustRightInd/>
        <w:spacing w:line="560" w:lineRule="exact"/>
        <w:ind w:firstLine="600" w:firstLineChars="200"/>
        <w:textAlignment w:val="auto"/>
      </w:pPr>
      <w:r>
        <w:rPr>
          <w:rFonts w:hint="eastAsia"/>
        </w:rPr>
        <w:t>1、绩效评价原则</w:t>
      </w:r>
    </w:p>
    <w:p w14:paraId="2EDEE0C8">
      <w:pPr>
        <w:pageBreakBefore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14:paraId="6615A3EB">
      <w:pPr>
        <w:pageBreakBefore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4AEFFC56">
      <w:pPr>
        <w:pageBreakBefore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14:paraId="24DDCC22">
      <w:pPr>
        <w:pageBreakBefore w:val="0"/>
        <w:kinsoku/>
        <w:wordWrap/>
        <w:overflowPunct/>
        <w:topLinePunct w:val="0"/>
        <w:autoSpaceDE/>
        <w:autoSpaceDN/>
        <w:bidi w:val="0"/>
        <w:adjustRightInd/>
        <w:spacing w:line="560" w:lineRule="exact"/>
        <w:ind w:firstLine="640"/>
        <w:textAlignment w:val="auto"/>
      </w:pPr>
      <w:r>
        <w:rPr>
          <w:rFonts w:hint="eastAsia" w:ascii="仿宋_GB2312"/>
          <w:bCs/>
          <w:color w:val="auto"/>
          <w:sz w:val="32"/>
          <w:szCs w:val="32"/>
        </w:rPr>
        <w:t>（四）公开透明。绩效评价结果应依法依规公开，并自觉接受社会监督。</w:t>
      </w:r>
    </w:p>
    <w:p w14:paraId="5C8E878F">
      <w:pPr>
        <w:pageBreakBefore w:val="0"/>
        <w:kinsoku/>
        <w:wordWrap/>
        <w:overflowPunct/>
        <w:topLinePunct w:val="0"/>
        <w:autoSpaceDE/>
        <w:autoSpaceDN/>
        <w:bidi w:val="0"/>
        <w:adjustRightInd/>
        <w:spacing w:line="560" w:lineRule="exact"/>
        <w:textAlignment w:val="auto"/>
      </w:pPr>
      <w:r>
        <w:rPr>
          <w:rFonts w:hint="eastAsia"/>
        </w:rPr>
        <w:t>2、评价指标体系（附表说明）</w:t>
      </w:r>
    </w:p>
    <w:p w14:paraId="1C16CEE5">
      <w:pPr>
        <w:pStyle w:val="3"/>
        <w:pageBreakBefore w:val="0"/>
        <w:kinsoku/>
        <w:wordWrap/>
        <w:overflowPunct/>
        <w:topLinePunct w:val="0"/>
        <w:autoSpaceDE/>
        <w:autoSpaceDN/>
        <w:bidi w:val="0"/>
        <w:adjustRightInd/>
        <w:spacing w:before="0" w:after="0" w:line="560" w:lineRule="exact"/>
        <w:jc w:val="center"/>
        <w:textAlignment w:val="auto"/>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中央补助地方公共文化服务体系建设补助资金</w:t>
      </w:r>
      <w:r>
        <w:rPr>
          <w:rFonts w:hint="eastAsia" w:ascii="Times New Roman" w:hAnsi="Times New Roman" w:eastAsia="仿宋_GB2312" w:cs="Times New Roman"/>
          <w:b w:val="0"/>
          <w:bCs w:val="0"/>
          <w:sz w:val="30"/>
          <w:szCs w:val="24"/>
        </w:rPr>
        <w:t>项目支出绩效评价</w:t>
      </w:r>
    </w:p>
    <w:p w14:paraId="70A79E1F">
      <w:pPr>
        <w:pStyle w:val="3"/>
        <w:pageBreakBefore w:val="0"/>
        <w:kinsoku/>
        <w:wordWrap/>
        <w:overflowPunct/>
        <w:topLinePunct w:val="0"/>
        <w:autoSpaceDE/>
        <w:autoSpaceDN/>
        <w:bidi w:val="0"/>
        <w:adjustRightInd/>
        <w:spacing w:before="0" w:after="0" w:line="560" w:lineRule="exact"/>
        <w:jc w:val="center"/>
        <w:textAlignment w:val="auto"/>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0AA6C8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78ABF024">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3989D6F8">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491926F5">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476288C6">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73898C1D">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1845AAF8">
            <w:pPr>
              <w:pageBreakBefore w:val="0"/>
              <w:widowControl/>
              <w:kinsoku/>
              <w:wordWrap/>
              <w:overflowPunct/>
              <w:topLinePunct w:val="0"/>
              <w:autoSpaceDE/>
              <w:autoSpaceDN/>
              <w:bidi w:val="0"/>
              <w:adjustRightInd/>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68B21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6134A13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3B2AF87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30C87EBD">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立项依据</w:t>
            </w:r>
          </w:p>
          <w:p w14:paraId="6019D3C7">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28A2F3D1">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01C189AD">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14:paraId="2D2DEDB3">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r>
      <w:tr w14:paraId="6083D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5E00CCD1">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68A35AF4">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37BA892E">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立项程序</w:t>
            </w:r>
          </w:p>
          <w:p w14:paraId="75B11B4A">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30BC85BA">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3201D506">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c>
          <w:tcPr>
            <w:tcW w:w="874" w:type="dxa"/>
            <w:shd w:val="clear" w:color="auto" w:fill="FFFFFF"/>
          </w:tcPr>
          <w:p w14:paraId="2BFDE659">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r>
      <w:tr w14:paraId="2A892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4B324642">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14:paraId="04FD4FD7">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43245628">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p w14:paraId="6548515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4421DC41">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48269BCD">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c>
          <w:tcPr>
            <w:tcW w:w="874" w:type="dxa"/>
            <w:shd w:val="clear" w:color="000000" w:fill="FFFFFF"/>
          </w:tcPr>
          <w:p w14:paraId="0DC5E6C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r>
      <w:tr w14:paraId="4C209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0FAA6C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187F160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3A691CF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绩效指标</w:t>
            </w:r>
          </w:p>
          <w:p w14:paraId="548C387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4B49409A">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427FC7E4">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14:paraId="2D82F148">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r>
      <w:tr w14:paraId="100D7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715056D0">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14:paraId="25AA345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资金投入</w:t>
            </w:r>
          </w:p>
          <w:p w14:paraId="24678BA4">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29AF3FA6">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预算编制</w:t>
            </w:r>
          </w:p>
          <w:p w14:paraId="671E8C2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70F4D79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18C2658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auto" w:fill="FFFFFF"/>
          </w:tcPr>
          <w:p w14:paraId="2A8DC905">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r>
      <w:tr w14:paraId="73C4C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15C225BD">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0B8A3F7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3B90DEA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资金分配</w:t>
            </w:r>
          </w:p>
          <w:p w14:paraId="7BA3B816">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7E94E254">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4CA4487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c>
          <w:tcPr>
            <w:tcW w:w="874" w:type="dxa"/>
            <w:shd w:val="clear" w:color="auto" w:fill="FFFFFF"/>
          </w:tcPr>
          <w:p w14:paraId="7F4A8AC4">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2.5</w:t>
            </w:r>
          </w:p>
        </w:tc>
      </w:tr>
      <w:tr w14:paraId="05F50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5E930F97">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09729798">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13D90D27">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7E62868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49535A0E">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247C5DCC">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r>
      <w:tr w14:paraId="34C31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09557FF0">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028CE973">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1CA47782">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1A8794D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77D7AE75">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14:paraId="620DCD9A">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r>
      <w:tr w14:paraId="007A7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02464796">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shd w:val="clear" w:color="auto" w:fill="FFFFFF"/>
            <w:vAlign w:val="center"/>
          </w:tcPr>
          <w:p w14:paraId="2BB7535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2E697F08">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资金使用</w:t>
            </w:r>
          </w:p>
          <w:p w14:paraId="12E3B076">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2B4578DA">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0C5E75CE">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0E2598B2">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r>
      <w:tr w14:paraId="1FC24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655E2C01">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restart"/>
            <w:shd w:val="clear" w:color="auto" w:fill="FFFFFF"/>
            <w:vAlign w:val="center"/>
          </w:tcPr>
          <w:p w14:paraId="5824B8C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组织实施</w:t>
            </w:r>
          </w:p>
          <w:p w14:paraId="3BDE2686">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37CA2D6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管理制度</w:t>
            </w:r>
          </w:p>
          <w:p w14:paraId="3DC21EF8">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6D62389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D3904A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7970F6F2">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4</w:t>
            </w:r>
          </w:p>
        </w:tc>
      </w:tr>
      <w:tr w14:paraId="239BF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02DD70F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720B9E6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176FD01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制度执行</w:t>
            </w:r>
          </w:p>
          <w:p w14:paraId="3E9DDE83">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7ACA40EE">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7113414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14:paraId="45D892AD">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r>
      <w:tr w14:paraId="72D0C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5F31842A">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75F9810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1D011FC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6BBE1BBD">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2756B15C">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14:paraId="7FBC3102">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r>
      <w:tr w14:paraId="290CA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44848AF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shd w:val="clear" w:color="auto" w:fill="FFFFFF"/>
            <w:vAlign w:val="center"/>
          </w:tcPr>
          <w:p w14:paraId="7D540774">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55738704">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1F9739B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3CE69F80">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14:paraId="2C3BF306">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r>
      <w:tr w14:paraId="6E16D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28743EB2">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shd w:val="clear" w:color="auto" w:fill="FFFFFF"/>
            <w:vAlign w:val="center"/>
          </w:tcPr>
          <w:p w14:paraId="6BC4E14E">
            <w:pPr>
              <w:pageBreakBefore w:val="0"/>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773216D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3285170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4F80B566">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c>
          <w:tcPr>
            <w:tcW w:w="874" w:type="dxa"/>
            <w:shd w:val="clear" w:color="000000" w:fill="FFFFFF"/>
          </w:tcPr>
          <w:p w14:paraId="1D251DC2">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r>
      <w:tr w14:paraId="23A7E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191B2416">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shd w:val="clear" w:color="auto" w:fill="FFFFFF"/>
            <w:vAlign w:val="center"/>
          </w:tcPr>
          <w:p w14:paraId="654E2D35">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3F240C26">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3DEA5BC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2F4A3E63">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c>
          <w:tcPr>
            <w:tcW w:w="874" w:type="dxa"/>
            <w:shd w:val="clear" w:color="auto" w:fill="FFFFFF"/>
          </w:tcPr>
          <w:p w14:paraId="60431A0E">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10</w:t>
            </w:r>
          </w:p>
        </w:tc>
      </w:tr>
      <w:tr w14:paraId="1795B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116F986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07C3637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047CDD4F">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3DE854DC">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47FD9880">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15</w:t>
            </w:r>
          </w:p>
        </w:tc>
        <w:tc>
          <w:tcPr>
            <w:tcW w:w="874" w:type="dxa"/>
            <w:shd w:val="clear" w:color="auto" w:fill="FFFFFF"/>
          </w:tcPr>
          <w:p w14:paraId="3C392A07">
            <w:pPr>
              <w:pageBreakBefore w:val="0"/>
              <w:kinsoku/>
              <w:wordWrap/>
              <w:overflowPunct/>
              <w:topLinePunct w:val="0"/>
              <w:autoSpaceDE/>
              <w:autoSpaceDN/>
              <w:bidi w:val="0"/>
              <w:adjustRightInd/>
              <w:spacing w:line="560" w:lineRule="exact"/>
              <w:jc w:val="center"/>
              <w:textAlignment w:val="auto"/>
              <w:rPr>
                <w:rFonts w:hint="default" w:eastAsia="仿宋_GB2312"/>
                <w:lang w:val="en-US" w:eastAsia="zh-CN"/>
              </w:rPr>
            </w:pPr>
            <w:r>
              <w:rPr>
                <w:rFonts w:hint="eastAsia"/>
                <w:lang w:val="en-US" w:eastAsia="zh-CN"/>
              </w:rPr>
              <w:t>15</w:t>
            </w:r>
          </w:p>
        </w:tc>
      </w:tr>
      <w:tr w14:paraId="624A10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6D6666B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478" w:type="dxa"/>
            <w:vMerge w:val="continue"/>
            <w:shd w:val="clear" w:color="auto" w:fill="FFFFFF"/>
            <w:vAlign w:val="center"/>
          </w:tcPr>
          <w:p w14:paraId="2658E4CE">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1875" w:type="dxa"/>
            <w:tcBorders>
              <w:right w:val="single" w:color="auto" w:sz="4" w:space="0"/>
            </w:tcBorders>
            <w:shd w:val="clear" w:color="auto" w:fill="FFFFFF"/>
            <w:vAlign w:val="center"/>
          </w:tcPr>
          <w:p w14:paraId="06D54E79">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3FA1F93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7D07AAF7">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c>
          <w:tcPr>
            <w:tcW w:w="874" w:type="dxa"/>
            <w:shd w:val="clear" w:color="000000" w:fill="FFFFFF"/>
          </w:tcPr>
          <w:p w14:paraId="7CF74648">
            <w:pPr>
              <w:pageBreakBefore w:val="0"/>
              <w:kinsoku/>
              <w:wordWrap/>
              <w:overflowPunct/>
              <w:topLinePunct w:val="0"/>
              <w:autoSpaceDE/>
              <w:autoSpaceDN/>
              <w:bidi w:val="0"/>
              <w:adjustRightInd/>
              <w:spacing w:line="560" w:lineRule="exact"/>
              <w:jc w:val="center"/>
              <w:textAlignment w:val="auto"/>
              <w:rPr>
                <w:rFonts w:hint="eastAsia" w:eastAsia="仿宋_GB2312"/>
                <w:lang w:val="en-US" w:eastAsia="zh-CN"/>
              </w:rPr>
            </w:pPr>
            <w:r>
              <w:rPr>
                <w:rFonts w:hint="eastAsia"/>
                <w:lang w:val="en-US" w:eastAsia="zh-CN"/>
              </w:rPr>
              <w:t>5</w:t>
            </w:r>
          </w:p>
        </w:tc>
      </w:tr>
      <w:tr w14:paraId="4E445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62D13A0B">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3170B9D0">
            <w:pPr>
              <w:pageBreakBefore w:val="0"/>
              <w:widowControl/>
              <w:kinsoku/>
              <w:wordWrap/>
              <w:overflowPunct/>
              <w:topLinePunct w:val="0"/>
              <w:autoSpaceDE/>
              <w:autoSpaceDN/>
              <w:bidi w:val="0"/>
              <w:adjustRightInd/>
              <w:spacing w:line="560" w:lineRule="exact"/>
              <w:jc w:val="center"/>
              <w:textAlignment w:val="auto"/>
              <w:rPr>
                <w:rFonts w:ascii="宋体" w:hAnsi="宋体" w:cs="宋体"/>
                <w:color w:val="000000"/>
                <w:kern w:val="0"/>
                <w:sz w:val="22"/>
              </w:rPr>
            </w:pPr>
          </w:p>
        </w:tc>
        <w:tc>
          <w:tcPr>
            <w:tcW w:w="990" w:type="dxa"/>
            <w:tcBorders>
              <w:left w:val="single" w:color="auto" w:sz="4" w:space="0"/>
            </w:tcBorders>
            <w:shd w:val="clear" w:color="auto" w:fill="FFFFFF"/>
            <w:vAlign w:val="center"/>
          </w:tcPr>
          <w:p w14:paraId="4B5718E6">
            <w:pPr>
              <w:pageBreakBefore w:val="0"/>
              <w:widowControl/>
              <w:kinsoku/>
              <w:wordWrap/>
              <w:overflowPunct/>
              <w:topLinePunct w:val="0"/>
              <w:autoSpaceDE/>
              <w:autoSpaceDN/>
              <w:bidi w:val="0"/>
              <w:adjustRightInd/>
              <w:spacing w:line="56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14:paraId="7E60BC6D">
            <w:pPr>
              <w:pageBreakBefore w:val="0"/>
              <w:widowControl/>
              <w:kinsoku/>
              <w:wordWrap/>
              <w:overflowPunct/>
              <w:topLinePunct w:val="0"/>
              <w:autoSpaceDE/>
              <w:autoSpaceDN/>
              <w:bidi w:val="0"/>
              <w:adjustRightInd/>
              <w:spacing w:line="56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14:paraId="4BF18989">
      <w:pPr>
        <w:pageBreakBefore w:val="0"/>
        <w:kinsoku/>
        <w:wordWrap/>
        <w:overflowPunct/>
        <w:topLinePunct w:val="0"/>
        <w:autoSpaceDE/>
        <w:autoSpaceDN/>
        <w:bidi w:val="0"/>
        <w:adjustRightInd/>
        <w:spacing w:line="560" w:lineRule="exact"/>
        <w:textAlignment w:val="auto"/>
        <w:sectPr>
          <w:pgSz w:w="11906" w:h="16838"/>
          <w:pgMar w:top="1928" w:right="1531" w:bottom="1701" w:left="1531" w:header="737" w:footer="851" w:gutter="0"/>
          <w:cols w:space="720" w:num="1"/>
          <w:docGrid w:type="lines" w:linePitch="408" w:charSpace="0"/>
        </w:sectPr>
      </w:pPr>
    </w:p>
    <w:p w14:paraId="4340FAF0">
      <w:pPr>
        <w:pageBreakBefore w:val="0"/>
        <w:kinsoku/>
        <w:wordWrap/>
        <w:overflowPunct/>
        <w:topLinePunct w:val="0"/>
        <w:autoSpaceDE/>
        <w:autoSpaceDN/>
        <w:bidi w:val="0"/>
        <w:adjustRightInd/>
        <w:spacing w:line="560" w:lineRule="exact"/>
        <w:ind w:firstLine="600" w:firstLineChars="200"/>
        <w:textAlignment w:val="auto"/>
      </w:pPr>
      <w:r>
        <w:rPr>
          <w:rFonts w:hint="eastAsia"/>
        </w:rPr>
        <w:t>3、评价方法</w:t>
      </w:r>
    </w:p>
    <w:p w14:paraId="1D2AE342">
      <w:pPr>
        <w:pageBreakBefore w:val="0"/>
        <w:kinsoku/>
        <w:wordWrap/>
        <w:overflowPunct/>
        <w:topLinePunct w:val="0"/>
        <w:autoSpaceDE/>
        <w:autoSpaceDN/>
        <w:bidi w:val="0"/>
        <w:adjustRightInd/>
        <w:spacing w:line="560" w:lineRule="exact"/>
        <w:ind w:firstLine="567"/>
        <w:textAlignment w:val="auto"/>
        <w:rPr>
          <w:rStyle w:val="13"/>
          <w:rFonts w:hint="eastAsia" w:ascii="仿宋" w:hAnsi="仿宋" w:eastAsia="仿宋" w:cs="仿宋"/>
          <w:b w:val="0"/>
          <w:bCs w:val="0"/>
          <w:spacing w:val="-4"/>
          <w:sz w:val="32"/>
          <w:szCs w:val="32"/>
        </w:rPr>
      </w:pPr>
      <w:r>
        <w:rPr>
          <w:rStyle w:val="13"/>
          <w:rFonts w:hint="eastAsia" w:ascii="仿宋" w:hAnsi="仿宋" w:eastAsia="仿宋" w:cs="仿宋"/>
          <w:b w:val="0"/>
          <w:bCs w:val="0"/>
          <w:spacing w:val="-4"/>
          <w:sz w:val="32"/>
          <w:szCs w:val="32"/>
        </w:rPr>
        <w:t>针对本项目，在评价过程中主要采用了因素分析法。原因是：</w:t>
      </w:r>
      <w:r>
        <w:rPr>
          <w:rStyle w:val="13"/>
          <w:rFonts w:hint="eastAsia" w:ascii="仿宋" w:hAnsi="仿宋" w:eastAsia="仿宋" w:cs="仿宋"/>
          <w:b w:val="0"/>
          <w:bCs w:val="0"/>
          <w:spacing w:val="-4"/>
          <w:sz w:val="32"/>
          <w:szCs w:val="32"/>
        </w:rPr>
        <w:br w:type="textWrapping"/>
      </w:r>
      <w:r>
        <w:rPr>
          <w:rStyle w:val="13"/>
          <w:rFonts w:hint="eastAsia" w:ascii="仿宋" w:hAnsi="仿宋" w:eastAsia="仿宋" w:cs="仿宋"/>
          <w:b w:val="0"/>
          <w:bCs w:val="0"/>
          <w:spacing w:val="-4"/>
          <w:sz w:val="32"/>
          <w:szCs w:val="32"/>
        </w:rPr>
        <w:t>本次项目自评需要对分析影响年初设置的三级指标完成情况在因素进行时分析，在此基础上进行评价考虑各种内外因素产生的影响及量化社会效益进行评价。</w:t>
      </w:r>
    </w:p>
    <w:p w14:paraId="46C2D3E4">
      <w:pPr>
        <w:pageBreakBefore w:val="0"/>
        <w:kinsoku/>
        <w:wordWrap/>
        <w:overflowPunct/>
        <w:topLinePunct w:val="0"/>
        <w:autoSpaceDE/>
        <w:autoSpaceDN/>
        <w:bidi w:val="0"/>
        <w:adjustRightInd/>
        <w:spacing w:line="560" w:lineRule="exact"/>
        <w:textAlignment w:val="auto"/>
        <w:rPr>
          <w:highlight w:val="green"/>
        </w:rPr>
      </w:pPr>
    </w:p>
    <w:p w14:paraId="45914E70">
      <w:pPr>
        <w:pageBreakBefore w:val="0"/>
        <w:kinsoku/>
        <w:wordWrap/>
        <w:overflowPunct/>
        <w:topLinePunct w:val="0"/>
        <w:autoSpaceDE/>
        <w:autoSpaceDN/>
        <w:bidi w:val="0"/>
        <w:adjustRightInd/>
        <w:spacing w:line="560" w:lineRule="exact"/>
        <w:ind w:firstLine="567"/>
        <w:textAlignment w:val="auto"/>
        <w:rPr>
          <w:rStyle w:val="13"/>
          <w:rFonts w:hint="eastAsia" w:ascii="楷体" w:hAnsi="楷体" w:eastAsia="楷体"/>
          <w:b w:val="0"/>
          <w:bCs w:val="0"/>
          <w:spacing w:val="-4"/>
          <w:sz w:val="32"/>
          <w:szCs w:val="32"/>
        </w:rPr>
      </w:pPr>
      <w:r>
        <w:rPr>
          <w:rStyle w:val="13"/>
          <w:rFonts w:hint="eastAsia" w:ascii="楷体" w:hAnsi="楷体" w:eastAsia="楷体"/>
          <w:b w:val="0"/>
          <w:bCs w:val="0"/>
          <w:spacing w:val="-4"/>
          <w:sz w:val="32"/>
          <w:szCs w:val="32"/>
          <w:lang w:val="en-US" w:eastAsia="zh-CN"/>
        </w:rPr>
        <w:t>4、</w:t>
      </w:r>
      <w:r>
        <w:rPr>
          <w:rStyle w:val="13"/>
          <w:rFonts w:hint="eastAsia" w:ascii="楷体" w:hAnsi="楷体" w:eastAsia="楷体"/>
          <w:b w:val="0"/>
          <w:bCs w:val="0"/>
          <w:spacing w:val="-4"/>
          <w:sz w:val="32"/>
          <w:szCs w:val="32"/>
        </w:rPr>
        <w:t>评价标准</w:t>
      </w:r>
      <w:bookmarkStart w:id="6" w:name="_Toc68703833"/>
    </w:p>
    <w:p w14:paraId="59340F58">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楷体" w:hAnsi="楷体" w:eastAsia="楷体"/>
          <w:b w:val="0"/>
          <w:bCs w:val="0"/>
          <w:spacing w:val="-4"/>
          <w:sz w:val="32"/>
          <w:szCs w:val="32"/>
          <w:lang w:val="en-US" w:eastAsia="zh-CN"/>
        </w:rPr>
      </w:pPr>
      <w:r>
        <w:rPr>
          <w:rStyle w:val="13"/>
          <w:rFonts w:hint="eastAsia" w:ascii="仿宋" w:hAnsi="仿宋" w:eastAsia="仿宋" w:cs="仿宋"/>
          <w:b w:val="0"/>
          <w:bCs w:val="0"/>
          <w:spacing w:val="-4"/>
          <w:sz w:val="32"/>
          <w:szCs w:val="32"/>
        </w:rPr>
        <w:t>本次评价主要采用了计划标准。原因是：该项目设置年初绩效目标申报表严格参考工作计划设置，并根据该项目本年度计划实施情况确定三级指标。采用计划标准可提高预算编制和预算额度测算准确率，使评价结果更加科学真实。</w:t>
      </w:r>
      <w:r>
        <w:rPr>
          <w:rStyle w:val="13"/>
          <w:rFonts w:hint="eastAsia" w:ascii="仿宋" w:hAnsi="仿宋" w:eastAsia="仿宋" w:cs="仿宋"/>
          <w:b w:val="0"/>
          <w:bCs w:val="0"/>
          <w:spacing w:val="-4"/>
          <w:sz w:val="32"/>
          <w:szCs w:val="32"/>
        </w:rPr>
        <w:cr/>
      </w:r>
      <w:r>
        <w:rPr>
          <w:rStyle w:val="13"/>
          <w:rFonts w:hint="eastAsia" w:ascii="楷体" w:hAnsi="楷体" w:eastAsia="楷体"/>
          <w:b w:val="0"/>
          <w:bCs w:val="0"/>
          <w:spacing w:val="-4"/>
          <w:sz w:val="32"/>
          <w:szCs w:val="32"/>
          <w:lang w:val="en-US" w:eastAsia="zh-CN"/>
        </w:rPr>
        <w:t xml:space="preserve">  </w:t>
      </w:r>
      <w:r>
        <w:rPr>
          <w:rFonts w:hint="eastAsia" w:ascii="仿宋_GB2312" w:eastAsia="仿宋_GB2312"/>
          <w:b w:val="0"/>
          <w:bCs w:val="0"/>
        </w:rPr>
        <w:t>（三）绩效评价工作过程。</w:t>
      </w:r>
    </w:p>
    <w:p w14:paraId="0A69DE95">
      <w:pPr>
        <w:pageBreakBefore w:val="0"/>
        <w:numPr>
          <w:ilvl w:val="0"/>
          <w:numId w:val="0"/>
        </w:numPr>
        <w:kinsoku/>
        <w:wordWrap/>
        <w:overflowPunct/>
        <w:topLinePunct w:val="0"/>
        <w:autoSpaceDE/>
        <w:autoSpaceDN/>
        <w:bidi w:val="0"/>
        <w:adjustRightInd/>
        <w:spacing w:line="560" w:lineRule="exact"/>
        <w:ind w:firstLine="624" w:firstLineChars="200"/>
        <w:textAlignment w:val="auto"/>
      </w:pPr>
      <w:r>
        <w:rPr>
          <w:rStyle w:val="13"/>
          <w:rFonts w:hint="eastAsia" w:ascii="仿宋" w:hAnsi="仿宋" w:eastAsia="仿宋" w:cs="仿宋"/>
          <w:b w:val="0"/>
          <w:bCs w:val="0"/>
          <w:spacing w:val="-4"/>
          <w:sz w:val="32"/>
          <w:szCs w:val="32"/>
          <w:lang w:val="en-US" w:eastAsia="zh-CN"/>
        </w:rPr>
        <w:t xml:space="preserve"> </w:t>
      </w:r>
      <w:r>
        <w:rPr>
          <w:rStyle w:val="13"/>
          <w:rFonts w:hint="eastAsia" w:ascii="仿宋" w:hAnsi="仿宋" w:eastAsia="仿宋" w:cs="仿宋"/>
          <w:b w:val="0"/>
          <w:bCs w:val="0"/>
          <w:spacing w:val="-4"/>
          <w:sz w:val="32"/>
          <w:szCs w:val="32"/>
        </w:rPr>
        <w:t>1、前期准备：单位通过前期开会研究，确定绩效评价对象和范围，确定了评价的目的、方法以及评价的原则，根据项目的内容和特征制定了评价指标体系及评价标准以及评价实施方案，修正并确定项目工作所需资料清单，最终确定绩效评价工作方案；</w:t>
      </w:r>
      <w:r>
        <w:rPr>
          <w:rStyle w:val="13"/>
          <w:rFonts w:hint="eastAsia" w:ascii="仿宋" w:hAnsi="仿宋" w:eastAsia="仿宋" w:cs="仿宋"/>
          <w:b w:val="0"/>
          <w:bCs w:val="0"/>
          <w:spacing w:val="-4"/>
          <w:sz w:val="32"/>
          <w:szCs w:val="32"/>
        </w:rPr>
        <w:br w:type="textWrapping"/>
      </w:r>
      <w:r>
        <w:rPr>
          <w:rStyle w:val="13"/>
          <w:rFonts w:hint="eastAsia" w:ascii="仿宋" w:hAnsi="仿宋" w:eastAsia="仿宋" w:cs="仿宋"/>
          <w:b w:val="0"/>
          <w:bCs w:val="0"/>
          <w:spacing w:val="-4"/>
          <w:sz w:val="32"/>
          <w:szCs w:val="32"/>
          <w:lang w:val="en-US" w:eastAsia="zh-CN"/>
        </w:rPr>
        <w:t xml:space="preserve">    </w:t>
      </w:r>
      <w:r>
        <w:rPr>
          <w:rStyle w:val="13"/>
          <w:rFonts w:hint="eastAsia" w:ascii="仿宋" w:hAnsi="仿宋" w:eastAsia="仿宋" w:cs="仿宋"/>
          <w:b w:val="0"/>
          <w:bCs w:val="0"/>
          <w:spacing w:val="-4"/>
          <w:sz w:val="32"/>
          <w:szCs w:val="32"/>
        </w:rPr>
        <w:t>2、组织实施：融媒体中心</w:t>
      </w:r>
      <w:r>
        <w:rPr>
          <w:rStyle w:val="13"/>
          <w:rFonts w:hint="eastAsia" w:ascii="仿宋" w:hAnsi="仿宋" w:eastAsia="仿宋" w:cs="仿宋"/>
          <w:b w:val="0"/>
          <w:bCs w:val="0"/>
          <w:spacing w:val="-4"/>
          <w:sz w:val="32"/>
          <w:szCs w:val="32"/>
          <w:lang w:val="en-US" w:eastAsia="zh-CN"/>
        </w:rPr>
        <w:t>购买服务附属设备、耗材和发射机维护，</w:t>
      </w:r>
      <w:r>
        <w:rPr>
          <w:rStyle w:val="13"/>
          <w:rFonts w:hint="eastAsia" w:ascii="仿宋" w:hAnsi="仿宋" w:eastAsia="仿宋" w:cs="仿宋"/>
          <w:b w:val="0"/>
          <w:bCs w:val="0"/>
          <w:spacing w:val="-4"/>
          <w:sz w:val="32"/>
          <w:szCs w:val="32"/>
        </w:rPr>
        <w:t xml:space="preserve">确保自治县无线覆盖工程配备的转播节目的电视发射机和调频发射机正常运转。进行开会研究；并与项目实施负责人沟通，了解资金的内容、操作流程、管理机制、资金使用方向等情况，分析形成初步结论。 </w:t>
      </w:r>
      <w:r>
        <w:rPr>
          <w:rStyle w:val="13"/>
          <w:rFonts w:hint="eastAsia" w:ascii="仿宋" w:hAnsi="仿宋" w:eastAsia="仿宋" w:cs="仿宋"/>
          <w:b w:val="0"/>
          <w:bCs w:val="0"/>
          <w:spacing w:val="-4"/>
          <w:sz w:val="32"/>
          <w:szCs w:val="32"/>
        </w:rPr>
        <w:br w:type="textWrapping"/>
      </w:r>
      <w:r>
        <w:rPr>
          <w:rStyle w:val="13"/>
          <w:rFonts w:hint="eastAsia" w:ascii="仿宋" w:hAnsi="仿宋" w:eastAsia="仿宋" w:cs="仿宋"/>
          <w:b w:val="0"/>
          <w:bCs w:val="0"/>
          <w:spacing w:val="-4"/>
          <w:sz w:val="32"/>
          <w:szCs w:val="32"/>
          <w:lang w:val="en-US" w:eastAsia="zh-CN"/>
        </w:rPr>
        <w:t xml:space="preserve">    </w:t>
      </w:r>
      <w:r>
        <w:rPr>
          <w:rStyle w:val="13"/>
          <w:rFonts w:hint="eastAsia" w:ascii="仿宋" w:hAnsi="仿宋" w:eastAsia="仿宋" w:cs="仿宋"/>
          <w:b w:val="0"/>
          <w:bCs w:val="0"/>
          <w:spacing w:val="-4"/>
          <w:sz w:val="32"/>
          <w:szCs w:val="32"/>
        </w:rPr>
        <w:t>3、分析评价：</w:t>
      </w:r>
      <w:r>
        <w:rPr>
          <w:rStyle w:val="13"/>
          <w:rFonts w:hint="eastAsia" w:ascii="仿宋" w:hAnsi="仿宋" w:eastAsia="仿宋" w:cs="仿宋"/>
          <w:b w:val="0"/>
          <w:bCs w:val="0"/>
          <w:spacing w:val="-4"/>
          <w:sz w:val="32"/>
          <w:szCs w:val="32"/>
          <w:lang w:val="en-US" w:eastAsia="zh-CN"/>
        </w:rPr>
        <w:t>无线发射附属设备</w:t>
      </w:r>
      <w:r>
        <w:rPr>
          <w:rStyle w:val="13"/>
          <w:rFonts w:hint="eastAsia" w:ascii="仿宋" w:hAnsi="仿宋" w:eastAsia="仿宋" w:cs="仿宋"/>
          <w:b w:val="0"/>
          <w:bCs w:val="0"/>
          <w:spacing w:val="-4"/>
          <w:sz w:val="32"/>
          <w:szCs w:val="32"/>
        </w:rPr>
        <w:t>评价组按照绩效评价的原则和规范，对取得的资料进行审查核实，对采集的数据进行分析，按照绩效评价指标评分表逐项进行打分、分析，汇总各方评价结果，综合分析并形成评价结论。</w:t>
      </w:r>
      <w:bookmarkEnd w:id="6"/>
    </w:p>
    <w:p w14:paraId="47E41BA3">
      <w:pPr>
        <w:pStyle w:val="2"/>
        <w:pageBreakBefore w:val="0"/>
        <w:kinsoku/>
        <w:wordWrap/>
        <w:overflowPunct/>
        <w:topLinePunct w:val="0"/>
        <w:autoSpaceDE/>
        <w:autoSpaceDN/>
        <w:bidi w:val="0"/>
        <w:adjustRightInd/>
        <w:spacing w:line="560" w:lineRule="exact"/>
        <w:ind w:firstLine="643" w:firstLineChars="200"/>
        <w:textAlignment w:val="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14:paraId="0AEAF5B3">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39E71B35">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rPr>
      </w:pPr>
      <w:r>
        <w:rPr>
          <w:rStyle w:val="13"/>
          <w:rFonts w:hint="eastAsia" w:ascii="仿宋" w:hAnsi="仿宋" w:eastAsia="仿宋" w:cs="仿宋"/>
          <w:b w:val="0"/>
          <w:bCs w:val="0"/>
          <w:spacing w:val="-4"/>
          <w:sz w:val="32"/>
          <w:szCs w:val="32"/>
        </w:rPr>
        <w:t>本项目严格按照科学公正、统筹兼顾、激励约束、公开透明的绩效评价原则，采用比较法和因素分析法作为评价方法，运用由项目组制订的评价指标体系及评分标准，坚持通过数据采集、问卷调查绩效评价标准对本项目的立项、项绩效目标、资金投入、资金管理、组织实施、产出数量、产出质量、产出时效、产出成本、项目效益进行了综合评价。</w:t>
      </w:r>
    </w:p>
    <w:p w14:paraId="5C82B6C5">
      <w:pPr>
        <w:pageBreakBefore w:val="0"/>
        <w:kinsoku/>
        <w:wordWrap/>
        <w:overflowPunct/>
        <w:topLinePunct w:val="0"/>
        <w:autoSpaceDE/>
        <w:autoSpaceDN/>
        <w:bidi w:val="0"/>
        <w:adjustRightInd/>
        <w:spacing w:line="560" w:lineRule="exact"/>
        <w:ind w:firstLine="600" w:firstLineChars="200"/>
        <w:jc w:val="center"/>
        <w:textAlignment w:val="auto"/>
        <w:rPr>
          <w:rFonts w:hint="eastAsia"/>
          <w:color w:val="auto"/>
        </w:rPr>
      </w:pPr>
      <w:r>
        <w:rPr>
          <w:rFonts w:hint="eastAsia"/>
          <w:color w:val="auto"/>
          <w:lang w:val="en-US" w:eastAsia="zh-CN"/>
        </w:rPr>
        <w:t>中央补助地方公共文化服务体系建设补助资金</w:t>
      </w:r>
      <w:r>
        <w:rPr>
          <w:rFonts w:hint="eastAsia"/>
          <w:color w:val="auto"/>
        </w:rPr>
        <w:t>项目评价</w:t>
      </w:r>
    </w:p>
    <w:p w14:paraId="61E79F9B">
      <w:pPr>
        <w:pageBreakBefore w:val="0"/>
        <w:kinsoku/>
        <w:wordWrap/>
        <w:overflowPunct/>
        <w:topLinePunct w:val="0"/>
        <w:autoSpaceDE/>
        <w:autoSpaceDN/>
        <w:bidi w:val="0"/>
        <w:adjustRightInd/>
        <w:spacing w:line="560" w:lineRule="exact"/>
        <w:ind w:firstLine="600" w:firstLineChars="200"/>
        <w:jc w:val="center"/>
        <w:textAlignment w:val="auto"/>
        <w:rPr>
          <w:color w:val="auto"/>
        </w:rPr>
      </w:pPr>
      <w:r>
        <w:rPr>
          <w:rFonts w:hint="eastAsia"/>
          <w:color w:val="auto"/>
        </w:rPr>
        <w:t>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406709A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D23E69F">
            <w:pPr>
              <w:pageBreakBefore w:val="0"/>
              <w:kinsoku/>
              <w:wordWrap/>
              <w:overflowPunct/>
              <w:topLinePunct w:val="0"/>
              <w:autoSpaceDE/>
              <w:autoSpaceDN/>
              <w:bidi w:val="0"/>
              <w:adjustRightInd/>
              <w:spacing w:line="560" w:lineRule="exact"/>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73CC45F">
            <w:pPr>
              <w:pageBreakBefore w:val="0"/>
              <w:kinsoku/>
              <w:wordWrap/>
              <w:overflowPunct/>
              <w:topLinePunct w:val="0"/>
              <w:autoSpaceDE/>
              <w:autoSpaceDN/>
              <w:bidi w:val="0"/>
              <w:adjustRightInd/>
              <w:spacing w:line="560" w:lineRule="exact"/>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42A8127">
            <w:pPr>
              <w:pageBreakBefore w:val="0"/>
              <w:kinsoku/>
              <w:wordWrap/>
              <w:overflowPunct/>
              <w:topLinePunct w:val="0"/>
              <w:autoSpaceDE/>
              <w:autoSpaceDN/>
              <w:bidi w:val="0"/>
              <w:adjustRightInd/>
              <w:spacing w:line="560" w:lineRule="exact"/>
              <w:jc w:val="center"/>
              <w:textAlignment w:val="auto"/>
              <w:rPr>
                <w:b/>
                <w:bCs/>
                <w:color w:val="000000"/>
                <w:sz w:val="22"/>
              </w:rPr>
            </w:pPr>
            <w:r>
              <w:rPr>
                <w:rFonts w:hint="eastAsia"/>
                <w:b/>
                <w:bCs/>
                <w:color w:val="000000"/>
                <w:sz w:val="22"/>
              </w:rPr>
              <w:t>得分</w:t>
            </w:r>
          </w:p>
        </w:tc>
      </w:tr>
      <w:tr w14:paraId="1C18F64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14BEA3">
            <w:pPr>
              <w:pageBreakBefore w:val="0"/>
              <w:kinsoku/>
              <w:wordWrap/>
              <w:overflowPunct/>
              <w:topLinePunct w:val="0"/>
              <w:autoSpaceDE/>
              <w:autoSpaceDN/>
              <w:bidi w:val="0"/>
              <w:adjustRightInd/>
              <w:spacing w:line="560" w:lineRule="exact"/>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2734EC6">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8CBE6C8">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6B22D4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D8166D1">
            <w:pPr>
              <w:pageBreakBefore w:val="0"/>
              <w:kinsoku/>
              <w:wordWrap/>
              <w:overflowPunct/>
              <w:topLinePunct w:val="0"/>
              <w:autoSpaceDE/>
              <w:autoSpaceDN/>
              <w:bidi w:val="0"/>
              <w:adjustRightInd/>
              <w:spacing w:line="560" w:lineRule="exact"/>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07CAC04">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0563F65">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04A272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CAFF54">
            <w:pPr>
              <w:pageBreakBefore w:val="0"/>
              <w:kinsoku/>
              <w:wordWrap/>
              <w:overflowPunct/>
              <w:topLinePunct w:val="0"/>
              <w:autoSpaceDE/>
              <w:autoSpaceDN/>
              <w:bidi w:val="0"/>
              <w:adjustRightInd/>
              <w:spacing w:line="560" w:lineRule="exact"/>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298C5B7">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00367F2">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1E5D46A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2AB76C">
            <w:pPr>
              <w:pageBreakBefore w:val="0"/>
              <w:kinsoku/>
              <w:wordWrap/>
              <w:overflowPunct/>
              <w:topLinePunct w:val="0"/>
              <w:autoSpaceDE/>
              <w:autoSpaceDN/>
              <w:bidi w:val="0"/>
              <w:adjustRightInd/>
              <w:spacing w:line="560" w:lineRule="exact"/>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A4EC107">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3EDF067">
            <w:pPr>
              <w:pageBreakBefore w:val="0"/>
              <w:kinsoku/>
              <w:wordWrap/>
              <w:overflowPunct/>
              <w:topLinePunct w:val="0"/>
              <w:autoSpaceDE/>
              <w:autoSpaceDN/>
              <w:bidi w:val="0"/>
              <w:adjustRightInd/>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43D9AE8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9F9277">
            <w:pPr>
              <w:pageBreakBefore w:val="0"/>
              <w:kinsoku/>
              <w:wordWrap/>
              <w:overflowPunct/>
              <w:topLinePunct w:val="0"/>
              <w:autoSpaceDE/>
              <w:autoSpaceDN/>
              <w:bidi w:val="0"/>
              <w:adjustRightInd/>
              <w:spacing w:line="560" w:lineRule="exact"/>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D2DFC1F">
            <w:pPr>
              <w:pageBreakBefore w:val="0"/>
              <w:kinsoku/>
              <w:wordWrap/>
              <w:overflowPunct/>
              <w:topLinePunct w:val="0"/>
              <w:autoSpaceDE/>
              <w:autoSpaceDN/>
              <w:bidi w:val="0"/>
              <w:adjustRightInd/>
              <w:spacing w:line="56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DC79697">
            <w:pPr>
              <w:pageBreakBefore w:val="0"/>
              <w:kinsoku/>
              <w:wordWrap/>
              <w:overflowPunct/>
              <w:topLinePunct w:val="0"/>
              <w:autoSpaceDE/>
              <w:autoSpaceDN/>
              <w:bidi w:val="0"/>
              <w:adjustRightInd/>
              <w:spacing w:line="56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407D2DBC">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3FD3BB73">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rPr>
      </w:pPr>
      <w:r>
        <w:rPr>
          <w:rStyle w:val="13"/>
          <w:rFonts w:hint="eastAsia" w:ascii="仿宋" w:hAnsi="仿宋" w:eastAsia="仿宋" w:cs="仿宋"/>
          <w:b w:val="0"/>
          <w:bCs w:val="0"/>
          <w:spacing w:val="-4"/>
          <w:sz w:val="32"/>
          <w:szCs w:val="32"/>
        </w:rPr>
        <w:t>本项目的项目决策、项目过程、项目产出、项目效益均达到了预期要求，最终得分为100分，项目达成年度指标。</w:t>
      </w:r>
    </w:p>
    <w:p w14:paraId="2B44CEA0">
      <w:pPr>
        <w:pStyle w:val="2"/>
        <w:pageBreakBefore w:val="0"/>
        <w:kinsoku/>
        <w:wordWrap/>
        <w:overflowPunct/>
        <w:topLinePunct w:val="0"/>
        <w:autoSpaceDE/>
        <w:autoSpaceDN/>
        <w:bidi w:val="0"/>
        <w:adjustRightInd/>
        <w:spacing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487C46F0">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44B0C331">
      <w:pPr>
        <w:pageBreakBefore w:val="0"/>
        <w:kinsoku/>
        <w:wordWrap/>
        <w:overflowPunct/>
        <w:topLinePunct w:val="0"/>
        <w:autoSpaceDE/>
        <w:autoSpaceDN/>
        <w:bidi w:val="0"/>
        <w:adjustRightInd/>
        <w:spacing w:line="560" w:lineRule="exact"/>
        <w:ind w:firstLine="600" w:firstLineChars="200"/>
        <w:textAlignment w:val="auto"/>
      </w:pPr>
      <w:r>
        <w:rPr>
          <w:rFonts w:hint="eastAsia"/>
        </w:rPr>
        <w:t>1、立项依据充分性</w:t>
      </w:r>
    </w:p>
    <w:p w14:paraId="05E3DDA8">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eastAsia="zh-CN"/>
        </w:rPr>
      </w:pPr>
      <w:r>
        <w:rPr>
          <w:rStyle w:val="13"/>
          <w:rFonts w:hint="eastAsia" w:ascii="仿宋" w:hAnsi="仿宋" w:eastAsia="仿宋" w:cs="仿宋"/>
          <w:b w:val="0"/>
          <w:bCs w:val="0"/>
          <w:spacing w:val="-4"/>
          <w:sz w:val="32"/>
          <w:szCs w:val="32"/>
          <w:lang w:val="en-US" w:eastAsia="zh-CN"/>
        </w:rPr>
        <w:t>项目立项依据巴财教【2023】65号，中央补助地方公共文化服务体系建设补助资金</w:t>
      </w:r>
      <w:r>
        <w:rPr>
          <w:rStyle w:val="13"/>
          <w:rFonts w:hint="eastAsia" w:ascii="仿宋" w:hAnsi="仿宋" w:eastAsia="仿宋" w:cs="仿宋"/>
          <w:b w:val="0"/>
          <w:bCs w:val="0"/>
          <w:spacing w:val="-4"/>
          <w:sz w:val="32"/>
          <w:szCs w:val="32"/>
        </w:rPr>
        <w:t>项目立项</w:t>
      </w:r>
      <w:r>
        <w:rPr>
          <w:rStyle w:val="13"/>
          <w:rFonts w:hint="eastAsia" w:ascii="仿宋" w:hAnsi="仿宋" w:eastAsia="仿宋" w:cs="仿宋"/>
          <w:b w:val="0"/>
          <w:bCs w:val="0"/>
          <w:spacing w:val="-4"/>
          <w:sz w:val="32"/>
          <w:szCs w:val="32"/>
          <w:lang w:eastAsia="zh-CN"/>
        </w:rPr>
        <w:t>，</w:t>
      </w:r>
      <w:r>
        <w:rPr>
          <w:rStyle w:val="13"/>
          <w:rFonts w:hint="eastAsia" w:ascii="仿宋" w:hAnsi="仿宋" w:eastAsia="仿宋" w:cs="仿宋"/>
          <w:b w:val="0"/>
          <w:bCs w:val="0"/>
          <w:spacing w:val="-4"/>
          <w:sz w:val="32"/>
          <w:szCs w:val="32"/>
        </w:rPr>
        <w:t>符合行业发展规划和政策要求；与单位职责范围相符，属于单位履职所需；属于公共财政支持范围，符合中央、地方事权支出责任划分原则；与相关部门同类项目或部门内部相关项目无重复</w:t>
      </w:r>
      <w:r>
        <w:rPr>
          <w:rStyle w:val="13"/>
          <w:rFonts w:hint="eastAsia" w:ascii="仿宋" w:hAnsi="仿宋" w:eastAsia="仿宋" w:cs="仿宋"/>
          <w:b w:val="0"/>
          <w:bCs w:val="0"/>
          <w:spacing w:val="-4"/>
          <w:sz w:val="32"/>
          <w:szCs w:val="32"/>
          <w:lang w:eastAsia="zh-CN"/>
        </w:rPr>
        <w:t>。</w:t>
      </w:r>
    </w:p>
    <w:p w14:paraId="70538F7F">
      <w:pPr>
        <w:pageBreakBefore w:val="0"/>
        <w:kinsoku/>
        <w:wordWrap/>
        <w:overflowPunct/>
        <w:topLinePunct w:val="0"/>
        <w:autoSpaceDE/>
        <w:autoSpaceDN/>
        <w:bidi w:val="0"/>
        <w:adjustRightInd/>
        <w:spacing w:line="560" w:lineRule="exact"/>
        <w:ind w:firstLine="600" w:firstLineChars="200"/>
        <w:textAlignment w:val="auto"/>
      </w:pPr>
      <w:r>
        <w:rPr>
          <w:rFonts w:hint="eastAsia"/>
        </w:rPr>
        <w:t>2、立项程序规范性</w:t>
      </w:r>
    </w:p>
    <w:p w14:paraId="52F6C449">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项目按照规定的程序申请设立，审批文件、材料符合相关要求，且事前已经过必要的可行性研究、绩效评估、集体决策。</w:t>
      </w:r>
    </w:p>
    <w:p w14:paraId="4213EA48">
      <w:pPr>
        <w:pageBreakBefore w:val="0"/>
        <w:kinsoku/>
        <w:wordWrap/>
        <w:overflowPunct/>
        <w:topLinePunct w:val="0"/>
        <w:autoSpaceDE/>
        <w:autoSpaceDN/>
        <w:bidi w:val="0"/>
        <w:adjustRightInd/>
        <w:spacing w:line="560" w:lineRule="exact"/>
        <w:ind w:firstLine="600" w:firstLineChars="200"/>
        <w:textAlignment w:val="auto"/>
      </w:pPr>
      <w:r>
        <w:rPr>
          <w:rFonts w:hint="eastAsia"/>
        </w:rPr>
        <w:t>3、绩效目标合理性</w:t>
      </w:r>
    </w:p>
    <w:p w14:paraId="40D0AFCE">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2023项目设立了项目绩效目标，与巩固中央广播 电视节目无线覆盖成果，进一步提升广播电视公共服务水平和质量。实现各发射站按规定完整转播好广播电视节目，做到“满功率、满调幅度、满时间”安全播出具有相关性，项目的预期产出效益和效果也均能符合正常的业绩水平，并且与预算确定的项目投资额或资金量相匹配。</w:t>
      </w:r>
    </w:p>
    <w:p w14:paraId="6CD510CE">
      <w:pPr>
        <w:pageBreakBefore w:val="0"/>
        <w:kinsoku/>
        <w:wordWrap/>
        <w:overflowPunct/>
        <w:topLinePunct w:val="0"/>
        <w:autoSpaceDE/>
        <w:autoSpaceDN/>
        <w:bidi w:val="0"/>
        <w:adjustRightInd/>
        <w:spacing w:line="560" w:lineRule="exact"/>
        <w:ind w:firstLine="600" w:firstLineChars="200"/>
        <w:textAlignment w:val="auto"/>
      </w:pPr>
      <w:r>
        <w:rPr>
          <w:rFonts w:hint="eastAsia"/>
        </w:rPr>
        <w:t>4、绩效指标明确性</w:t>
      </w:r>
    </w:p>
    <w:p w14:paraId="3CE3E118">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bookmarkStart w:id="12" w:name="_Hlk68699917"/>
      <w:r>
        <w:rPr>
          <w:rStyle w:val="13"/>
          <w:rFonts w:hint="eastAsia" w:ascii="仿宋" w:hAnsi="仿宋" w:eastAsia="仿宋" w:cs="仿宋"/>
          <w:b w:val="0"/>
          <w:bCs w:val="0"/>
          <w:spacing w:val="-4"/>
          <w:sz w:val="32"/>
          <w:szCs w:val="32"/>
          <w:lang w:val="en-US" w:eastAsia="zh-CN"/>
        </w:rPr>
        <w:t>2023年项目将项目绩效目标细化分解为具体的绩效指标，一级指标共3条，二级指标共6条，三级指标共9条，其中量化指标条数共9条，所有绩效指标均通过清晰、可衡量的指标值予以体现，并且做到了与项目目标任务数或计划数相对应。</w:t>
      </w:r>
      <w:bookmarkEnd w:id="12"/>
    </w:p>
    <w:p w14:paraId="5562F8AF">
      <w:pPr>
        <w:pageBreakBefore w:val="0"/>
        <w:kinsoku/>
        <w:wordWrap/>
        <w:overflowPunct/>
        <w:topLinePunct w:val="0"/>
        <w:autoSpaceDE/>
        <w:autoSpaceDN/>
        <w:bidi w:val="0"/>
        <w:adjustRightInd/>
        <w:spacing w:line="560" w:lineRule="exact"/>
        <w:ind w:firstLine="600" w:firstLineChars="200"/>
        <w:textAlignment w:val="auto"/>
      </w:pPr>
      <w:r>
        <w:rPr>
          <w:rFonts w:hint="eastAsia"/>
        </w:rPr>
        <w:t>5、预算编制科学性</w:t>
      </w:r>
    </w:p>
    <w:p w14:paraId="4BCE9A7D">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该项目经过科学论证，预算内容与项目内容匹配，预算额度测算依据充分，按照标准编制，年初预算数0万元，全年预算数58.7万元，年初纳入2023年预算，经县财政局批复后，在县政府网站公开，预算确定的项目投资额与该项工作任务相匹配。</w:t>
      </w:r>
    </w:p>
    <w:p w14:paraId="0572E5EB">
      <w:pPr>
        <w:pageBreakBefore w:val="0"/>
        <w:kinsoku/>
        <w:wordWrap/>
        <w:overflowPunct/>
        <w:topLinePunct w:val="0"/>
        <w:autoSpaceDE/>
        <w:autoSpaceDN/>
        <w:bidi w:val="0"/>
        <w:adjustRightInd/>
        <w:spacing w:line="560" w:lineRule="exact"/>
        <w:ind w:firstLine="600" w:firstLineChars="200"/>
        <w:textAlignment w:val="auto"/>
      </w:pPr>
      <w:r>
        <w:rPr>
          <w:rFonts w:hint="eastAsia"/>
        </w:rPr>
        <w:t>6、资金分配合理性</w:t>
      </w:r>
    </w:p>
    <w:p w14:paraId="0B03D417">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bookmarkStart w:id="13" w:name="_Toc68703839"/>
      <w:r>
        <w:rPr>
          <w:rStyle w:val="13"/>
          <w:rFonts w:hint="eastAsia" w:ascii="仿宋" w:hAnsi="仿宋" w:eastAsia="仿宋" w:cs="仿宋"/>
          <w:b w:val="0"/>
          <w:bCs w:val="0"/>
          <w:spacing w:val="-4"/>
          <w:sz w:val="32"/>
          <w:szCs w:val="32"/>
          <w:lang w:val="en-US" w:eastAsia="zh-CN"/>
        </w:rPr>
        <w:t>本年初预算数58.7元，预算资金分配依据充分，根据项目设置目标融媒体中心</w:t>
      </w:r>
      <w:r>
        <w:rPr>
          <w:rStyle w:val="13"/>
          <w:rFonts w:hint="default" w:ascii="仿宋" w:hAnsi="仿宋" w:eastAsia="仿宋" w:cs="仿宋"/>
          <w:b w:val="0"/>
          <w:bCs w:val="0"/>
          <w:spacing w:val="-4"/>
          <w:sz w:val="32"/>
          <w:szCs w:val="32"/>
          <w:lang w:val="en-US" w:eastAsia="zh-CN"/>
        </w:rPr>
        <w:t>购买发射机</w:t>
      </w:r>
      <w:r>
        <w:rPr>
          <w:rStyle w:val="13"/>
          <w:rFonts w:hint="eastAsia" w:ascii="仿宋" w:hAnsi="仿宋" w:eastAsia="仿宋" w:cs="仿宋"/>
          <w:b w:val="0"/>
          <w:bCs w:val="0"/>
          <w:spacing w:val="-4"/>
          <w:sz w:val="32"/>
          <w:szCs w:val="32"/>
          <w:lang w:val="en-US" w:eastAsia="zh-CN"/>
        </w:rPr>
        <w:t>1套15</w:t>
      </w:r>
      <w:r>
        <w:rPr>
          <w:rStyle w:val="13"/>
          <w:rFonts w:hint="default" w:ascii="仿宋" w:hAnsi="仿宋" w:eastAsia="仿宋" w:cs="仿宋"/>
          <w:b w:val="0"/>
          <w:bCs w:val="0"/>
          <w:spacing w:val="-4"/>
          <w:sz w:val="32"/>
          <w:szCs w:val="32"/>
          <w:lang w:val="en-US" w:eastAsia="zh-CN"/>
        </w:rPr>
        <w:t>万元</w:t>
      </w:r>
      <w:r>
        <w:rPr>
          <w:rStyle w:val="13"/>
          <w:rFonts w:hint="eastAsia" w:ascii="仿宋" w:hAnsi="仿宋" w:eastAsia="仿宋" w:cs="仿宋"/>
          <w:b w:val="0"/>
          <w:bCs w:val="0"/>
          <w:spacing w:val="-4"/>
          <w:sz w:val="32"/>
          <w:szCs w:val="32"/>
          <w:lang w:val="en-US" w:eastAsia="zh-CN"/>
        </w:rPr>
        <w:t>,道路安防设施3万元，无线附属设备7.2万元，铁塔检测及维修8万元，县级融媒体中心建设10万元，大喇叭设备6.2万元，购买电费及耗材9.3万元。</w:t>
      </w:r>
    </w:p>
    <w:p w14:paraId="7DC55146">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r>
        <w:rPr>
          <w:rFonts w:hint="eastAsia" w:ascii="仿宋_GB2312" w:eastAsia="仿宋_GB2312"/>
          <w:b w:val="0"/>
          <w:bCs w:val="0"/>
        </w:rPr>
        <w:t>（二）项目过程情况。</w:t>
      </w:r>
      <w:bookmarkEnd w:id="13"/>
    </w:p>
    <w:p w14:paraId="46EEDABD">
      <w:pPr>
        <w:pageBreakBefore w:val="0"/>
        <w:kinsoku/>
        <w:wordWrap/>
        <w:overflowPunct/>
        <w:topLinePunct w:val="0"/>
        <w:autoSpaceDE/>
        <w:autoSpaceDN/>
        <w:bidi w:val="0"/>
        <w:adjustRightInd/>
        <w:spacing w:line="560" w:lineRule="exact"/>
        <w:ind w:firstLine="600" w:firstLineChars="200"/>
        <w:textAlignment w:val="auto"/>
        <w:rPr>
          <w:color w:val="auto"/>
        </w:rPr>
      </w:pPr>
      <w:r>
        <w:rPr>
          <w:rFonts w:hint="eastAsia"/>
          <w:color w:val="auto"/>
        </w:rPr>
        <w:t>1、资金到位率：</w:t>
      </w:r>
    </w:p>
    <w:p w14:paraId="0877E378">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实际到位资金58.7万元，预算资金58.7万元，资金到位率100%。</w:t>
      </w:r>
    </w:p>
    <w:p w14:paraId="7BF1F82D">
      <w:pPr>
        <w:pageBreakBefore w:val="0"/>
        <w:kinsoku/>
        <w:wordWrap/>
        <w:overflowPunct/>
        <w:topLinePunct w:val="0"/>
        <w:autoSpaceDE/>
        <w:autoSpaceDN/>
        <w:bidi w:val="0"/>
        <w:adjustRightInd/>
        <w:spacing w:line="560" w:lineRule="exact"/>
        <w:ind w:firstLine="600" w:firstLineChars="200"/>
        <w:textAlignment w:val="auto"/>
        <w:rPr>
          <w:color w:val="auto"/>
        </w:rPr>
      </w:pPr>
      <w:r>
        <w:rPr>
          <w:rFonts w:hint="eastAsia"/>
          <w:color w:val="auto"/>
        </w:rPr>
        <w:t>2、预算执行率</w:t>
      </w:r>
    </w:p>
    <w:p w14:paraId="19BF0EAA">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年初预算数 0万元，全年预算数58.7万元，全年执行数58.7万元，预算执行率为100%。</w:t>
      </w:r>
    </w:p>
    <w:p w14:paraId="34024ABC">
      <w:pPr>
        <w:pageBreakBefore w:val="0"/>
        <w:kinsoku/>
        <w:wordWrap/>
        <w:overflowPunct/>
        <w:topLinePunct w:val="0"/>
        <w:autoSpaceDE/>
        <w:autoSpaceDN/>
        <w:bidi w:val="0"/>
        <w:adjustRightInd/>
        <w:spacing w:line="560" w:lineRule="exact"/>
        <w:ind w:firstLine="600" w:firstLineChars="200"/>
        <w:textAlignment w:val="auto"/>
      </w:pPr>
      <w:r>
        <w:rPr>
          <w:rFonts w:hint="eastAsia"/>
        </w:rPr>
        <w:t>3、资金使用合规性</w:t>
      </w:r>
    </w:p>
    <w:p w14:paraId="03BC0D04">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此项目是推进基本公共文化服务标准化，均等化的重要任务，是切实保障城乡居民听好广播，看好电视的重要举措，通过项目的实施可进一步巩固中央广播 电视节目无线覆盖成果，进一步提升广播电视公共服务水平和质量。实现各发射站按规定完整转播好广播电视节目，做到“满功率、满调幅度、满时间”安全播出。</w:t>
      </w:r>
    </w:p>
    <w:p w14:paraId="06F5886E">
      <w:pPr>
        <w:pageBreakBefore w:val="0"/>
        <w:kinsoku/>
        <w:wordWrap/>
        <w:overflowPunct/>
        <w:topLinePunct w:val="0"/>
        <w:autoSpaceDE/>
        <w:autoSpaceDN/>
        <w:bidi w:val="0"/>
        <w:adjustRightInd/>
        <w:spacing w:line="560" w:lineRule="exact"/>
        <w:ind w:firstLine="600" w:firstLineChars="200"/>
        <w:textAlignment w:val="auto"/>
      </w:pPr>
      <w:r>
        <w:rPr>
          <w:rFonts w:hint="eastAsia"/>
        </w:rPr>
        <w:t>4、管理制度健全性</w:t>
      </w:r>
    </w:p>
    <w:p w14:paraId="5EF8C42D">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sz w:val="32"/>
          <w:szCs w:val="32"/>
          <w:lang w:val="en-US" w:eastAsia="zh-CN"/>
        </w:rPr>
      </w:pPr>
      <w:r>
        <w:rPr>
          <w:rStyle w:val="13"/>
          <w:rFonts w:hint="eastAsia" w:ascii="仿宋" w:hAnsi="仿宋" w:eastAsia="仿宋" w:cs="仿宋"/>
          <w:b w:val="0"/>
          <w:bCs w:val="0"/>
          <w:spacing w:val="-4"/>
          <w:sz w:val="32"/>
          <w:szCs w:val="32"/>
          <w:lang w:val="en-US" w:eastAsia="zh-CN"/>
        </w:rPr>
        <w:t>此项目实施过程中，严格按照相应的财务《中华人民共和国会计法》、《行政事业单位财务规则》、内部控制制度等业务管理制度，但项目相对应专项财务和业务管理制度建设不完善。</w:t>
      </w:r>
    </w:p>
    <w:p w14:paraId="1C3A1744">
      <w:pPr>
        <w:pageBreakBefore w:val="0"/>
        <w:kinsoku/>
        <w:wordWrap/>
        <w:overflowPunct/>
        <w:topLinePunct w:val="0"/>
        <w:autoSpaceDE/>
        <w:autoSpaceDN/>
        <w:bidi w:val="0"/>
        <w:adjustRightInd/>
        <w:spacing w:line="560" w:lineRule="exact"/>
        <w:ind w:firstLine="600" w:firstLineChars="200"/>
        <w:textAlignment w:val="auto"/>
      </w:pPr>
      <w:r>
        <w:rPr>
          <w:rFonts w:hint="eastAsia"/>
        </w:rPr>
        <w:t>5、制度执行有效性</w:t>
      </w:r>
    </w:p>
    <w:p w14:paraId="2F2C1785">
      <w:pPr>
        <w:pStyle w:val="3"/>
        <w:pageBreakBefore w:val="0"/>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bookmarkStart w:id="14" w:name="_Toc68703840"/>
      <w:r>
        <w:rPr>
          <w:rStyle w:val="13"/>
          <w:rFonts w:hint="eastAsia" w:ascii="仿宋" w:hAnsi="仿宋" w:eastAsia="仿宋" w:cs="仿宋"/>
          <w:b w:val="0"/>
          <w:bCs w:val="0"/>
          <w:spacing w:val="-4"/>
          <w:kern w:val="2"/>
          <w:sz w:val="32"/>
          <w:szCs w:val="32"/>
          <w:lang w:val="en-US" w:eastAsia="zh-CN" w:bidi="ar-SA"/>
        </w:rPr>
        <w:t>此项目专项项目管理制度执行遵守相关法律法规和相关管理规定；项目支出未进行调整，严格按照年度工作计划实施；项目相关资料资料齐全并及时归档；项目实施的人员条件、设备、信息支撑等落实到位。成立领导小组，明确分管领导、牵头科室和具体负责人。建立了沟通联系机制，组织调研，明确项目任务，制定项目实施方案。按季度对项目执行情况进行调度，定期对项目开展情况进行绩效考核，加快项目的实施。</w:t>
      </w:r>
    </w:p>
    <w:p w14:paraId="10FC3DFB">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r>
        <w:rPr>
          <w:rFonts w:hint="eastAsia" w:ascii="仿宋_GB2312" w:eastAsia="仿宋_GB2312"/>
          <w:b w:val="0"/>
          <w:bCs w:val="0"/>
        </w:rPr>
        <w:t>（三）项目产出情况。</w:t>
      </w:r>
      <w:bookmarkEnd w:id="14"/>
    </w:p>
    <w:p w14:paraId="3D2B4E25">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1、产出数量指标：指标1： 发射机附属设备数量，指标值：1套 ，实际完成值1套，指标完成率100%，偏差原因：无；指标2：发射机附属设备购买批次，指标值：1批，实际完成值1批，指标完成率100%，偏差原因：无；</w:t>
      </w:r>
    </w:p>
    <w:p w14:paraId="41E20B48">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2、质量指标：指标1：发射机及附属设备质量合格率，指标值：≥95% ，实际完成值＝95%，指标完成率100%，偏差原因：无；指标2：发射机附属设备验收合格率，指标值：≥95% ，实际完成值＝95%，指标完成率100%，偏差原因：无；指标3：政府采购率，指标值：≥98%，实际完成值＝98%，指标完成率100%，偏差原因：无；</w:t>
      </w:r>
    </w:p>
    <w:p w14:paraId="0EBF573A">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3、时效指标：指标1：发射机附属设备购买及时率，指标值：≥95%，实际完成值＝95%，指标完成率100%，偏差原因：无。</w:t>
      </w:r>
    </w:p>
    <w:p w14:paraId="79FD2491">
      <w:pPr>
        <w:pageBreakBefore w:val="0"/>
        <w:numPr>
          <w:ilvl w:val="0"/>
          <w:numId w:val="0"/>
        </w:numPr>
        <w:kinsoku/>
        <w:wordWrap/>
        <w:overflowPunct/>
        <w:topLinePunct w:val="0"/>
        <w:autoSpaceDE/>
        <w:autoSpaceDN/>
        <w:bidi w:val="0"/>
        <w:adjustRightInd/>
        <w:spacing w:line="560" w:lineRule="exact"/>
        <w:ind w:firstLine="624" w:firstLineChars="200"/>
        <w:textAlignment w:val="auto"/>
        <w:rPr>
          <w:rFonts w:hint="eastAsia"/>
          <w:color w:val="auto"/>
        </w:rPr>
      </w:pPr>
      <w:r>
        <w:rPr>
          <w:rStyle w:val="13"/>
          <w:rFonts w:hint="eastAsia" w:ascii="仿宋" w:hAnsi="仿宋" w:eastAsia="仿宋" w:cs="仿宋"/>
          <w:b w:val="0"/>
          <w:bCs w:val="0"/>
          <w:spacing w:val="-4"/>
          <w:kern w:val="2"/>
          <w:sz w:val="32"/>
          <w:szCs w:val="32"/>
          <w:lang w:val="en-US" w:eastAsia="zh-CN" w:bidi="ar-SA"/>
        </w:rPr>
        <w:t>4、成本指标：预算控制率，指标值： ≤100% ，实际完成值     ＝100%，指标完成率 100%，偏差原因：无。</w:t>
      </w:r>
    </w:p>
    <w:p w14:paraId="4B3B239F">
      <w:pPr>
        <w:pStyle w:val="3"/>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b w:val="0"/>
          <w:bCs w:val="0"/>
        </w:rPr>
      </w:pPr>
      <w:bookmarkStart w:id="15" w:name="_Toc68703841"/>
      <w:r>
        <w:rPr>
          <w:rFonts w:hint="eastAsia" w:ascii="仿宋_GB2312" w:eastAsia="仿宋_GB2312" w:hAnsiTheme="majorHAnsi" w:cstheme="majorBidi"/>
          <w:b w:val="0"/>
          <w:bCs w:val="0"/>
          <w:kern w:val="2"/>
          <w:sz w:val="32"/>
          <w:szCs w:val="32"/>
          <w:lang w:val="en-US" w:eastAsia="zh-CN" w:bidi="ar-SA"/>
        </w:rPr>
        <w:t>（四）</w:t>
      </w:r>
      <w:r>
        <w:rPr>
          <w:rFonts w:hint="eastAsia" w:ascii="仿宋_GB2312" w:eastAsia="仿宋_GB2312"/>
          <w:b w:val="0"/>
          <w:bCs w:val="0"/>
        </w:rPr>
        <w:t>项目效益情况。</w:t>
      </w:r>
      <w:bookmarkEnd w:id="15"/>
    </w:p>
    <w:p w14:paraId="6A48928F">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1、社会效益指标：进一步提升广播电视公共服务水平，指标值：有所提高，实际完成值达成目标 ，指标完成率100 %，偏差原因：无。</w:t>
      </w:r>
    </w:p>
    <w:p w14:paraId="676FDC3F">
      <w:pPr>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2、满意度指标：群众对广播电视基本公共服务满意度，指标值：≥95%实际完成值＝95% ，指标完成率100 %，偏差原因：无。</w:t>
      </w:r>
    </w:p>
    <w:p w14:paraId="6602EF53">
      <w:pPr>
        <w:pStyle w:val="2"/>
        <w:pageBreakBefore w:val="0"/>
        <w:kinsoku/>
        <w:wordWrap/>
        <w:overflowPunct/>
        <w:topLinePunct w:val="0"/>
        <w:autoSpaceDE/>
        <w:autoSpaceDN/>
        <w:bidi w:val="0"/>
        <w:adjustRightInd/>
        <w:spacing w:line="560" w:lineRule="exact"/>
        <w:ind w:firstLine="643" w:firstLineChars="200"/>
        <w:textAlignment w:val="auto"/>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14:paraId="5141397E">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14:paraId="35330015">
      <w:pPr>
        <w:pStyle w:val="10"/>
        <w:pageBreakBefore w:val="0"/>
        <w:kinsoku/>
        <w:wordWrap/>
        <w:overflowPunct/>
        <w:topLinePunct w:val="0"/>
        <w:autoSpaceDE/>
        <w:autoSpaceDN/>
        <w:bidi w:val="0"/>
        <w:adjustRightInd/>
        <w:snapToGrid/>
        <w:spacing w:before="0" w:after="0" w:line="560" w:lineRule="exact"/>
        <w:ind w:firstLine="624" w:firstLineChars="200"/>
        <w:jc w:val="left"/>
        <w:textAlignment w:val="auto"/>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项目实施过程中，做好项目支出绩效实施的跟踪检查工作。不定期的对项目实施情况进行跟踪检查，对能实现预期项目绩效目标的项目予以充分肯定，对进展缓慢，预期绩效目标较差的项目，及时进行协调和提出整改措施，确保项目支出绩效实施工作正常运行，达到预期绩效目标。</w:t>
      </w:r>
    </w:p>
    <w:p w14:paraId="68FC89F3">
      <w:pPr>
        <w:pStyle w:val="3"/>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b w:val="0"/>
          <w:bCs w:val="0"/>
        </w:rPr>
      </w:pPr>
      <w:bookmarkStart w:id="18" w:name="_Toc68703844"/>
      <w:r>
        <w:rPr>
          <w:rFonts w:hint="eastAsia" w:ascii="仿宋_GB2312" w:eastAsia="仿宋_GB2312"/>
          <w:b w:val="0"/>
          <w:bCs w:val="0"/>
        </w:rPr>
        <w:t>（二）存在的问题及原因分析</w:t>
      </w:r>
      <w:bookmarkEnd w:id="18"/>
    </w:p>
    <w:p w14:paraId="7240F377">
      <w:pPr>
        <w:pStyle w:val="10"/>
        <w:pageBreakBefore w:val="0"/>
        <w:kinsoku/>
        <w:wordWrap/>
        <w:overflowPunct/>
        <w:topLinePunct w:val="0"/>
        <w:autoSpaceDE/>
        <w:autoSpaceDN/>
        <w:bidi w:val="0"/>
        <w:adjustRightInd/>
        <w:snapToGrid/>
        <w:spacing w:before="0" w:after="0" w:line="560" w:lineRule="exact"/>
        <w:ind w:firstLine="624" w:firstLineChars="200"/>
        <w:jc w:val="left"/>
        <w:textAlignment w:val="auto"/>
        <w:rPr>
          <w:rStyle w:val="13"/>
          <w:rFonts w:hint="eastAsia" w:ascii="仿宋" w:hAnsi="仿宋" w:eastAsia="仿宋" w:cs="仿宋"/>
          <w:b w:val="0"/>
          <w:bCs w:val="0"/>
          <w:spacing w:val="-4"/>
          <w:kern w:val="2"/>
          <w:sz w:val="32"/>
          <w:szCs w:val="32"/>
          <w:lang w:val="en-US" w:eastAsia="zh-CN" w:bidi="ar-SA"/>
        </w:rPr>
      </w:pPr>
      <w:bookmarkStart w:id="19" w:name="_Toc68703845"/>
      <w:r>
        <w:rPr>
          <w:rStyle w:val="13"/>
          <w:rFonts w:hint="eastAsia" w:ascii="仿宋" w:hAnsi="仿宋" w:eastAsia="仿宋" w:cs="仿宋"/>
          <w:b w:val="0"/>
          <w:bCs w:val="0"/>
          <w:spacing w:val="-4"/>
          <w:kern w:val="2"/>
          <w:sz w:val="32"/>
          <w:szCs w:val="32"/>
          <w:lang w:val="en-US" w:eastAsia="zh-CN" w:bidi="ar-SA"/>
        </w:rPr>
        <w:t>绩效工作人员更换频繁，参与绩效管理工作的人员经验不足，绩效管理水平有待提高，绩效管理意识进一步提高，按照财政支出绩效管理的要求，继续完善绩效评价的评价体系及工作流程，提高财政资金使用管理的水平和效率。</w:t>
      </w:r>
    </w:p>
    <w:p w14:paraId="2EE99FC8">
      <w:pPr>
        <w:pStyle w:val="2"/>
        <w:pageBreakBefore w:val="0"/>
        <w:kinsoku/>
        <w:wordWrap/>
        <w:overflowPunct/>
        <w:topLinePunct w:val="0"/>
        <w:autoSpaceDE/>
        <w:autoSpaceDN/>
        <w:bidi w:val="0"/>
        <w:adjustRightInd/>
        <w:spacing w:line="560" w:lineRule="exact"/>
        <w:ind w:firstLine="643" w:firstLineChars="200"/>
        <w:textAlignment w:val="auto"/>
        <w:rPr>
          <w:rStyle w:val="13"/>
          <w:rFonts w:hint="eastAsia" w:ascii="仿宋" w:hAnsi="仿宋" w:eastAsia="仿宋" w:cs="仿宋"/>
          <w:b w:val="0"/>
          <w:bCs w:val="0"/>
          <w:spacing w:val="-4"/>
          <w:kern w:val="2"/>
          <w:sz w:val="32"/>
          <w:szCs w:val="32"/>
          <w:lang w:val="en-US" w:eastAsia="zh-CN" w:bidi="ar-SA"/>
        </w:rPr>
      </w:pPr>
      <w:r>
        <w:rPr>
          <w:rFonts w:hint="eastAsia" w:ascii="宋体" w:hAnsi="宋体" w:eastAsia="宋体"/>
          <w:sz w:val="32"/>
          <w:szCs w:val="32"/>
        </w:rPr>
        <w:t>六、有关建议</w:t>
      </w:r>
      <w:bookmarkEnd w:id="19"/>
    </w:p>
    <w:p w14:paraId="7423FB15">
      <w:pPr>
        <w:pageBreakBefore w:val="0"/>
        <w:shd w:val="clear"/>
        <w:kinsoku/>
        <w:wordWrap/>
        <w:overflowPunct/>
        <w:topLinePunct w:val="0"/>
        <w:autoSpaceDE/>
        <w:autoSpaceDN/>
        <w:bidi w:val="0"/>
        <w:adjustRightInd/>
        <w:snapToGrid/>
        <w:spacing w:line="560" w:lineRule="exact"/>
        <w:ind w:firstLine="624" w:firstLineChars="200"/>
        <w:textAlignment w:val="auto"/>
        <w:outlineLvl w:val="0"/>
        <w:rPr>
          <w:rStyle w:val="13"/>
          <w:rFonts w:hint="eastAsia" w:ascii="仿宋" w:hAnsi="仿宋" w:eastAsia="仿宋" w:cs="仿宋"/>
          <w:b w:val="0"/>
          <w:bCs w:val="0"/>
          <w:spacing w:val="-4"/>
          <w:kern w:val="2"/>
          <w:sz w:val="32"/>
          <w:szCs w:val="32"/>
          <w:lang w:val="en-US" w:eastAsia="zh-CN" w:bidi="ar-SA"/>
        </w:rPr>
      </w:pPr>
      <w:r>
        <w:rPr>
          <w:rStyle w:val="13"/>
          <w:rFonts w:hint="eastAsia" w:ascii="仿宋" w:hAnsi="仿宋" w:eastAsia="仿宋" w:cs="仿宋"/>
          <w:b w:val="0"/>
          <w:bCs w:val="0"/>
          <w:spacing w:val="-4"/>
          <w:kern w:val="2"/>
          <w:sz w:val="32"/>
          <w:szCs w:val="32"/>
          <w:lang w:val="en-US" w:eastAsia="zh-CN" w:bidi="ar-SA"/>
        </w:rPr>
        <w:t>进一步强化单位各部门绩效管理理念，将被动认识转化为主动实践，完善项目专项财务和业务管理制度，切实加强组织领导，深入推进项目管理和绩效评价工作。</w:t>
      </w:r>
    </w:p>
    <w:p w14:paraId="5AC9ED0A">
      <w:pPr>
        <w:pStyle w:val="2"/>
        <w:pageBreakBefore w:val="0"/>
        <w:kinsoku/>
        <w:wordWrap/>
        <w:overflowPunct/>
        <w:topLinePunct w:val="0"/>
        <w:autoSpaceDE/>
        <w:autoSpaceDN/>
        <w:bidi w:val="0"/>
        <w:adjustRightInd/>
        <w:spacing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14:paraId="18E98709">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Style w:val="13"/>
          <w:rFonts w:hint="eastAsia" w:ascii="仿宋" w:hAnsi="仿宋" w:eastAsia="仿宋" w:cs="仿宋"/>
          <w:b w:val="0"/>
          <w:bCs w:val="0"/>
          <w:spacing w:val="-4"/>
          <w:kern w:val="2"/>
          <w:sz w:val="32"/>
          <w:szCs w:val="32"/>
          <w:lang w:val="en-US" w:eastAsia="zh-CN" w:bidi="ar-SA"/>
        </w:rPr>
      </w:pPr>
      <w:r>
        <w:rPr>
          <w:rFonts w:hint="eastAsia" w:ascii="Times New Roman" w:hAnsi="Times New Roman" w:eastAsia="仿宋_GB2312"/>
          <w:color w:val="333333"/>
          <w:sz w:val="32"/>
          <w:szCs w:val="32"/>
        </w:rPr>
        <w:t xml:space="preserve">  </w:t>
      </w:r>
      <w:r>
        <w:rPr>
          <w:rStyle w:val="13"/>
          <w:rFonts w:hint="eastAsia" w:ascii="仿宋" w:hAnsi="仿宋" w:eastAsia="仿宋" w:cs="仿宋"/>
          <w:b w:val="0"/>
          <w:bCs w:val="0"/>
          <w:spacing w:val="-4"/>
          <w:kern w:val="2"/>
          <w:sz w:val="32"/>
          <w:szCs w:val="32"/>
          <w:lang w:val="en-US" w:eastAsia="zh-CN" w:bidi="ar-SA"/>
        </w:rPr>
        <w:t>本次预算绩效评价所采集的数据因为采集时间、数据来源等诸多因素的影响，可能会出现一定的偏差，进而对评价结果存在影响。</w:t>
      </w:r>
    </w:p>
    <w:p w14:paraId="79FDCC11">
      <w:pPr>
        <w:pageBreakBefore w:val="0"/>
        <w:shd w:val="clear"/>
        <w:kinsoku/>
        <w:wordWrap/>
        <w:overflowPunct/>
        <w:topLinePunct w:val="0"/>
        <w:autoSpaceDE/>
        <w:autoSpaceDN/>
        <w:bidi w:val="0"/>
        <w:adjustRightInd/>
        <w:snapToGrid/>
        <w:spacing w:line="560" w:lineRule="exact"/>
        <w:ind w:firstLine="624" w:firstLineChars="200"/>
        <w:textAlignment w:val="auto"/>
        <w:outlineLvl w:val="0"/>
        <w:rPr>
          <w:rStyle w:val="13"/>
          <w:rFonts w:hint="eastAsia" w:ascii="仿宋" w:hAnsi="仿宋" w:eastAsia="仿宋" w:cs="仿宋"/>
          <w:b w:val="0"/>
          <w:bCs w:val="0"/>
          <w:spacing w:val="-4"/>
          <w:kern w:val="2"/>
          <w:sz w:val="32"/>
          <w:szCs w:val="32"/>
          <w:lang w:val="en-US" w:eastAsia="zh-CN" w:bidi="ar-SA"/>
        </w:rPr>
      </w:pPr>
    </w:p>
    <w:p w14:paraId="48A51EA4">
      <w:pPr>
        <w:pageBreakBefore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cs="宋体"/>
          <w:color w:val="333333"/>
          <w:sz w:val="32"/>
          <w:szCs w:val="32"/>
        </w:rPr>
      </w:pPr>
    </w:p>
    <w:p w14:paraId="31F63E1B">
      <w:pPr>
        <w:pageBreakBefore w:val="0"/>
        <w:kinsoku/>
        <w:wordWrap/>
        <w:overflowPunct/>
        <w:topLinePunct w:val="0"/>
        <w:autoSpaceDE/>
        <w:autoSpaceDN/>
        <w:bidi w:val="0"/>
        <w:adjustRightInd/>
        <w:spacing w:line="56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714F97"/>
    <w:multiLevelType w:val="singleLevel"/>
    <w:tmpl w:val="8F714F9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FBA4298"/>
    <w:rsid w:val="12F60E55"/>
    <w:rsid w:val="15DA37C6"/>
    <w:rsid w:val="1DE45A2C"/>
    <w:rsid w:val="2732278A"/>
    <w:rsid w:val="27E55DCB"/>
    <w:rsid w:val="3F3020FF"/>
    <w:rsid w:val="445F298A"/>
    <w:rsid w:val="49374579"/>
    <w:rsid w:val="4E335B27"/>
    <w:rsid w:val="5466111E"/>
    <w:rsid w:val="57E11FF6"/>
    <w:rsid w:val="622575EA"/>
    <w:rsid w:val="62F6370A"/>
    <w:rsid w:val="64D61C4E"/>
    <w:rsid w:val="6F813EE5"/>
    <w:rsid w:val="7BE04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5">
    <w:name w:val="footer"/>
    <w:basedOn w:val="1"/>
    <w:link w:val="19"/>
    <w:autoRedefine/>
    <w:unhideWhenUsed/>
    <w:qFormat/>
    <w:uiPriority w:val="99"/>
    <w:pPr>
      <w:tabs>
        <w:tab w:val="center" w:pos="4153"/>
        <w:tab w:val="right" w:pos="8306"/>
      </w:tabs>
      <w:snapToGrid w:val="0"/>
      <w:jc w:val="left"/>
    </w:pPr>
    <w:rPr>
      <w:sz w:val="18"/>
      <w:szCs w:val="18"/>
    </w:rPr>
  </w:style>
  <w:style w:type="paragraph" w:styleId="6">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autoRedefine/>
    <w:qFormat/>
    <w:uiPriority w:val="0"/>
    <w:rPr>
      <w:b/>
      <w:bCs/>
    </w:rPr>
  </w:style>
  <w:style w:type="character" w:styleId="14">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2"/>
    <w:autoRedefine/>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3"/>
    <w:autoRedefine/>
    <w:qFormat/>
    <w:uiPriority w:val="9"/>
    <w:rPr>
      <w:rFonts w:asciiTheme="majorHAnsi" w:hAnsiTheme="majorHAnsi" w:eastAsiaTheme="majorEastAsia" w:cstheme="majorBidi"/>
      <w:b/>
      <w:bCs/>
      <w:sz w:val="32"/>
      <w:szCs w:val="32"/>
    </w:rPr>
  </w:style>
  <w:style w:type="paragraph" w:customStyle="1" w:styleId="17">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6"/>
    <w:autoRedefine/>
    <w:qFormat/>
    <w:uiPriority w:val="99"/>
    <w:rPr>
      <w:rFonts w:ascii="Times New Roman" w:hAnsi="Times New Roman" w:eastAsia="仿宋_GB2312" w:cs="Times New Roman"/>
      <w:sz w:val="18"/>
      <w:szCs w:val="18"/>
    </w:rPr>
  </w:style>
  <w:style w:type="character" w:customStyle="1" w:styleId="19">
    <w:name w:val="页脚 字符"/>
    <w:basedOn w:val="12"/>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5675</Words>
  <Characters>5868</Characters>
  <Lines>52</Lines>
  <Paragraphs>14</Paragraphs>
  <TotalTime>2</TotalTime>
  <ScaleCrop>false</ScaleCrop>
  <LinksUpToDate>false</LinksUpToDate>
  <CharactersWithSpaces>5975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U</cp:lastModifiedBy>
  <dcterms:modified xsi:type="dcterms:W3CDTF">2024-11-14T09:16:38Z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C10A60A6D9144BF185A63F71A217C929_12</vt:lpwstr>
  </property>
</Properties>
</file>