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4ADB347">
      <w:pPr>
        <w:jc w:val="center"/>
        <w:rPr>
          <w:rFonts w:ascii="宋体" w:hAnsi="宋体" w:eastAsia="宋体" w:cs="Arial"/>
          <w:b/>
          <w:bCs/>
          <w:sz w:val="48"/>
          <w:szCs w:val="48"/>
        </w:rPr>
      </w:pPr>
    </w:p>
    <w:p w14:paraId="17F42149">
      <w:pPr>
        <w:jc w:val="center"/>
        <w:rPr>
          <w:rFonts w:ascii="宋体" w:hAnsi="宋体" w:eastAsia="宋体" w:cs="Arial"/>
          <w:b/>
          <w:bCs/>
          <w:sz w:val="48"/>
          <w:szCs w:val="48"/>
        </w:rPr>
      </w:pPr>
    </w:p>
    <w:p w14:paraId="3492BDD9">
      <w:pPr>
        <w:jc w:val="center"/>
        <w:rPr>
          <w:rFonts w:ascii="宋体" w:hAnsi="宋体" w:eastAsia="宋体" w:cs="Arial"/>
          <w:b/>
          <w:bCs/>
          <w:sz w:val="48"/>
          <w:szCs w:val="48"/>
        </w:rPr>
      </w:pPr>
    </w:p>
    <w:p w14:paraId="295BA726">
      <w:pPr>
        <w:jc w:val="center"/>
        <w:rPr>
          <w:rFonts w:ascii="宋体" w:hAnsi="宋体" w:eastAsia="宋体" w:cs="Arial"/>
          <w:b/>
          <w:bCs/>
          <w:sz w:val="52"/>
          <w:szCs w:val="52"/>
        </w:rPr>
      </w:pPr>
      <w:r>
        <w:rPr>
          <w:rFonts w:ascii="宋体" w:hAnsi="宋体" w:eastAsia="宋体" w:cs="Arial"/>
          <w:b/>
          <w:bCs/>
          <w:sz w:val="52"/>
          <w:szCs w:val="52"/>
        </w:rPr>
        <w:t>2023</w:t>
      </w:r>
      <w:r>
        <w:rPr>
          <w:rFonts w:hint="eastAsia" w:ascii="宋体" w:hAnsi="宋体" w:eastAsia="宋体" w:cs="Arial"/>
          <w:b/>
          <w:bCs/>
          <w:sz w:val="52"/>
          <w:szCs w:val="52"/>
        </w:rPr>
        <w:t>年新一轮退耕还林延期补助支出绩效评价报告</w:t>
      </w:r>
    </w:p>
    <w:p w14:paraId="6C5592DC">
      <w:pPr>
        <w:jc w:val="center"/>
        <w:rPr>
          <w:rFonts w:ascii="宋体" w:hAnsi="宋体" w:eastAsia="宋体" w:cs="Arial"/>
          <w:b/>
          <w:bCs/>
          <w:sz w:val="48"/>
          <w:szCs w:val="48"/>
        </w:rPr>
      </w:pPr>
    </w:p>
    <w:p w14:paraId="6D08A756">
      <w:pPr>
        <w:widowControl/>
        <w:spacing w:line="560" w:lineRule="exact"/>
        <w:jc w:val="center"/>
        <w:rPr>
          <w:rFonts w:ascii="仿宋_GB2312" w:hAnsi="仿宋_GB2312" w:cs="仿宋_GB2312"/>
          <w:b/>
          <w:kern w:val="0"/>
          <w:sz w:val="50"/>
          <w:szCs w:val="50"/>
          <w:lang w:bidi="en-US"/>
        </w:rPr>
      </w:pPr>
      <w:r>
        <w:rPr>
          <w:rFonts w:hint="eastAsia" w:ascii="方正小标宋简体" w:hAnsi="方正小标宋简体" w:eastAsia="方正小标宋简体" w:cs="方正小标宋简体"/>
          <w:color w:val="000000"/>
          <w:kern w:val="0"/>
          <w:sz w:val="36"/>
          <w:szCs w:val="36"/>
        </w:rPr>
        <w:t>（2</w:t>
      </w:r>
      <w:r>
        <w:rPr>
          <w:rFonts w:ascii="方正小标宋简体" w:hAnsi="方正小标宋简体" w:eastAsia="方正小标宋简体" w:cs="方正小标宋简体"/>
          <w:color w:val="000000"/>
          <w:kern w:val="0"/>
          <w:sz w:val="36"/>
          <w:szCs w:val="36"/>
        </w:rPr>
        <w:t>02</w:t>
      </w:r>
      <w:r>
        <w:rPr>
          <w:rFonts w:hint="eastAsia" w:ascii="方正小标宋简体" w:hAnsi="方正小标宋简体" w:eastAsia="方正小标宋简体" w:cs="方正小标宋简体"/>
          <w:color w:val="000000"/>
          <w:kern w:val="0"/>
          <w:sz w:val="36"/>
          <w:szCs w:val="36"/>
        </w:rPr>
        <w:t>3年度）</w:t>
      </w:r>
    </w:p>
    <w:p w14:paraId="6AC54D1E">
      <w:pPr>
        <w:spacing w:line="480" w:lineRule="auto"/>
        <w:jc w:val="center"/>
        <w:rPr>
          <w:rFonts w:ascii="仿宋_GB2312" w:hAnsi="仿宋_GB2312" w:cs="仿宋_GB2312"/>
          <w:b/>
          <w:kern w:val="0"/>
          <w:sz w:val="50"/>
          <w:szCs w:val="50"/>
          <w:lang w:bidi="en-US"/>
        </w:rPr>
      </w:pPr>
    </w:p>
    <w:p w14:paraId="5FA69EFC">
      <w:pPr>
        <w:spacing w:line="480" w:lineRule="auto"/>
        <w:jc w:val="center"/>
        <w:rPr>
          <w:rFonts w:ascii="仿宋_GB2312" w:hAnsi="仿宋_GB2312" w:cs="仿宋_GB2312"/>
          <w:b/>
          <w:kern w:val="0"/>
          <w:sz w:val="50"/>
          <w:szCs w:val="50"/>
          <w:lang w:bidi="en-US"/>
        </w:rPr>
      </w:pPr>
    </w:p>
    <w:p w14:paraId="25CE6EDC">
      <w:pPr>
        <w:spacing w:line="480" w:lineRule="auto"/>
        <w:jc w:val="center"/>
        <w:rPr>
          <w:rFonts w:ascii="仿宋_GB2312" w:hAnsi="仿宋_GB2312" w:cs="仿宋_GB2312"/>
          <w:b/>
          <w:kern w:val="0"/>
          <w:sz w:val="50"/>
          <w:szCs w:val="50"/>
          <w:lang w:bidi="en-US"/>
        </w:rPr>
      </w:pPr>
    </w:p>
    <w:p w14:paraId="3C1523D6">
      <w:pPr>
        <w:spacing w:line="480" w:lineRule="auto"/>
        <w:jc w:val="center"/>
        <w:rPr>
          <w:rFonts w:ascii="仿宋_GB2312" w:hAnsi="仿宋_GB2312" w:cs="仿宋_GB2312"/>
          <w:b/>
          <w:kern w:val="0"/>
          <w:sz w:val="50"/>
          <w:szCs w:val="50"/>
          <w:lang w:bidi="en-US"/>
        </w:rPr>
      </w:pPr>
    </w:p>
    <w:p w14:paraId="50DAE374">
      <w:pPr>
        <w:spacing w:line="480" w:lineRule="auto"/>
        <w:jc w:val="center"/>
        <w:rPr>
          <w:rFonts w:ascii="仿宋_GB2312" w:hAnsi="仿宋_GB2312" w:cs="仿宋_GB2312"/>
          <w:b/>
          <w:kern w:val="0"/>
          <w:sz w:val="50"/>
          <w:szCs w:val="50"/>
          <w:lang w:bidi="en-US"/>
        </w:rPr>
      </w:pPr>
    </w:p>
    <w:p w14:paraId="2D7D1F29">
      <w:pPr>
        <w:spacing w:line="560" w:lineRule="exact"/>
        <w:ind w:firstLine="321" w:firstLineChars="100"/>
        <w:rPr>
          <w:rFonts w:ascii="宋体" w:hAnsi="宋体" w:eastAsia="宋体" w:cs="宋体"/>
          <w:kern w:val="0"/>
          <w:sz w:val="32"/>
          <w:szCs w:val="32"/>
        </w:rPr>
      </w:pPr>
      <w:r>
        <w:rPr>
          <w:rFonts w:hint="eastAsia" w:ascii="宋体" w:hAnsi="宋体" w:eastAsia="宋体" w:cs="仿宋_GB2312"/>
          <w:b/>
          <w:bCs/>
          <w:color w:val="000000"/>
          <w:kern w:val="0"/>
          <w:sz w:val="32"/>
          <w:szCs w:val="32"/>
        </w:rPr>
        <w:t>项目名称：新一轮退耕还林延期补助</w:t>
      </w:r>
      <w:r>
        <w:rPr>
          <w:rFonts w:ascii="宋体" w:hAnsi="宋体" w:eastAsia="宋体" w:cs="宋体"/>
          <w:kern w:val="0"/>
          <w:sz w:val="32"/>
          <w:szCs w:val="32"/>
        </w:rPr>
        <w:t xml:space="preserve"> </w:t>
      </w:r>
    </w:p>
    <w:p w14:paraId="1775896D">
      <w:pPr>
        <w:spacing w:line="560" w:lineRule="exact"/>
        <w:ind w:firstLine="321" w:firstLineChars="100"/>
        <w:rPr>
          <w:rFonts w:ascii="宋体" w:hAnsi="宋体" w:eastAsia="宋体" w:cs="宋体"/>
          <w:kern w:val="0"/>
          <w:sz w:val="32"/>
          <w:szCs w:val="32"/>
        </w:rPr>
      </w:pPr>
      <w:r>
        <w:rPr>
          <w:rFonts w:hint="eastAsia" w:ascii="宋体" w:hAnsi="宋体" w:eastAsia="宋体" w:cs="仿宋_GB2312"/>
          <w:b/>
          <w:bCs/>
          <w:color w:val="000000"/>
          <w:kern w:val="0"/>
          <w:sz w:val="32"/>
          <w:szCs w:val="32"/>
        </w:rPr>
        <w:t>实施单位（公章）：焉耆县自然资源局（林业和草原局）</w:t>
      </w:r>
      <w:r>
        <w:rPr>
          <w:rFonts w:ascii="宋体" w:hAnsi="宋体" w:eastAsia="宋体" w:cs="宋体"/>
          <w:kern w:val="0"/>
          <w:sz w:val="32"/>
          <w:szCs w:val="32"/>
        </w:rPr>
        <w:t xml:space="preserve"> </w:t>
      </w:r>
    </w:p>
    <w:p w14:paraId="28C0624C">
      <w:pPr>
        <w:spacing w:line="560" w:lineRule="exact"/>
        <w:ind w:firstLine="321" w:firstLineChars="100"/>
        <w:rPr>
          <w:rFonts w:ascii="宋体" w:hAnsi="宋体" w:eastAsia="宋体" w:cs="宋体"/>
          <w:kern w:val="0"/>
          <w:sz w:val="32"/>
          <w:szCs w:val="32"/>
        </w:rPr>
      </w:pPr>
      <w:r>
        <w:rPr>
          <w:rFonts w:hint="eastAsia" w:ascii="宋体" w:hAnsi="宋体" w:eastAsia="宋体" w:cs="仿宋_GB2312"/>
          <w:b/>
          <w:bCs/>
          <w:color w:val="000000"/>
          <w:kern w:val="0"/>
          <w:sz w:val="32"/>
          <w:szCs w:val="32"/>
        </w:rPr>
        <w:t>主管部门（公章）：焉耆县自然资源局（林业和草原局）</w:t>
      </w:r>
      <w:r>
        <w:rPr>
          <w:rFonts w:ascii="宋体" w:hAnsi="宋体" w:eastAsia="宋体" w:cs="宋体"/>
          <w:kern w:val="0"/>
          <w:sz w:val="32"/>
          <w:szCs w:val="32"/>
        </w:rPr>
        <w:t xml:space="preserve"> </w:t>
      </w:r>
    </w:p>
    <w:p w14:paraId="64D404AB">
      <w:pPr>
        <w:spacing w:line="560" w:lineRule="exact"/>
        <w:ind w:firstLine="321" w:firstLineChars="100"/>
        <w:rPr>
          <w:rFonts w:ascii="宋体" w:hAnsi="宋体" w:eastAsia="宋体" w:cs="宋体"/>
          <w:kern w:val="0"/>
          <w:sz w:val="32"/>
          <w:szCs w:val="32"/>
        </w:rPr>
      </w:pPr>
      <w:r>
        <w:rPr>
          <w:rFonts w:hint="eastAsia" w:ascii="宋体" w:hAnsi="宋体" w:eastAsia="宋体" w:cs="仿宋_GB2312"/>
          <w:b/>
          <w:bCs/>
          <w:color w:val="000000"/>
          <w:kern w:val="0"/>
          <w:sz w:val="32"/>
          <w:szCs w:val="32"/>
        </w:rPr>
        <w:t>项目负责人（签章）：马强</w:t>
      </w:r>
      <w:r>
        <w:rPr>
          <w:rFonts w:ascii="宋体" w:hAnsi="宋体" w:eastAsia="宋体" w:cs="宋体"/>
          <w:kern w:val="0"/>
          <w:sz w:val="32"/>
          <w:szCs w:val="32"/>
        </w:rPr>
        <w:t xml:space="preserve"> </w:t>
      </w:r>
    </w:p>
    <w:p w14:paraId="78C76D45">
      <w:pPr>
        <w:spacing w:line="560" w:lineRule="exact"/>
        <w:ind w:firstLine="321" w:firstLineChars="100"/>
        <w:rPr>
          <w:rFonts w:ascii="宋体" w:hAnsi="宋体" w:eastAsia="宋体" w:cs="仿宋_GB2312"/>
          <w:color w:val="000000"/>
          <w:kern w:val="0"/>
          <w:sz w:val="32"/>
          <w:szCs w:val="32"/>
        </w:rPr>
      </w:pPr>
      <w:r>
        <w:rPr>
          <w:rFonts w:hint="eastAsia" w:ascii="宋体" w:hAnsi="宋体" w:eastAsia="宋体" w:cs="仿宋_GB2312"/>
          <w:b/>
          <w:bCs/>
          <w:color w:val="000000"/>
          <w:kern w:val="0"/>
          <w:sz w:val="32"/>
          <w:szCs w:val="32"/>
        </w:rPr>
        <w:t>填报时间：</w:t>
      </w:r>
      <w:r>
        <w:rPr>
          <w:rFonts w:hint="eastAsia" w:ascii="宋体" w:hAnsi="宋体" w:eastAsia="宋体" w:cs="仿宋_GB2312"/>
          <w:color w:val="000000"/>
          <w:kern w:val="0"/>
          <w:sz w:val="32"/>
          <w:szCs w:val="32"/>
        </w:rPr>
        <w:t>2024年05月14日</w:t>
      </w:r>
    </w:p>
    <w:p w14:paraId="67F34ED9">
      <w:pPr>
        <w:jc w:val="center"/>
        <w:rPr>
          <w:rFonts w:ascii="宋体" w:hAnsi="宋体" w:eastAsia="宋体" w:cs="Arial"/>
          <w:b/>
          <w:bCs/>
          <w:sz w:val="36"/>
          <w:szCs w:val="36"/>
        </w:rPr>
      </w:pPr>
    </w:p>
    <w:p w14:paraId="227864B1">
      <w:pPr>
        <w:widowControl/>
        <w:jc w:val="left"/>
        <w:rPr>
          <w:rFonts w:ascii="宋体" w:hAnsi="宋体" w:eastAsia="宋体" w:cs="Arial"/>
          <w:b/>
          <w:bCs/>
          <w:sz w:val="36"/>
          <w:szCs w:val="36"/>
        </w:rPr>
      </w:pPr>
      <w:r>
        <w:rPr>
          <w:rFonts w:ascii="宋体" w:hAnsi="宋体" w:eastAsia="宋体" w:cs="Arial"/>
          <w:b/>
          <w:bCs/>
          <w:sz w:val="36"/>
          <w:szCs w:val="36"/>
        </w:rPr>
        <w:br w:type="page"/>
      </w:r>
    </w:p>
    <w:sdt>
      <w:sdtPr>
        <w:rPr>
          <w:rFonts w:ascii="Times New Roman" w:hAnsi="Times New Roman" w:eastAsia="仿宋_GB2312" w:cs="Times New Roman"/>
          <w:color w:val="auto"/>
          <w:kern w:val="2"/>
          <w:sz w:val="30"/>
          <w:szCs w:val="24"/>
          <w:lang w:val="zh-CN"/>
        </w:rPr>
        <w:id w:val="-514851075"/>
        <w:docPartObj>
          <w:docPartGallery w:val="Table of Contents"/>
          <w:docPartUnique/>
        </w:docPartObj>
      </w:sdtPr>
      <w:sdtEndPr>
        <w:rPr>
          <w:rFonts w:ascii="Times New Roman" w:hAnsi="Times New Roman" w:eastAsia="仿宋_GB2312" w:cs="Times New Roman"/>
          <w:b/>
          <w:bCs/>
          <w:color w:val="auto"/>
          <w:kern w:val="2"/>
          <w:sz w:val="30"/>
          <w:szCs w:val="24"/>
          <w:lang w:val="zh-CN"/>
        </w:rPr>
      </w:sdtEndPr>
      <w:sdtContent>
        <w:p w14:paraId="06001AE0">
          <w:pPr>
            <w:pStyle w:val="17"/>
            <w:rPr>
              <w:rFonts w:ascii="宋体" w:hAnsi="宋体" w:eastAsia="宋体"/>
              <w:b/>
              <w:bCs/>
              <w:color w:val="auto"/>
              <w:lang w:val="zh-CN"/>
            </w:rPr>
          </w:pPr>
          <w:r>
            <w:rPr>
              <w:rFonts w:ascii="宋体" w:hAnsi="宋体" w:eastAsia="宋体"/>
              <w:b/>
              <w:bCs/>
              <w:color w:val="auto"/>
              <w:lang w:val="zh-CN"/>
            </w:rPr>
            <w:t>目录</w:t>
          </w:r>
          <w:r>
            <w:rPr>
              <w:rFonts w:asciiTheme="minorHAnsi" w:hAnsiTheme="minorHAnsi" w:eastAsiaTheme="minorEastAsia"/>
              <w:sz w:val="22"/>
              <w:szCs w:val="22"/>
            </w:rPr>
            <w:fldChar w:fldCharType="begin"/>
          </w:r>
          <w:r>
            <w:instrText xml:space="preserve"> TOC \o "1-3" \h \z \u </w:instrText>
          </w:r>
          <w:r>
            <w:rPr>
              <w:rFonts w:asciiTheme="minorHAnsi" w:hAnsiTheme="minorHAnsi" w:eastAsiaTheme="minorEastAsia"/>
              <w:sz w:val="22"/>
              <w:szCs w:val="22"/>
            </w:rPr>
            <w:fldChar w:fldCharType="separate"/>
          </w:r>
          <w:r>
            <w:fldChar w:fldCharType="begin"/>
          </w:r>
          <w:r>
            <w:instrText xml:space="preserve"> HYPERLINK \l "_Toc68703827" </w:instrText>
          </w:r>
          <w:r>
            <w:fldChar w:fldCharType="separate"/>
          </w:r>
          <w:r>
            <w:rPr>
              <w:rStyle w:val="14"/>
              <w:rFonts w:ascii="宋体" w:hAnsi="宋体" w:eastAsia="宋体"/>
            </w:rPr>
            <w:t>一、基本情况</w:t>
          </w:r>
          <w:r>
            <w:tab/>
          </w:r>
          <w:r>
            <w:fldChar w:fldCharType="begin"/>
          </w:r>
          <w:r>
            <w:instrText xml:space="preserve"> PAGEREF _Toc68703827 \h </w:instrText>
          </w:r>
          <w:r>
            <w:fldChar w:fldCharType="separate"/>
          </w:r>
          <w:r>
            <w:t>3</w:t>
          </w:r>
          <w:r>
            <w:fldChar w:fldCharType="end"/>
          </w:r>
          <w:r>
            <w:fldChar w:fldCharType="end"/>
          </w:r>
        </w:p>
        <w:p w14:paraId="0B8CC97D">
          <w:pPr>
            <w:pStyle w:val="10"/>
            <w:tabs>
              <w:tab w:val="right" w:leader="dot" w:pos="8834"/>
            </w:tabs>
            <w:rPr>
              <w:rFonts w:cstheme="minorBidi"/>
              <w:kern w:val="2"/>
              <w:sz w:val="21"/>
            </w:rPr>
          </w:pPr>
          <w:r>
            <w:fldChar w:fldCharType="begin"/>
          </w:r>
          <w:r>
            <w:instrText xml:space="preserve"> HYPERLINK \l "_Toc68703828" </w:instrText>
          </w:r>
          <w:r>
            <w:fldChar w:fldCharType="separate"/>
          </w:r>
          <w:r>
            <w:rPr>
              <w:rStyle w:val="14"/>
              <w:rFonts w:ascii="仿宋_GB2312" w:eastAsia="仿宋_GB2312"/>
            </w:rPr>
            <w:t>（一）项目概况。</w:t>
          </w:r>
          <w:r>
            <w:tab/>
          </w:r>
          <w:r>
            <w:fldChar w:fldCharType="begin"/>
          </w:r>
          <w:r>
            <w:instrText xml:space="preserve"> PAGEREF _Toc68703828 \h </w:instrText>
          </w:r>
          <w:r>
            <w:fldChar w:fldCharType="separate"/>
          </w:r>
          <w:r>
            <w:t>3</w:t>
          </w:r>
          <w:r>
            <w:fldChar w:fldCharType="end"/>
          </w:r>
          <w:r>
            <w:fldChar w:fldCharType="end"/>
          </w:r>
        </w:p>
        <w:p w14:paraId="29EE1DBF">
          <w:pPr>
            <w:pStyle w:val="10"/>
            <w:tabs>
              <w:tab w:val="right" w:leader="dot" w:pos="8834"/>
            </w:tabs>
            <w:rPr>
              <w:rFonts w:cstheme="minorBidi"/>
              <w:kern w:val="2"/>
              <w:sz w:val="21"/>
            </w:rPr>
          </w:pPr>
          <w:r>
            <w:fldChar w:fldCharType="begin"/>
          </w:r>
          <w:r>
            <w:instrText xml:space="preserve"> HYPERLINK \l "_Toc68703829" </w:instrText>
          </w:r>
          <w:r>
            <w:fldChar w:fldCharType="separate"/>
          </w:r>
          <w:r>
            <w:rPr>
              <w:rStyle w:val="14"/>
              <w:rFonts w:ascii="仿宋_GB2312" w:eastAsia="仿宋_GB2312"/>
            </w:rPr>
            <w:t>（二）项目绩效目标。</w:t>
          </w:r>
          <w:r>
            <w:tab/>
          </w:r>
          <w:r>
            <w:fldChar w:fldCharType="begin"/>
          </w:r>
          <w:r>
            <w:instrText xml:space="preserve"> PAGEREF _Toc68703829 \h </w:instrText>
          </w:r>
          <w:r>
            <w:fldChar w:fldCharType="separate"/>
          </w:r>
          <w:r>
            <w:t>4</w:t>
          </w:r>
          <w:r>
            <w:fldChar w:fldCharType="end"/>
          </w:r>
          <w:r>
            <w:fldChar w:fldCharType="end"/>
          </w:r>
        </w:p>
        <w:p w14:paraId="6F6C2EF2">
          <w:pPr>
            <w:pStyle w:val="8"/>
            <w:tabs>
              <w:tab w:val="right" w:leader="dot" w:pos="8834"/>
            </w:tabs>
            <w:rPr>
              <w:rFonts w:cstheme="minorBidi"/>
              <w:kern w:val="2"/>
              <w:sz w:val="21"/>
            </w:rPr>
          </w:pPr>
          <w:r>
            <w:fldChar w:fldCharType="begin"/>
          </w:r>
          <w:r>
            <w:instrText xml:space="preserve"> HYPERLINK \l "_Toc68703830" </w:instrText>
          </w:r>
          <w:r>
            <w:fldChar w:fldCharType="separate"/>
          </w:r>
          <w:r>
            <w:rPr>
              <w:rStyle w:val="14"/>
              <w:rFonts w:ascii="宋体" w:hAnsi="宋体" w:eastAsia="宋体"/>
            </w:rPr>
            <w:t>二、绩效评价工作开展情况</w:t>
          </w:r>
          <w:r>
            <w:tab/>
          </w:r>
          <w:r>
            <w:fldChar w:fldCharType="begin"/>
          </w:r>
          <w:r>
            <w:instrText xml:space="preserve"> PAGEREF _Toc68703830 \h </w:instrText>
          </w:r>
          <w:r>
            <w:fldChar w:fldCharType="separate"/>
          </w:r>
          <w:r>
            <w:t>4</w:t>
          </w:r>
          <w:r>
            <w:fldChar w:fldCharType="end"/>
          </w:r>
          <w:r>
            <w:fldChar w:fldCharType="end"/>
          </w:r>
        </w:p>
        <w:p w14:paraId="4EF69536">
          <w:pPr>
            <w:pStyle w:val="10"/>
            <w:tabs>
              <w:tab w:val="right" w:leader="dot" w:pos="8834"/>
            </w:tabs>
            <w:rPr>
              <w:rFonts w:cstheme="minorBidi"/>
              <w:kern w:val="2"/>
              <w:sz w:val="21"/>
            </w:rPr>
          </w:pPr>
          <w:r>
            <w:fldChar w:fldCharType="begin"/>
          </w:r>
          <w:r>
            <w:instrText xml:space="preserve"> HYPERLINK \l "_Toc68703831" </w:instrText>
          </w:r>
          <w:r>
            <w:fldChar w:fldCharType="separate"/>
          </w:r>
          <w:r>
            <w:rPr>
              <w:rStyle w:val="14"/>
              <w:rFonts w:ascii="仿宋_GB2312" w:eastAsia="仿宋_GB2312"/>
            </w:rPr>
            <w:t>（一）绩效评价目的、对象和范围。</w:t>
          </w:r>
          <w:r>
            <w:tab/>
          </w:r>
          <w:r>
            <w:fldChar w:fldCharType="begin"/>
          </w:r>
          <w:r>
            <w:instrText xml:space="preserve"> PAGEREF _Toc68703831 \h </w:instrText>
          </w:r>
          <w:r>
            <w:fldChar w:fldCharType="separate"/>
          </w:r>
          <w:r>
            <w:t>4</w:t>
          </w:r>
          <w:r>
            <w:fldChar w:fldCharType="end"/>
          </w:r>
          <w:r>
            <w:fldChar w:fldCharType="end"/>
          </w:r>
        </w:p>
        <w:p w14:paraId="57FFAD9A">
          <w:pPr>
            <w:pStyle w:val="10"/>
            <w:tabs>
              <w:tab w:val="right" w:leader="dot" w:pos="8834"/>
            </w:tabs>
            <w:rPr>
              <w:rFonts w:cstheme="minorBidi"/>
              <w:kern w:val="2"/>
              <w:sz w:val="21"/>
            </w:rPr>
          </w:pPr>
          <w:r>
            <w:fldChar w:fldCharType="begin"/>
          </w:r>
          <w:r>
            <w:instrText xml:space="preserve"> HYPERLINK \l "_Toc68703832" </w:instrText>
          </w:r>
          <w:r>
            <w:fldChar w:fldCharType="separate"/>
          </w:r>
          <w:r>
            <w:rPr>
              <w:rStyle w:val="14"/>
              <w:rFonts w:ascii="仿宋_GB2312" w:eastAsia="仿宋_GB2312"/>
            </w:rPr>
            <w:t>（二）绩效评价原则、评价指标体系、评价方法、评价标准等。</w:t>
          </w:r>
          <w:r>
            <w:tab/>
          </w:r>
          <w:r>
            <w:fldChar w:fldCharType="begin"/>
          </w:r>
          <w:r>
            <w:instrText xml:space="preserve"> PAGEREF _Toc68703832 \h </w:instrText>
          </w:r>
          <w:r>
            <w:fldChar w:fldCharType="separate"/>
          </w:r>
          <w:r>
            <w:t>5</w:t>
          </w:r>
          <w:r>
            <w:fldChar w:fldCharType="end"/>
          </w:r>
          <w:r>
            <w:fldChar w:fldCharType="end"/>
          </w:r>
        </w:p>
        <w:p w14:paraId="0BD17981">
          <w:pPr>
            <w:pStyle w:val="10"/>
            <w:tabs>
              <w:tab w:val="right" w:leader="dot" w:pos="8834"/>
            </w:tabs>
            <w:rPr>
              <w:rFonts w:cstheme="minorBidi"/>
              <w:kern w:val="2"/>
              <w:sz w:val="21"/>
            </w:rPr>
          </w:pPr>
          <w:r>
            <w:fldChar w:fldCharType="begin"/>
          </w:r>
          <w:r>
            <w:instrText xml:space="preserve"> HYPERLINK \l "_Toc68703833" </w:instrText>
          </w:r>
          <w:r>
            <w:fldChar w:fldCharType="separate"/>
          </w:r>
          <w:r>
            <w:rPr>
              <w:rStyle w:val="14"/>
              <w:rFonts w:ascii="仿宋_GB2312" w:eastAsia="仿宋_GB2312"/>
            </w:rPr>
            <w:t>（三）绩效评价工作过程。</w:t>
          </w:r>
          <w:r>
            <w:tab/>
          </w:r>
          <w:r>
            <w:fldChar w:fldCharType="begin"/>
          </w:r>
          <w:r>
            <w:instrText xml:space="preserve"> PAGEREF _Toc68703833 \h </w:instrText>
          </w:r>
          <w:r>
            <w:fldChar w:fldCharType="separate"/>
          </w:r>
          <w:r>
            <w:t>9</w:t>
          </w:r>
          <w:r>
            <w:fldChar w:fldCharType="end"/>
          </w:r>
          <w:r>
            <w:fldChar w:fldCharType="end"/>
          </w:r>
        </w:p>
        <w:p w14:paraId="4A83C0E1">
          <w:pPr>
            <w:pStyle w:val="8"/>
            <w:tabs>
              <w:tab w:val="right" w:leader="dot" w:pos="8834"/>
            </w:tabs>
            <w:rPr>
              <w:rFonts w:cstheme="minorBidi"/>
              <w:kern w:val="2"/>
              <w:sz w:val="21"/>
            </w:rPr>
          </w:pPr>
          <w:r>
            <w:fldChar w:fldCharType="begin"/>
          </w:r>
          <w:r>
            <w:instrText xml:space="preserve"> HYPERLINK \l "_Toc68703834" </w:instrText>
          </w:r>
          <w:r>
            <w:fldChar w:fldCharType="separate"/>
          </w:r>
          <w:r>
            <w:rPr>
              <w:rStyle w:val="14"/>
              <w:rFonts w:ascii="宋体" w:hAnsi="宋体" w:eastAsia="宋体"/>
            </w:rPr>
            <w:t>三、综合评价情况及评价结论</w:t>
          </w:r>
          <w:r>
            <w:tab/>
          </w:r>
          <w:r>
            <w:fldChar w:fldCharType="begin"/>
          </w:r>
          <w:r>
            <w:instrText xml:space="preserve"> PAGEREF _Toc68703834 \h </w:instrText>
          </w:r>
          <w:r>
            <w:fldChar w:fldCharType="separate"/>
          </w:r>
          <w:r>
            <w:t>10</w:t>
          </w:r>
          <w:r>
            <w:fldChar w:fldCharType="end"/>
          </w:r>
          <w:r>
            <w:fldChar w:fldCharType="end"/>
          </w:r>
        </w:p>
        <w:p w14:paraId="37550B54">
          <w:pPr>
            <w:pStyle w:val="10"/>
            <w:tabs>
              <w:tab w:val="right" w:leader="dot" w:pos="8834"/>
            </w:tabs>
            <w:rPr>
              <w:rFonts w:cstheme="minorBidi"/>
              <w:kern w:val="2"/>
              <w:sz w:val="21"/>
            </w:rPr>
          </w:pPr>
          <w:r>
            <w:fldChar w:fldCharType="begin"/>
          </w:r>
          <w:r>
            <w:instrText xml:space="preserve"> HYPERLINK \l "_Toc68703835" </w:instrText>
          </w:r>
          <w:r>
            <w:fldChar w:fldCharType="separate"/>
          </w:r>
          <w:r>
            <w:rPr>
              <w:rStyle w:val="14"/>
              <w:rFonts w:ascii="仿宋_GB2312" w:eastAsia="仿宋_GB2312"/>
            </w:rPr>
            <w:t>（一）综合评价情况</w:t>
          </w:r>
          <w:r>
            <w:tab/>
          </w:r>
          <w:r>
            <w:fldChar w:fldCharType="begin"/>
          </w:r>
          <w:r>
            <w:instrText xml:space="preserve"> PAGEREF _Toc68703835 \h </w:instrText>
          </w:r>
          <w:r>
            <w:fldChar w:fldCharType="separate"/>
          </w:r>
          <w:r>
            <w:t>10</w:t>
          </w:r>
          <w:r>
            <w:fldChar w:fldCharType="end"/>
          </w:r>
          <w:r>
            <w:fldChar w:fldCharType="end"/>
          </w:r>
        </w:p>
        <w:p w14:paraId="64AE1623">
          <w:pPr>
            <w:pStyle w:val="10"/>
            <w:tabs>
              <w:tab w:val="right" w:leader="dot" w:pos="8834"/>
            </w:tabs>
            <w:rPr>
              <w:rFonts w:cstheme="minorBidi"/>
              <w:kern w:val="2"/>
              <w:sz w:val="21"/>
            </w:rPr>
          </w:pPr>
          <w:r>
            <w:fldChar w:fldCharType="begin"/>
          </w:r>
          <w:r>
            <w:instrText xml:space="preserve"> HYPERLINK \l "_Toc68703836" </w:instrText>
          </w:r>
          <w:r>
            <w:fldChar w:fldCharType="separate"/>
          </w:r>
          <w:r>
            <w:rPr>
              <w:rStyle w:val="14"/>
              <w:rFonts w:ascii="仿宋_GB2312" w:eastAsia="仿宋_GB2312"/>
            </w:rPr>
            <w:t>（二）评价结论</w:t>
          </w:r>
          <w:r>
            <w:tab/>
          </w:r>
          <w:r>
            <w:fldChar w:fldCharType="begin"/>
          </w:r>
          <w:r>
            <w:instrText xml:space="preserve"> PAGEREF _Toc68703836 \h </w:instrText>
          </w:r>
          <w:r>
            <w:fldChar w:fldCharType="separate"/>
          </w:r>
          <w:r>
            <w:t>11</w:t>
          </w:r>
          <w:r>
            <w:fldChar w:fldCharType="end"/>
          </w:r>
          <w:r>
            <w:fldChar w:fldCharType="end"/>
          </w:r>
        </w:p>
        <w:p w14:paraId="7882B44C">
          <w:pPr>
            <w:pStyle w:val="8"/>
            <w:tabs>
              <w:tab w:val="right" w:leader="dot" w:pos="8834"/>
            </w:tabs>
            <w:rPr>
              <w:rFonts w:cstheme="minorBidi"/>
              <w:kern w:val="2"/>
              <w:sz w:val="21"/>
            </w:rPr>
          </w:pPr>
          <w:r>
            <w:fldChar w:fldCharType="begin"/>
          </w:r>
          <w:r>
            <w:instrText xml:space="preserve"> HYPERLINK \l "_Toc68703837" </w:instrText>
          </w:r>
          <w:r>
            <w:fldChar w:fldCharType="separate"/>
          </w:r>
          <w:r>
            <w:rPr>
              <w:rStyle w:val="14"/>
              <w:rFonts w:ascii="宋体" w:hAnsi="宋体" w:eastAsia="宋体"/>
            </w:rPr>
            <w:t>四、绩效评价指标分析</w:t>
          </w:r>
          <w:r>
            <w:tab/>
          </w:r>
          <w:r>
            <w:fldChar w:fldCharType="begin"/>
          </w:r>
          <w:r>
            <w:instrText xml:space="preserve"> PAGEREF _Toc68703837 \h </w:instrText>
          </w:r>
          <w:r>
            <w:fldChar w:fldCharType="separate"/>
          </w:r>
          <w:r>
            <w:t>11</w:t>
          </w:r>
          <w:r>
            <w:fldChar w:fldCharType="end"/>
          </w:r>
          <w:r>
            <w:fldChar w:fldCharType="end"/>
          </w:r>
        </w:p>
        <w:p w14:paraId="258FDCB4">
          <w:pPr>
            <w:pStyle w:val="10"/>
            <w:tabs>
              <w:tab w:val="right" w:leader="dot" w:pos="8834"/>
            </w:tabs>
            <w:rPr>
              <w:rFonts w:cstheme="minorBidi"/>
              <w:kern w:val="2"/>
              <w:sz w:val="21"/>
            </w:rPr>
          </w:pPr>
          <w:r>
            <w:fldChar w:fldCharType="begin"/>
          </w:r>
          <w:r>
            <w:instrText xml:space="preserve"> HYPERLINK \l "_Toc68703838" </w:instrText>
          </w:r>
          <w:r>
            <w:fldChar w:fldCharType="separate"/>
          </w:r>
          <w:r>
            <w:rPr>
              <w:rStyle w:val="14"/>
              <w:rFonts w:ascii="仿宋_GB2312" w:eastAsia="仿宋_GB2312"/>
            </w:rPr>
            <w:t>（一）项目决策情况。</w:t>
          </w:r>
          <w:r>
            <w:tab/>
          </w:r>
          <w:r>
            <w:fldChar w:fldCharType="begin"/>
          </w:r>
          <w:r>
            <w:instrText xml:space="preserve"> PAGEREF _Toc68703838 \h </w:instrText>
          </w:r>
          <w:r>
            <w:fldChar w:fldCharType="separate"/>
          </w:r>
          <w:r>
            <w:t>11</w:t>
          </w:r>
          <w:r>
            <w:fldChar w:fldCharType="end"/>
          </w:r>
          <w:r>
            <w:fldChar w:fldCharType="end"/>
          </w:r>
        </w:p>
        <w:p w14:paraId="2DEA88AF">
          <w:pPr>
            <w:pStyle w:val="10"/>
            <w:tabs>
              <w:tab w:val="right" w:leader="dot" w:pos="8834"/>
            </w:tabs>
            <w:rPr>
              <w:rFonts w:cstheme="minorBidi"/>
              <w:kern w:val="2"/>
              <w:sz w:val="21"/>
            </w:rPr>
          </w:pPr>
          <w:r>
            <w:fldChar w:fldCharType="begin"/>
          </w:r>
          <w:r>
            <w:instrText xml:space="preserve"> HYPERLINK \l "_Toc68703839" </w:instrText>
          </w:r>
          <w:r>
            <w:fldChar w:fldCharType="separate"/>
          </w:r>
          <w:r>
            <w:rPr>
              <w:rStyle w:val="14"/>
              <w:rFonts w:ascii="仿宋_GB2312" w:eastAsia="仿宋_GB2312"/>
            </w:rPr>
            <w:t>（二）项目过程情况。</w:t>
          </w:r>
          <w:r>
            <w:tab/>
          </w:r>
          <w:r>
            <w:fldChar w:fldCharType="begin"/>
          </w:r>
          <w:r>
            <w:instrText xml:space="preserve"> PAGEREF _Toc68703839 \h </w:instrText>
          </w:r>
          <w:r>
            <w:fldChar w:fldCharType="separate"/>
          </w:r>
          <w:r>
            <w:t>13</w:t>
          </w:r>
          <w:r>
            <w:fldChar w:fldCharType="end"/>
          </w:r>
          <w:r>
            <w:fldChar w:fldCharType="end"/>
          </w:r>
        </w:p>
        <w:p w14:paraId="50C10BAF">
          <w:pPr>
            <w:pStyle w:val="10"/>
            <w:tabs>
              <w:tab w:val="right" w:leader="dot" w:pos="8834"/>
            </w:tabs>
            <w:rPr>
              <w:rFonts w:cstheme="minorBidi"/>
              <w:kern w:val="2"/>
              <w:sz w:val="21"/>
            </w:rPr>
          </w:pPr>
          <w:r>
            <w:fldChar w:fldCharType="begin"/>
          </w:r>
          <w:r>
            <w:instrText xml:space="preserve"> HYPERLINK \l "_Toc68703840" </w:instrText>
          </w:r>
          <w:r>
            <w:fldChar w:fldCharType="separate"/>
          </w:r>
          <w:r>
            <w:rPr>
              <w:rStyle w:val="14"/>
              <w:rFonts w:ascii="仿宋_GB2312" w:eastAsia="仿宋_GB2312"/>
            </w:rPr>
            <w:t>（三）项目产出情况。</w:t>
          </w:r>
          <w:r>
            <w:tab/>
          </w:r>
          <w:r>
            <w:fldChar w:fldCharType="begin"/>
          </w:r>
          <w:r>
            <w:instrText xml:space="preserve"> PAGEREF _Toc68703840 \h </w:instrText>
          </w:r>
          <w:r>
            <w:fldChar w:fldCharType="separate"/>
          </w:r>
          <w:r>
            <w:t>14</w:t>
          </w:r>
          <w:r>
            <w:fldChar w:fldCharType="end"/>
          </w:r>
          <w:r>
            <w:fldChar w:fldCharType="end"/>
          </w:r>
        </w:p>
        <w:p w14:paraId="7528999B">
          <w:pPr>
            <w:pStyle w:val="10"/>
            <w:tabs>
              <w:tab w:val="right" w:leader="dot" w:pos="8834"/>
            </w:tabs>
            <w:rPr>
              <w:rFonts w:cstheme="minorBidi"/>
              <w:kern w:val="2"/>
              <w:sz w:val="21"/>
            </w:rPr>
          </w:pPr>
          <w:r>
            <w:fldChar w:fldCharType="begin"/>
          </w:r>
          <w:r>
            <w:instrText xml:space="preserve"> HYPERLINK \l "_Toc68703841" </w:instrText>
          </w:r>
          <w:r>
            <w:fldChar w:fldCharType="separate"/>
          </w:r>
          <w:r>
            <w:rPr>
              <w:rStyle w:val="14"/>
              <w:rFonts w:ascii="仿宋_GB2312" w:eastAsia="仿宋_GB2312"/>
            </w:rPr>
            <w:t>（四）项目效益情况。</w:t>
          </w:r>
          <w:r>
            <w:tab/>
          </w:r>
          <w:r>
            <w:fldChar w:fldCharType="begin"/>
          </w:r>
          <w:r>
            <w:instrText xml:space="preserve"> PAGEREF _Toc68703841 \h </w:instrText>
          </w:r>
          <w:r>
            <w:fldChar w:fldCharType="separate"/>
          </w:r>
          <w:r>
            <w:t>15</w:t>
          </w:r>
          <w:r>
            <w:fldChar w:fldCharType="end"/>
          </w:r>
          <w:r>
            <w:fldChar w:fldCharType="end"/>
          </w:r>
        </w:p>
        <w:p w14:paraId="73E59EEC">
          <w:pPr>
            <w:pStyle w:val="8"/>
            <w:tabs>
              <w:tab w:val="right" w:leader="dot" w:pos="8834"/>
            </w:tabs>
            <w:rPr>
              <w:rFonts w:cstheme="minorBidi"/>
              <w:kern w:val="2"/>
              <w:sz w:val="21"/>
            </w:rPr>
          </w:pPr>
          <w:r>
            <w:fldChar w:fldCharType="begin"/>
          </w:r>
          <w:r>
            <w:instrText xml:space="preserve"> HYPERLINK \l "_Toc68703842" </w:instrText>
          </w:r>
          <w:r>
            <w:fldChar w:fldCharType="separate"/>
          </w:r>
          <w:r>
            <w:rPr>
              <w:rStyle w:val="14"/>
              <w:rFonts w:ascii="宋体" w:hAnsi="宋体" w:eastAsia="宋体"/>
            </w:rPr>
            <w:t>五、主要经验及做法、存在的问题及原因分析</w:t>
          </w:r>
          <w:r>
            <w:tab/>
          </w:r>
          <w:r>
            <w:fldChar w:fldCharType="begin"/>
          </w:r>
          <w:r>
            <w:instrText xml:space="preserve"> PAGEREF _Toc68703842 \h </w:instrText>
          </w:r>
          <w:r>
            <w:fldChar w:fldCharType="separate"/>
          </w:r>
          <w:r>
            <w:t>15</w:t>
          </w:r>
          <w:r>
            <w:fldChar w:fldCharType="end"/>
          </w:r>
          <w:r>
            <w:fldChar w:fldCharType="end"/>
          </w:r>
        </w:p>
        <w:p w14:paraId="4B9086B2">
          <w:pPr>
            <w:pStyle w:val="10"/>
            <w:tabs>
              <w:tab w:val="right" w:leader="dot" w:pos="8834"/>
            </w:tabs>
            <w:rPr>
              <w:rFonts w:cstheme="minorBidi"/>
              <w:kern w:val="2"/>
              <w:sz w:val="21"/>
            </w:rPr>
          </w:pPr>
          <w:r>
            <w:fldChar w:fldCharType="begin"/>
          </w:r>
          <w:r>
            <w:instrText xml:space="preserve"> HYPERLINK \l "_Toc68703843" </w:instrText>
          </w:r>
          <w:r>
            <w:fldChar w:fldCharType="separate"/>
          </w:r>
          <w:r>
            <w:rPr>
              <w:rStyle w:val="14"/>
              <w:rFonts w:ascii="仿宋_GB2312" w:eastAsia="仿宋_GB2312"/>
            </w:rPr>
            <w:t>（一）主要经验及做法</w:t>
          </w:r>
          <w:r>
            <w:tab/>
          </w:r>
          <w:r>
            <w:fldChar w:fldCharType="begin"/>
          </w:r>
          <w:r>
            <w:instrText xml:space="preserve"> PAGEREF _Toc68703843 \h </w:instrText>
          </w:r>
          <w:r>
            <w:fldChar w:fldCharType="separate"/>
          </w:r>
          <w:r>
            <w:t>15</w:t>
          </w:r>
          <w:r>
            <w:fldChar w:fldCharType="end"/>
          </w:r>
          <w:r>
            <w:fldChar w:fldCharType="end"/>
          </w:r>
        </w:p>
        <w:p w14:paraId="529F68E2">
          <w:pPr>
            <w:pStyle w:val="10"/>
            <w:tabs>
              <w:tab w:val="right" w:leader="dot" w:pos="8834"/>
            </w:tabs>
            <w:rPr>
              <w:rFonts w:cstheme="minorBidi"/>
              <w:kern w:val="2"/>
              <w:sz w:val="21"/>
            </w:rPr>
          </w:pPr>
          <w:r>
            <w:fldChar w:fldCharType="begin"/>
          </w:r>
          <w:r>
            <w:instrText xml:space="preserve"> HYPERLINK \l "_Toc68703844" </w:instrText>
          </w:r>
          <w:r>
            <w:fldChar w:fldCharType="separate"/>
          </w:r>
          <w:r>
            <w:rPr>
              <w:rStyle w:val="14"/>
              <w:rFonts w:ascii="仿宋_GB2312" w:eastAsia="仿宋_GB2312"/>
            </w:rPr>
            <w:t>（二）存在的问题及原因分析</w:t>
          </w:r>
          <w:r>
            <w:tab/>
          </w:r>
          <w:r>
            <w:fldChar w:fldCharType="begin"/>
          </w:r>
          <w:r>
            <w:instrText xml:space="preserve"> PAGEREF _Toc68703844 \h </w:instrText>
          </w:r>
          <w:r>
            <w:fldChar w:fldCharType="separate"/>
          </w:r>
          <w:r>
            <w:t>15</w:t>
          </w:r>
          <w:r>
            <w:fldChar w:fldCharType="end"/>
          </w:r>
          <w:r>
            <w:fldChar w:fldCharType="end"/>
          </w:r>
        </w:p>
        <w:p w14:paraId="6E442D07">
          <w:pPr>
            <w:pStyle w:val="8"/>
            <w:tabs>
              <w:tab w:val="right" w:leader="dot" w:pos="8834"/>
            </w:tabs>
            <w:rPr>
              <w:rFonts w:cstheme="minorBidi"/>
              <w:kern w:val="2"/>
              <w:sz w:val="21"/>
            </w:rPr>
          </w:pPr>
          <w:r>
            <w:fldChar w:fldCharType="begin"/>
          </w:r>
          <w:r>
            <w:instrText xml:space="preserve"> HYPERLINK \l "_Toc68703845" </w:instrText>
          </w:r>
          <w:r>
            <w:fldChar w:fldCharType="separate"/>
          </w:r>
          <w:r>
            <w:rPr>
              <w:rStyle w:val="14"/>
              <w:rFonts w:ascii="宋体" w:hAnsi="宋体" w:eastAsia="宋体"/>
            </w:rPr>
            <w:t>六、有关建议</w:t>
          </w:r>
          <w:r>
            <w:tab/>
          </w:r>
          <w:r>
            <w:fldChar w:fldCharType="begin"/>
          </w:r>
          <w:r>
            <w:instrText xml:space="preserve"> PAGEREF _Toc68703845 \h </w:instrText>
          </w:r>
          <w:r>
            <w:fldChar w:fldCharType="separate"/>
          </w:r>
          <w:r>
            <w:t>16</w:t>
          </w:r>
          <w:r>
            <w:fldChar w:fldCharType="end"/>
          </w:r>
          <w:r>
            <w:fldChar w:fldCharType="end"/>
          </w:r>
        </w:p>
        <w:p w14:paraId="20F95BEA">
          <w:pPr>
            <w:pStyle w:val="8"/>
            <w:tabs>
              <w:tab w:val="right" w:leader="dot" w:pos="8834"/>
            </w:tabs>
            <w:rPr>
              <w:rFonts w:cstheme="minorBidi"/>
              <w:kern w:val="2"/>
              <w:sz w:val="21"/>
            </w:rPr>
          </w:pPr>
          <w:r>
            <w:fldChar w:fldCharType="begin"/>
          </w:r>
          <w:r>
            <w:instrText xml:space="preserve"> HYPERLINK \l "_Toc68703846" </w:instrText>
          </w:r>
          <w:r>
            <w:fldChar w:fldCharType="separate"/>
          </w:r>
          <w:r>
            <w:rPr>
              <w:rStyle w:val="14"/>
              <w:rFonts w:ascii="宋体" w:hAnsi="宋体" w:eastAsia="宋体"/>
            </w:rPr>
            <w:t>七、其他需要说明的问题</w:t>
          </w:r>
          <w:r>
            <w:tab/>
          </w:r>
          <w:r>
            <w:fldChar w:fldCharType="begin"/>
          </w:r>
          <w:r>
            <w:instrText xml:space="preserve"> PAGEREF _Toc68703846 \h </w:instrText>
          </w:r>
          <w:r>
            <w:fldChar w:fldCharType="separate"/>
          </w:r>
          <w:r>
            <w:t>16</w:t>
          </w:r>
          <w:r>
            <w:fldChar w:fldCharType="end"/>
          </w:r>
          <w:r>
            <w:fldChar w:fldCharType="end"/>
          </w:r>
        </w:p>
        <w:p w14:paraId="5683A0E3">
          <w:r>
            <w:rPr>
              <w:b/>
              <w:bCs/>
              <w:lang w:val="zh-CN"/>
            </w:rPr>
            <w:fldChar w:fldCharType="end"/>
          </w:r>
        </w:p>
      </w:sdtContent>
    </w:sdt>
    <w:p w14:paraId="7B846F30">
      <w:pPr>
        <w:widowControl/>
        <w:jc w:val="left"/>
        <w:rPr>
          <w:rFonts w:ascii="宋体" w:hAnsi="宋体" w:eastAsia="宋体" w:cs="Arial"/>
          <w:b/>
          <w:bCs/>
          <w:sz w:val="36"/>
          <w:szCs w:val="36"/>
        </w:rPr>
      </w:pPr>
      <w:r>
        <w:rPr>
          <w:rFonts w:ascii="宋体" w:hAnsi="宋体" w:eastAsia="宋体" w:cs="Arial"/>
          <w:b/>
          <w:bCs/>
          <w:sz w:val="36"/>
          <w:szCs w:val="36"/>
        </w:rPr>
        <w:br w:type="page"/>
      </w:r>
    </w:p>
    <w:p w14:paraId="170964C6">
      <w:pPr>
        <w:jc w:val="center"/>
        <w:rPr>
          <w:rFonts w:ascii="Arial" w:hAnsi="Arial" w:eastAsia="宋体" w:cs="Arial"/>
          <w:b/>
          <w:bCs/>
          <w:sz w:val="36"/>
          <w:szCs w:val="36"/>
        </w:rPr>
      </w:pPr>
      <w:r>
        <w:rPr>
          <w:rFonts w:hint="eastAsia" w:ascii="宋体" w:hAnsi="宋体" w:eastAsia="宋体" w:cs="Arial"/>
          <w:b/>
          <w:bCs/>
          <w:sz w:val="36"/>
          <w:szCs w:val="36"/>
        </w:rPr>
        <w:t>焉耆县新一轮退耕还林延期补助项目支出</w:t>
      </w:r>
      <w:r>
        <w:rPr>
          <w:rFonts w:ascii="宋体" w:hAnsi="宋体" w:eastAsia="宋体" w:cs="Arial"/>
          <w:b/>
          <w:bCs/>
          <w:sz w:val="36"/>
          <w:szCs w:val="36"/>
        </w:rPr>
        <w:t>绩效</w:t>
      </w:r>
      <w:r>
        <w:rPr>
          <w:rFonts w:hint="eastAsia" w:ascii="宋体" w:hAnsi="宋体" w:eastAsia="宋体" w:cs="Arial"/>
          <w:b/>
          <w:bCs/>
          <w:sz w:val="36"/>
          <w:szCs w:val="36"/>
        </w:rPr>
        <w:t>评价报告</w:t>
      </w:r>
    </w:p>
    <w:p w14:paraId="4C09C288">
      <w:pPr>
        <w:jc w:val="center"/>
        <w:rPr>
          <w:rFonts w:ascii="仿宋_GB2312"/>
          <w:szCs w:val="30"/>
        </w:rPr>
      </w:pPr>
    </w:p>
    <w:p w14:paraId="116DBB88">
      <w:pPr>
        <w:pStyle w:val="2"/>
        <w:spacing w:line="360" w:lineRule="auto"/>
        <w:rPr>
          <w:rFonts w:ascii="仿宋_GB2312" w:hAnsiTheme="majorHAnsi" w:cstheme="majorBidi"/>
          <w:b w:val="0"/>
          <w:bCs w:val="0"/>
          <w:kern w:val="2"/>
          <w:sz w:val="32"/>
          <w:szCs w:val="32"/>
        </w:rPr>
      </w:pPr>
      <w:bookmarkStart w:id="0" w:name="_Toc68703827"/>
      <w:r>
        <w:rPr>
          <w:rFonts w:hint="eastAsia" w:ascii="仿宋_GB2312" w:hAnsiTheme="majorHAnsi" w:cstheme="majorBidi"/>
          <w:b w:val="0"/>
          <w:bCs w:val="0"/>
          <w:kern w:val="2"/>
          <w:sz w:val="32"/>
          <w:szCs w:val="32"/>
        </w:rPr>
        <w:t>一</w:t>
      </w:r>
      <w:r>
        <w:rPr>
          <w:rFonts w:hint="eastAsia" w:ascii="仿宋_GB2312" w:hAnsiTheme="majorHAnsi" w:cstheme="majorBidi"/>
          <w:bCs w:val="0"/>
          <w:kern w:val="2"/>
          <w:sz w:val="32"/>
          <w:szCs w:val="32"/>
        </w:rPr>
        <w:t>、基本情况</w:t>
      </w:r>
      <w:bookmarkEnd w:id="0"/>
    </w:p>
    <w:p w14:paraId="59E3B304">
      <w:pPr>
        <w:pStyle w:val="3"/>
        <w:spacing w:line="360" w:lineRule="auto"/>
        <w:rPr>
          <w:rFonts w:hint="eastAsia" w:ascii="仿宋_GB2312" w:hAnsi="Times New Roman" w:eastAsia="仿宋_GB2312" w:cs="Times New Roman"/>
          <w:b w:val="0"/>
          <w:bCs w:val="0"/>
          <w:kern w:val="2"/>
          <w:sz w:val="30"/>
          <w:szCs w:val="24"/>
          <w:highlight w:val="none"/>
          <w:lang w:val="en-US" w:eastAsia="zh-CN" w:bidi="ar-SA"/>
        </w:rPr>
      </w:pPr>
      <w:bookmarkStart w:id="1" w:name="_Toc68703828"/>
      <w:r>
        <w:rPr>
          <w:rFonts w:hint="eastAsia" w:ascii="仿宋_GB2312" w:hAnsi="Times New Roman" w:eastAsia="仿宋_GB2312" w:cs="Times New Roman"/>
          <w:b w:val="0"/>
          <w:bCs w:val="0"/>
          <w:kern w:val="2"/>
          <w:sz w:val="30"/>
          <w:szCs w:val="24"/>
          <w:highlight w:val="none"/>
          <w:lang w:val="en-US" w:eastAsia="zh-CN" w:bidi="ar-SA"/>
        </w:rPr>
        <w:t>（一）项目概况。</w:t>
      </w:r>
      <w:bookmarkEnd w:id="1"/>
    </w:p>
    <w:p w14:paraId="7F1CB27A">
      <w:pPr>
        <w:keepNext w:val="0"/>
        <w:keepLines w:val="0"/>
        <w:widowControl/>
        <w:suppressLineNumbers w:val="0"/>
        <w:jc w:val="left"/>
        <w:rPr>
          <w:rFonts w:hint="default" w:ascii="仿宋_GB2312" w:hAnsi="Times New Roman" w:eastAsia="仿宋_GB2312" w:cs="Times New Roman"/>
          <w:b w:val="0"/>
          <w:bCs w:val="0"/>
          <w:kern w:val="2"/>
          <w:sz w:val="30"/>
          <w:szCs w:val="24"/>
          <w:highlight w:val="none"/>
          <w:lang w:val="en-US" w:eastAsia="zh-CN" w:bidi="ar-SA"/>
        </w:rPr>
      </w:pPr>
      <w:r>
        <w:rPr>
          <w:rFonts w:hint="eastAsia" w:ascii="仿宋_GB2312" w:hAnsi="Times New Roman" w:eastAsia="仿宋_GB2312" w:cs="Times New Roman"/>
          <w:b w:val="0"/>
          <w:bCs w:val="0"/>
          <w:kern w:val="2"/>
          <w:sz w:val="30"/>
          <w:szCs w:val="24"/>
          <w:highlight w:val="none"/>
          <w:lang w:val="en-US" w:eastAsia="zh-CN" w:bidi="ar-SA"/>
        </w:rPr>
        <w:t>1、项目背景:</w:t>
      </w:r>
      <w:r>
        <w:rPr>
          <w:rFonts w:hint="eastAsia" w:ascii="仿宋_GB2312" w:cs="Times New Roman"/>
          <w:b w:val="0"/>
          <w:bCs w:val="0"/>
          <w:kern w:val="2"/>
          <w:sz w:val="30"/>
          <w:szCs w:val="24"/>
          <w:highlight w:val="none"/>
          <w:lang w:val="en-US" w:eastAsia="zh-CN" w:bidi="ar-SA"/>
        </w:rPr>
        <w:t>根据巴财建【2023】4号文件要精神，</w:t>
      </w:r>
      <w:r>
        <w:rPr>
          <w:rFonts w:hint="eastAsia" w:ascii="仿宋_GB2312" w:hAnsi="Times New Roman" w:eastAsia="仿宋_GB2312" w:cs="Times New Roman"/>
          <w:b w:val="0"/>
          <w:bCs w:val="0"/>
          <w:kern w:val="2"/>
          <w:sz w:val="30"/>
          <w:szCs w:val="24"/>
          <w:highlight w:val="none"/>
          <w:lang w:val="en-US" w:eastAsia="zh-CN" w:bidi="ar-SA"/>
        </w:rPr>
        <w:t>通过退耕还林，恢复生态环境，改善生态条件，增加林业资源，提高农民收入，并推动农区经济发展。</w:t>
      </w:r>
    </w:p>
    <w:p w14:paraId="4FC56B90">
      <w:pPr>
        <w:spacing w:line="360" w:lineRule="auto"/>
        <w:ind w:firstLine="600" w:firstLineChars="200"/>
        <w:rPr>
          <w:rFonts w:ascii="仿宋_GB2312"/>
          <w:highlight w:val="none"/>
        </w:rPr>
      </w:pPr>
      <w:r>
        <w:rPr>
          <w:rFonts w:hint="eastAsia" w:ascii="仿宋_GB2312"/>
          <w:highlight w:val="none"/>
        </w:rPr>
        <w:t>2、主要内容及实施情况</w:t>
      </w:r>
    </w:p>
    <w:p w14:paraId="1E63DBB7">
      <w:pPr>
        <w:spacing w:line="560" w:lineRule="exact"/>
        <w:ind w:firstLine="600" w:firstLineChars="200"/>
        <w:rPr>
          <w:rFonts w:hint="default" w:ascii="仿宋_GB2312" w:eastAsia="仿宋_GB2312"/>
          <w:highlight w:val="none"/>
          <w:lang w:val="en-US" w:eastAsia="zh-CN"/>
        </w:rPr>
      </w:pPr>
      <w:r>
        <w:rPr>
          <w:rFonts w:hint="eastAsia" w:ascii="仿宋_GB2312"/>
          <w:highlight w:val="none"/>
        </w:rPr>
        <w:t>主要内容：</w:t>
      </w:r>
      <w:r>
        <w:rPr>
          <w:rFonts w:hint="eastAsia" w:ascii="仿宋" w:hAnsi="仿宋" w:eastAsia="仿宋" w:cs="仿宋"/>
          <w:szCs w:val="32"/>
          <w:highlight w:val="none"/>
        </w:rPr>
        <w:t>一是</w:t>
      </w:r>
      <w:r>
        <w:rPr>
          <w:rFonts w:hint="eastAsia" w:ascii="仿宋" w:hAnsi="仿宋" w:eastAsia="仿宋" w:cs="仿宋"/>
          <w:szCs w:val="32"/>
          <w:highlight w:val="none"/>
          <w:lang w:val="zh-CN"/>
        </w:rPr>
        <w:t>自然资源、生态环境、产业发展等不同情况，因地制宜，因势利导，</w:t>
      </w:r>
      <w:r>
        <w:rPr>
          <w:rFonts w:hint="eastAsia" w:ascii="仿宋" w:hAnsi="仿宋" w:eastAsia="仿宋" w:cs="仿宋"/>
          <w:szCs w:val="32"/>
          <w:highlight w:val="none"/>
        </w:rPr>
        <w:t>做到适地适树，</w:t>
      </w:r>
      <w:r>
        <w:rPr>
          <w:rFonts w:hint="eastAsia" w:ascii="仿宋" w:hAnsi="仿宋" w:eastAsia="仿宋" w:cs="仿宋"/>
          <w:szCs w:val="32"/>
          <w:highlight w:val="none"/>
          <w:lang w:val="zh-CN"/>
        </w:rPr>
        <w:t>积极营造结构合理、</w:t>
      </w:r>
      <w:r>
        <w:rPr>
          <w:rFonts w:hint="eastAsia" w:ascii="仿宋" w:hAnsi="仿宋" w:eastAsia="仿宋" w:cs="仿宋"/>
          <w:szCs w:val="32"/>
          <w:highlight w:val="none"/>
        </w:rPr>
        <w:t>二是县林草部门安排专业技术人员包联乡镇对退耕还林进行技术指导，严格执行相关技术标准，把好整地、苗木、浇水、抚育关，做到合理种植。保证了苗木成活率。</w:t>
      </w:r>
    </w:p>
    <w:p w14:paraId="1B2EAB0B">
      <w:pPr>
        <w:spacing w:line="560" w:lineRule="exact"/>
        <w:ind w:firstLine="600" w:firstLineChars="200"/>
        <w:rPr>
          <w:rFonts w:ascii="仿宋" w:hAnsi="仿宋" w:eastAsia="仿宋" w:cs="仿宋"/>
          <w:szCs w:val="32"/>
          <w:highlight w:val="none"/>
        </w:rPr>
      </w:pPr>
      <w:r>
        <w:rPr>
          <w:rFonts w:hint="eastAsia" w:ascii="仿宋_GB2312"/>
          <w:highlight w:val="none"/>
        </w:rPr>
        <w:t>实施情况：</w:t>
      </w:r>
      <w:r>
        <w:rPr>
          <w:rFonts w:hint="eastAsia" w:ascii="仿宋_GB2312"/>
          <w:highlight w:val="none"/>
          <w:lang w:val="en-US" w:eastAsia="zh-CN"/>
        </w:rPr>
        <w:t>将</w:t>
      </w:r>
      <w:r>
        <w:rPr>
          <w:rFonts w:hint="eastAsia" w:ascii="仿宋_GB2312"/>
          <w:highlight w:val="none"/>
        </w:rPr>
        <w:t>2023年下达</w:t>
      </w:r>
      <w:r>
        <w:rPr>
          <w:rFonts w:hint="eastAsia" w:ascii="仿宋_GB2312"/>
          <w:highlight w:val="none"/>
          <w:lang w:val="en-US" w:eastAsia="zh-CN"/>
        </w:rPr>
        <w:t>的</w:t>
      </w:r>
      <w:r>
        <w:rPr>
          <w:rFonts w:hint="eastAsia" w:ascii="仿宋_GB2312"/>
          <w:highlight w:val="none"/>
        </w:rPr>
        <w:t>新一轮退耕还林延期补助任务2015年5983亩，2016年1882亩，合计7865亩</w:t>
      </w:r>
      <w:r>
        <w:rPr>
          <w:rFonts w:hint="eastAsia" w:ascii="仿宋_GB2312"/>
          <w:highlight w:val="none"/>
          <w:lang w:eastAsia="zh-CN"/>
        </w:rPr>
        <w:t>，</w:t>
      </w:r>
      <w:r>
        <w:rPr>
          <w:rFonts w:hint="eastAsia" w:ascii="仿宋_GB2312"/>
          <w:highlight w:val="none"/>
          <w:lang w:val="en-US" w:eastAsia="zh-CN"/>
        </w:rPr>
        <w:t>补助资金公284.11万元足额发放到退耕还林户手中。</w:t>
      </w:r>
    </w:p>
    <w:p w14:paraId="5354D39B">
      <w:pPr>
        <w:spacing w:line="560" w:lineRule="exact"/>
        <w:ind w:firstLine="600" w:firstLineChars="200"/>
        <w:rPr>
          <w:rFonts w:ascii="仿宋_GB2312"/>
          <w:highlight w:val="none"/>
        </w:rPr>
      </w:pPr>
    </w:p>
    <w:p w14:paraId="79409EFC">
      <w:pPr>
        <w:spacing w:line="360" w:lineRule="auto"/>
        <w:ind w:firstLine="600" w:firstLineChars="200"/>
        <w:rPr>
          <w:rFonts w:ascii="仿宋_GB2312"/>
          <w:highlight w:val="none"/>
        </w:rPr>
      </w:pPr>
      <w:r>
        <w:rPr>
          <w:rFonts w:ascii="仿宋_GB2312"/>
          <w:highlight w:val="none"/>
        </w:rPr>
        <w:t>4</w:t>
      </w:r>
      <w:r>
        <w:rPr>
          <w:rFonts w:hint="eastAsia" w:ascii="仿宋_GB2312"/>
          <w:highlight w:val="none"/>
        </w:rPr>
        <w:t>、资金投入和使用情况</w:t>
      </w:r>
    </w:p>
    <w:p w14:paraId="02B0C0F9">
      <w:pPr>
        <w:spacing w:line="360" w:lineRule="auto"/>
        <w:ind w:firstLine="600" w:firstLineChars="200"/>
        <w:rPr>
          <w:rFonts w:ascii="仿宋_GB2312"/>
          <w:highlight w:val="none"/>
        </w:rPr>
      </w:pPr>
      <w:r>
        <w:rPr>
          <w:rFonts w:hint="eastAsia" w:ascii="仿宋_GB2312"/>
          <w:highlight w:val="none"/>
        </w:rPr>
        <w:t>资金投入情况：该项目年初预算数</w:t>
      </w:r>
      <w:r>
        <w:rPr>
          <w:rFonts w:hint="eastAsia" w:ascii="仿宋_GB2312"/>
          <w:highlight w:val="none"/>
          <w:lang w:val="en-US" w:eastAsia="zh-CN"/>
        </w:rPr>
        <w:t>284.11</w:t>
      </w:r>
      <w:r>
        <w:rPr>
          <w:rFonts w:hint="eastAsia" w:ascii="仿宋_GB2312"/>
          <w:highlight w:val="none"/>
        </w:rPr>
        <w:t>万元，全年预算数</w:t>
      </w:r>
      <w:r>
        <w:rPr>
          <w:rFonts w:hint="eastAsia" w:ascii="仿宋_GB2312"/>
          <w:highlight w:val="none"/>
          <w:lang w:val="en-US" w:eastAsia="zh-CN"/>
        </w:rPr>
        <w:t>284.11</w:t>
      </w:r>
      <w:r>
        <w:rPr>
          <w:rFonts w:hint="eastAsia" w:ascii="仿宋_GB2312"/>
          <w:highlight w:val="none"/>
        </w:rPr>
        <w:t>万元</w:t>
      </w:r>
      <w:r>
        <w:rPr>
          <w:rFonts w:ascii="仿宋_GB2312"/>
          <w:highlight w:val="none"/>
        </w:rPr>
        <w:t>,</w:t>
      </w:r>
      <w:r>
        <w:rPr>
          <w:rFonts w:hint="eastAsia" w:ascii="仿宋_GB2312"/>
          <w:highlight w:val="none"/>
        </w:rPr>
        <w:t>实际总投入</w:t>
      </w:r>
      <w:r>
        <w:rPr>
          <w:rFonts w:hint="eastAsia" w:ascii="仿宋_GB2312"/>
          <w:highlight w:val="none"/>
          <w:lang w:val="en-US" w:eastAsia="zh-CN"/>
        </w:rPr>
        <w:t>284.11</w:t>
      </w:r>
      <w:r>
        <w:rPr>
          <w:rFonts w:hint="eastAsia" w:ascii="仿宋_GB2312"/>
          <w:highlight w:val="none"/>
        </w:rPr>
        <w:t>万元，该项目落实到位</w:t>
      </w:r>
      <w:r>
        <w:rPr>
          <w:rFonts w:ascii="仿宋_GB2312"/>
          <w:highlight w:val="none"/>
        </w:rPr>
        <w:t>284.1</w:t>
      </w:r>
      <w:r>
        <w:rPr>
          <w:rFonts w:hint="eastAsia" w:ascii="仿宋_GB2312"/>
          <w:highlight w:val="none"/>
          <w:lang w:val="en-US" w:eastAsia="zh-CN"/>
        </w:rPr>
        <w:t>1</w:t>
      </w:r>
      <w:r>
        <w:rPr>
          <w:rFonts w:hint="eastAsia" w:ascii="仿宋_GB2312"/>
          <w:highlight w:val="none"/>
        </w:rPr>
        <w:t>万元，资金来源为中央财政林业草原改革发展资金。</w:t>
      </w:r>
    </w:p>
    <w:p w14:paraId="22C2A70E">
      <w:pPr>
        <w:spacing w:line="360" w:lineRule="auto"/>
        <w:ind w:firstLine="600" w:firstLineChars="200"/>
        <w:rPr>
          <w:rFonts w:ascii="仿宋_GB2312"/>
          <w:highlight w:val="none"/>
        </w:rPr>
      </w:pPr>
      <w:r>
        <w:rPr>
          <w:rFonts w:hint="eastAsia" w:ascii="仿宋_GB2312"/>
          <w:highlight w:val="none"/>
        </w:rPr>
        <w:t>资金使用情况：该项目年初预算数</w:t>
      </w:r>
      <w:r>
        <w:rPr>
          <w:rFonts w:hint="eastAsia" w:ascii="仿宋_GB2312"/>
          <w:highlight w:val="none"/>
          <w:lang w:val="en-US" w:eastAsia="zh-CN"/>
        </w:rPr>
        <w:t>284.11</w:t>
      </w:r>
      <w:r>
        <w:rPr>
          <w:rFonts w:hint="eastAsia" w:ascii="仿宋_GB2312"/>
          <w:highlight w:val="none"/>
        </w:rPr>
        <w:t>万元，全年预算数</w:t>
      </w:r>
      <w:r>
        <w:rPr>
          <w:rFonts w:hint="eastAsia" w:ascii="仿宋_GB2312"/>
          <w:highlight w:val="none"/>
          <w:lang w:val="en-US" w:eastAsia="zh-CN"/>
        </w:rPr>
        <w:t>284.11</w:t>
      </w:r>
      <w:r>
        <w:rPr>
          <w:rFonts w:hint="eastAsia" w:ascii="仿宋_GB2312"/>
          <w:highlight w:val="none"/>
        </w:rPr>
        <w:t>万元</w:t>
      </w:r>
      <w:r>
        <w:rPr>
          <w:rFonts w:ascii="仿宋_GB2312"/>
          <w:highlight w:val="none"/>
        </w:rPr>
        <w:t>,</w:t>
      </w:r>
      <w:r>
        <w:rPr>
          <w:rFonts w:hint="eastAsia" w:ascii="仿宋_GB2312"/>
          <w:highlight w:val="none"/>
        </w:rPr>
        <w:t>全年执行数</w:t>
      </w:r>
      <w:r>
        <w:rPr>
          <w:rFonts w:ascii="仿宋_GB2312"/>
          <w:highlight w:val="none"/>
        </w:rPr>
        <w:t>284.1</w:t>
      </w:r>
      <w:r>
        <w:rPr>
          <w:rFonts w:hint="eastAsia" w:ascii="仿宋_GB2312"/>
          <w:highlight w:val="none"/>
          <w:lang w:val="en-US" w:eastAsia="zh-CN"/>
        </w:rPr>
        <w:t>1</w:t>
      </w:r>
      <w:r>
        <w:rPr>
          <w:rFonts w:hint="eastAsia" w:ascii="仿宋_GB2312"/>
          <w:highlight w:val="none"/>
        </w:rPr>
        <w:t>万元，预算执行率为</w:t>
      </w:r>
      <w:r>
        <w:rPr>
          <w:rFonts w:hint="eastAsia" w:ascii="仿宋_GB2312"/>
          <w:highlight w:val="none"/>
          <w:lang w:val="en-US" w:eastAsia="zh-CN"/>
        </w:rPr>
        <w:t>100</w:t>
      </w:r>
      <w:r>
        <w:rPr>
          <w:rFonts w:hint="eastAsia" w:ascii="仿宋_GB2312"/>
          <w:highlight w:val="none"/>
        </w:rPr>
        <w:t>%。</w:t>
      </w:r>
    </w:p>
    <w:p w14:paraId="204CF0E3">
      <w:pPr>
        <w:pStyle w:val="3"/>
        <w:spacing w:line="360" w:lineRule="auto"/>
        <w:ind w:firstLine="600" w:firstLineChars="200"/>
        <w:rPr>
          <w:rFonts w:ascii="仿宋_GB2312" w:hAnsi="Times New Roman" w:eastAsia="仿宋_GB2312" w:cs="Times New Roman"/>
          <w:b w:val="0"/>
          <w:bCs w:val="0"/>
          <w:sz w:val="30"/>
          <w:szCs w:val="24"/>
          <w:highlight w:val="none"/>
        </w:rPr>
      </w:pPr>
      <w:bookmarkStart w:id="2" w:name="_Toc68703829"/>
      <w:r>
        <w:rPr>
          <w:rFonts w:hint="eastAsia" w:ascii="仿宋_GB2312" w:hAnsi="Times New Roman" w:eastAsia="仿宋_GB2312" w:cs="Times New Roman"/>
          <w:b w:val="0"/>
          <w:bCs w:val="0"/>
          <w:sz w:val="30"/>
          <w:szCs w:val="24"/>
          <w:highlight w:val="none"/>
        </w:rPr>
        <w:t>（二）项目绩效目标。</w:t>
      </w:r>
      <w:bookmarkEnd w:id="2"/>
    </w:p>
    <w:p w14:paraId="49359A9E">
      <w:pPr>
        <w:spacing w:line="560" w:lineRule="exact"/>
        <w:ind w:firstLine="600" w:firstLineChars="200"/>
        <w:rPr>
          <w:rFonts w:hint="default" w:ascii="仿宋_GB2312" w:eastAsia="仿宋_GB2312"/>
          <w:highlight w:val="none"/>
          <w:lang w:val="en-US" w:eastAsia="zh-CN"/>
        </w:rPr>
      </w:pPr>
      <w:r>
        <w:rPr>
          <w:rFonts w:hint="eastAsia" w:ascii="仿宋_GB2312"/>
          <w:highlight w:val="none"/>
        </w:rPr>
        <w:t>1、总体目标：</w:t>
      </w:r>
      <w:r>
        <w:rPr>
          <w:rFonts w:hint="eastAsia" w:ascii="仿宋_GB2312"/>
          <w:highlight w:val="none"/>
          <w:lang w:val="en-US" w:eastAsia="zh-CN"/>
        </w:rPr>
        <w:t>调整农业机构、增加木材产量、提高农民收入、提高生态质量。</w:t>
      </w:r>
    </w:p>
    <w:p w14:paraId="7AD3CA7A">
      <w:pPr>
        <w:spacing w:line="360" w:lineRule="auto"/>
        <w:ind w:firstLine="600" w:firstLineChars="200"/>
        <w:rPr>
          <w:rFonts w:ascii="仿宋_GB2312"/>
          <w:highlight w:val="none"/>
        </w:rPr>
      </w:pPr>
    </w:p>
    <w:p w14:paraId="29EF223B">
      <w:pPr>
        <w:spacing w:line="360" w:lineRule="auto"/>
        <w:ind w:firstLine="600" w:firstLineChars="200"/>
        <w:rPr>
          <w:rFonts w:hint="default" w:ascii="仿宋_GB2312" w:eastAsia="仿宋_GB2312"/>
          <w:highlight w:val="none"/>
          <w:lang w:val="en-US" w:eastAsia="zh-CN"/>
        </w:rPr>
      </w:pPr>
      <w:r>
        <w:rPr>
          <w:rFonts w:ascii="仿宋_GB2312"/>
          <w:highlight w:val="none"/>
        </w:rPr>
        <w:t>2</w:t>
      </w:r>
      <w:r>
        <w:rPr>
          <w:rFonts w:hint="eastAsia" w:ascii="仿宋_GB2312"/>
          <w:highlight w:val="none"/>
        </w:rPr>
        <w:t>、阶段性目标：</w:t>
      </w:r>
      <w:r>
        <w:rPr>
          <w:rFonts w:hint="eastAsia" w:ascii="仿宋_GB2312"/>
          <w:highlight w:val="none"/>
          <w:lang w:val="en-US" w:eastAsia="zh-CN"/>
        </w:rPr>
        <w:t>一、通过加强林木前期管护，搞好补植补造，提高造林成活率和保存率，杜绝砍树复耕现象发生。二、确保退耕农户长远生计得到有效解决。</w:t>
      </w:r>
    </w:p>
    <w:p w14:paraId="4074E026">
      <w:pPr>
        <w:pStyle w:val="2"/>
        <w:spacing w:line="360" w:lineRule="auto"/>
        <w:rPr>
          <w:rFonts w:ascii="仿宋_GB2312" w:hAnsiTheme="majorHAnsi" w:cstheme="majorBidi"/>
          <w:bCs w:val="0"/>
          <w:kern w:val="2"/>
          <w:sz w:val="32"/>
          <w:szCs w:val="32"/>
          <w:highlight w:val="none"/>
        </w:rPr>
      </w:pPr>
      <w:bookmarkStart w:id="3" w:name="_Toc68703830"/>
      <w:r>
        <w:rPr>
          <w:rFonts w:hint="eastAsia" w:ascii="仿宋_GB2312" w:hAnsiTheme="majorHAnsi" w:cstheme="majorBidi"/>
          <w:b w:val="0"/>
          <w:bCs w:val="0"/>
          <w:kern w:val="2"/>
          <w:sz w:val="32"/>
          <w:szCs w:val="32"/>
          <w:highlight w:val="none"/>
        </w:rPr>
        <w:t>二、</w:t>
      </w:r>
      <w:r>
        <w:rPr>
          <w:rFonts w:hint="eastAsia" w:ascii="仿宋_GB2312" w:hAnsiTheme="majorHAnsi" w:cstheme="majorBidi"/>
          <w:bCs w:val="0"/>
          <w:kern w:val="2"/>
          <w:sz w:val="32"/>
          <w:szCs w:val="32"/>
          <w:highlight w:val="none"/>
        </w:rPr>
        <w:t>绩效评价工作开展情况</w:t>
      </w:r>
      <w:bookmarkEnd w:id="3"/>
    </w:p>
    <w:p w14:paraId="58CEB82D">
      <w:pPr>
        <w:pStyle w:val="3"/>
        <w:spacing w:line="360" w:lineRule="auto"/>
        <w:rPr>
          <w:rFonts w:ascii="仿宋_GB2312" w:eastAsia="仿宋_GB2312"/>
          <w:b w:val="0"/>
          <w:bCs w:val="0"/>
        </w:rPr>
      </w:pPr>
      <w:bookmarkStart w:id="4" w:name="_Toc68703831"/>
      <w:r>
        <w:rPr>
          <w:rFonts w:hint="eastAsia" w:ascii="仿宋_GB2312" w:eastAsia="仿宋_GB2312"/>
          <w:b w:val="0"/>
          <w:bCs w:val="0"/>
        </w:rPr>
        <w:t>（一）绩效评价目的、对象和范围。</w:t>
      </w:r>
      <w:bookmarkEnd w:id="4"/>
    </w:p>
    <w:p w14:paraId="544B316D">
      <w:pPr>
        <w:spacing w:line="360" w:lineRule="auto"/>
      </w:pPr>
      <w:r>
        <w:rPr>
          <w:rFonts w:hint="eastAsia"/>
        </w:rPr>
        <w:t>1、绩效评价目的：</w:t>
      </w:r>
    </w:p>
    <w:p w14:paraId="79154730">
      <w:pPr>
        <w:spacing w:line="360" w:lineRule="auto"/>
        <w:ind w:firstLine="640" w:firstLineChars="200"/>
        <w:jc w:val="left"/>
        <w:rPr>
          <w:rFonts w:ascii="仿宋" w:hAnsi="仿宋" w:eastAsia="仿宋"/>
          <w:color w:val="000000"/>
          <w:szCs w:val="32"/>
        </w:rPr>
      </w:pPr>
      <w:r>
        <w:rPr>
          <w:rFonts w:hint="default"/>
          <w:color w:val="000000" w:themeColor="text1"/>
          <w:sz w:val="32"/>
          <w:szCs w:val="32"/>
        </w:rPr>
        <w:t>通过绩效评价，客观地评判项目的管理绩效，了解和掌握</w:t>
      </w:r>
      <w:r>
        <w:rPr>
          <w:rFonts w:hint="eastAsia"/>
          <w:color w:val="000000" w:themeColor="text1"/>
          <w:sz w:val="32"/>
          <w:szCs w:val="32"/>
          <w:lang w:eastAsia="zh-CN"/>
        </w:rPr>
        <w:t>重点项目</w:t>
      </w:r>
      <w:r>
        <w:rPr>
          <w:rFonts w:ascii="仿宋" w:hAnsi="仿宋" w:eastAsia="仿宋"/>
          <w:color w:val="000000"/>
          <w:szCs w:val="32"/>
        </w:rPr>
        <w:t>退耕还林延长补助</w:t>
      </w:r>
      <w:r>
        <w:rPr>
          <w:rFonts w:hint="eastAsia"/>
          <w:color w:val="000000" w:themeColor="text1"/>
          <w:sz w:val="32"/>
          <w:szCs w:val="32"/>
          <w:lang w:eastAsia="zh-CN"/>
        </w:rPr>
        <w:t>项目</w:t>
      </w:r>
      <w:r>
        <w:rPr>
          <w:rFonts w:hint="default"/>
          <w:color w:val="000000" w:themeColor="text1"/>
          <w:sz w:val="32"/>
          <w:szCs w:val="32"/>
        </w:rPr>
        <w:t>的具体情况，评价该项目资金安排的科学性、合理性、规范性和资金的使用成效，及时总结项目管理经验，完善项目管理办法，提高项目管理水平和资金使用效益。促使我局根据绩效评价中发现的问题，认真加以整改，及时调整和完善单位的工作计划和绩效目标并加强项目管理，提高管理水平，同时为项目后续资金投入、分配和管理提供决策依据。</w:t>
      </w:r>
    </w:p>
    <w:p w14:paraId="6BDAA551">
      <w:pPr>
        <w:spacing w:line="360" w:lineRule="auto"/>
        <w:ind w:firstLine="600" w:firstLineChars="200"/>
        <w:jc w:val="left"/>
      </w:pPr>
      <w:r>
        <w:rPr>
          <w:rFonts w:hint="eastAsia"/>
        </w:rPr>
        <w:t>2、绩效评价对象：</w:t>
      </w:r>
    </w:p>
    <w:p w14:paraId="492AD5E1">
      <w:pPr>
        <w:spacing w:line="360" w:lineRule="auto"/>
        <w:ind w:firstLine="600" w:firstLineChars="200"/>
        <w:rPr>
          <w:rFonts w:ascii="仿宋_GB2312"/>
        </w:rPr>
      </w:pPr>
      <w:r>
        <w:rPr>
          <w:rFonts w:ascii="仿宋" w:hAnsi="仿宋" w:eastAsia="仿宋"/>
          <w:color w:val="000000"/>
          <w:szCs w:val="32"/>
        </w:rPr>
        <w:t>退耕还林延长补助</w:t>
      </w:r>
    </w:p>
    <w:p w14:paraId="4BC2C567">
      <w:pPr>
        <w:spacing w:line="360" w:lineRule="auto"/>
        <w:ind w:firstLine="600" w:firstLineChars="200"/>
      </w:pPr>
      <w:r>
        <w:rPr>
          <w:rFonts w:hint="eastAsia"/>
        </w:rPr>
        <w:t>3、绩效评价范围：</w:t>
      </w:r>
    </w:p>
    <w:p w14:paraId="7CBFE959">
      <w:pPr>
        <w:pageBreakBefore w:val="0"/>
        <w:widowControl w:val="0"/>
        <w:kinsoku/>
        <w:wordWrap/>
        <w:overflowPunct/>
        <w:topLinePunct w:val="0"/>
        <w:autoSpaceDE/>
        <w:autoSpaceDN/>
        <w:bidi w:val="0"/>
        <w:adjustRightInd/>
        <w:spacing w:line="560" w:lineRule="exact"/>
        <w:ind w:firstLine="640" w:firstLineChars="200"/>
        <w:textAlignment w:val="auto"/>
        <w:rPr>
          <w:highlight w:val="green"/>
        </w:rPr>
      </w:pPr>
      <w:r>
        <w:rPr>
          <w:rFonts w:hint="eastAsia"/>
          <w:color w:val="auto"/>
          <w:sz w:val="32"/>
          <w:szCs w:val="32"/>
        </w:rPr>
        <w:t>本次评价从项目决策（包括绩效目标、决策过程）、项目管理（包括项目资金、项目实施）、项目产出（包括项目产出数量、产出质量、产出时效和产出成本）项目效益四个维度进行</w:t>
      </w:r>
      <w:r>
        <w:rPr>
          <w:rFonts w:hint="eastAsia"/>
          <w:color w:val="000000" w:themeColor="text1"/>
          <w:sz w:val="32"/>
          <w:szCs w:val="32"/>
          <w:lang w:eastAsia="zh-CN"/>
        </w:rPr>
        <w:t>重点建设项目征迁征迁补偿及评估费项目</w:t>
      </w:r>
      <w:r>
        <w:rPr>
          <w:rFonts w:hint="eastAsia"/>
          <w:color w:val="auto"/>
          <w:sz w:val="32"/>
          <w:szCs w:val="32"/>
        </w:rPr>
        <w:t>评价，评价核心为专项资金的支出完成情况和效果。</w:t>
      </w:r>
    </w:p>
    <w:p w14:paraId="17CF979C">
      <w:pPr>
        <w:pStyle w:val="3"/>
        <w:spacing w:line="360" w:lineRule="auto"/>
        <w:rPr>
          <w:rFonts w:ascii="仿宋_GB2312" w:eastAsia="仿宋_GB2312"/>
          <w:b w:val="0"/>
          <w:bCs w:val="0"/>
        </w:rPr>
      </w:pPr>
      <w:bookmarkStart w:id="5" w:name="_Toc68703832"/>
      <w:r>
        <w:rPr>
          <w:rFonts w:hint="eastAsia" w:ascii="仿宋_GB2312" w:eastAsia="仿宋_GB2312"/>
          <w:b w:val="0"/>
          <w:bCs w:val="0"/>
        </w:rPr>
        <w:t>（二）绩效评价原则、评价指标体系、评价方法、评价标准等。</w:t>
      </w:r>
      <w:bookmarkEnd w:id="5"/>
    </w:p>
    <w:p w14:paraId="7E8F31F2">
      <w:pPr>
        <w:spacing w:line="360" w:lineRule="auto"/>
      </w:pPr>
      <w:r>
        <w:rPr>
          <w:rFonts w:hint="eastAsia"/>
        </w:rPr>
        <w:t>1、绩效评价原则</w:t>
      </w:r>
    </w:p>
    <w:p w14:paraId="6D617B60">
      <w:pPr>
        <w:pageBreakBefore w:val="0"/>
        <w:widowControl w:val="0"/>
        <w:kinsoku/>
        <w:wordWrap/>
        <w:overflowPunct/>
        <w:topLinePunct w:val="0"/>
        <w:autoSpaceDE/>
        <w:autoSpaceDN/>
        <w:bidi w:val="0"/>
        <w:adjustRightInd/>
        <w:spacing w:line="560" w:lineRule="exact"/>
        <w:ind w:firstLine="640"/>
        <w:textAlignment w:val="auto"/>
        <w:rPr>
          <w:rFonts w:ascii="仿宋_GB2312"/>
          <w:bCs/>
          <w:color w:val="auto"/>
          <w:sz w:val="32"/>
          <w:szCs w:val="32"/>
        </w:rPr>
      </w:pPr>
      <w:r>
        <w:rPr>
          <w:rFonts w:hint="eastAsia" w:ascii="仿宋_GB2312"/>
          <w:bCs/>
          <w:color w:val="auto"/>
          <w:sz w:val="32"/>
          <w:szCs w:val="32"/>
        </w:rPr>
        <w:t>（一）科学公正。本次自评按照前期准备、组织实施、分析评价的程序进行，采取绩效自评，通过材料核查、问卷调查等方式，综合运用对比分析和单位各部门负责人评议等方法进行评价，确保评价过程及结果客观、公正。</w:t>
      </w:r>
    </w:p>
    <w:p w14:paraId="27431513">
      <w:pPr>
        <w:pageBreakBefore w:val="0"/>
        <w:widowControl w:val="0"/>
        <w:kinsoku/>
        <w:wordWrap/>
        <w:overflowPunct/>
        <w:topLinePunct w:val="0"/>
        <w:autoSpaceDE/>
        <w:autoSpaceDN/>
        <w:bidi w:val="0"/>
        <w:adjustRightInd/>
        <w:spacing w:line="560" w:lineRule="exact"/>
        <w:ind w:firstLine="640"/>
        <w:textAlignment w:val="auto"/>
        <w:rPr>
          <w:rFonts w:ascii="仿宋_GB2312"/>
          <w:bCs/>
          <w:color w:val="auto"/>
          <w:sz w:val="32"/>
          <w:szCs w:val="32"/>
        </w:rPr>
      </w:pPr>
      <w:r>
        <w:rPr>
          <w:rFonts w:hint="eastAsia" w:ascii="仿宋_GB2312"/>
          <w:bCs/>
          <w:color w:val="auto"/>
          <w:sz w:val="32"/>
          <w:szCs w:val="32"/>
        </w:rPr>
        <w:t>（二）统筹兼顾。本次由</w:t>
      </w:r>
      <w:r>
        <w:rPr>
          <w:rFonts w:hint="eastAsia" w:ascii="仿宋_GB2312"/>
          <w:bCs/>
          <w:color w:val="auto"/>
          <w:sz w:val="32"/>
          <w:szCs w:val="32"/>
          <w:lang w:val="en-US" w:eastAsia="zh-CN"/>
        </w:rPr>
        <w:t>自然资源局</w:t>
      </w:r>
      <w:r>
        <w:rPr>
          <w:rFonts w:hint="eastAsia" w:ascii="仿宋_GB2312"/>
          <w:bCs/>
          <w:color w:val="auto"/>
          <w:sz w:val="32"/>
          <w:szCs w:val="32"/>
        </w:rPr>
        <w:t>主要领导负责召集各项目主管人员及项目执行部门召开项目自评会议，根据规范程序布置工作任务，统一自评标准，制定了项目绩效自评方案，分工明确，责任到人，确保绩效评价工作扎实、开展。</w:t>
      </w:r>
    </w:p>
    <w:p w14:paraId="53913F84">
      <w:pPr>
        <w:pageBreakBefore w:val="0"/>
        <w:widowControl w:val="0"/>
        <w:kinsoku/>
        <w:wordWrap/>
        <w:overflowPunct/>
        <w:topLinePunct w:val="0"/>
        <w:autoSpaceDE/>
        <w:autoSpaceDN/>
        <w:bidi w:val="0"/>
        <w:adjustRightInd/>
        <w:spacing w:line="560" w:lineRule="exact"/>
        <w:ind w:firstLine="640"/>
        <w:textAlignment w:val="auto"/>
        <w:rPr>
          <w:rFonts w:ascii="仿宋_GB2312"/>
          <w:bCs/>
          <w:color w:val="auto"/>
          <w:sz w:val="32"/>
          <w:szCs w:val="32"/>
        </w:rPr>
      </w:pPr>
      <w:r>
        <w:rPr>
          <w:rFonts w:hint="eastAsia" w:ascii="仿宋_GB2312"/>
          <w:bCs/>
          <w:color w:val="auto"/>
          <w:sz w:val="32"/>
          <w:szCs w:val="32"/>
        </w:rPr>
        <w:t>（三）激励约束。绩效评价结果应与资金分配挂钩，建立健全评价结果与与财政预算资金分配挂钩，并作为改进管理、完善政策的重要依据，向上一年度绩效评价考核优秀的部门倾斜。</w:t>
      </w:r>
    </w:p>
    <w:p w14:paraId="13EBEAB7">
      <w:pPr>
        <w:spacing w:line="360" w:lineRule="auto"/>
      </w:pPr>
      <w:r>
        <w:rPr>
          <w:rFonts w:hint="eastAsia" w:ascii="仿宋_GB2312"/>
          <w:bCs/>
          <w:color w:val="auto"/>
          <w:sz w:val="32"/>
          <w:szCs w:val="32"/>
        </w:rPr>
        <w:t>（四）公开透明。我单位绩效评价结束以后，将根据《政府信息公开条例》规定，自评结果在</w:t>
      </w:r>
      <w:r>
        <w:rPr>
          <w:rFonts w:hint="eastAsia" w:ascii="仿宋_GB2312"/>
          <w:bCs/>
          <w:color w:val="auto"/>
          <w:sz w:val="32"/>
          <w:szCs w:val="32"/>
          <w:lang w:val="en-US" w:eastAsia="zh-CN"/>
        </w:rPr>
        <w:t>焉耆县</w:t>
      </w:r>
      <w:r>
        <w:rPr>
          <w:rFonts w:hint="eastAsia" w:ascii="仿宋_GB2312"/>
          <w:bCs/>
          <w:color w:val="auto"/>
          <w:sz w:val="32"/>
          <w:szCs w:val="32"/>
        </w:rPr>
        <w:t>政府网站进行公开，广泛接受人民群众监督，接受社会各界监督，让公众全面了解政府绩效评价过程和评价结果。</w:t>
      </w:r>
    </w:p>
    <w:p w14:paraId="51549AEF">
      <w:pPr>
        <w:spacing w:line="360" w:lineRule="auto"/>
      </w:pPr>
      <w:r>
        <w:rPr>
          <w:rFonts w:hint="eastAsia"/>
        </w:rPr>
        <w:t>2、评价指标体系（附表说明）</w:t>
      </w:r>
    </w:p>
    <w:p w14:paraId="0AF1F1CF">
      <w:pPr>
        <w:pStyle w:val="3"/>
        <w:spacing w:before="0" w:after="0" w:line="240" w:lineRule="auto"/>
        <w:jc w:val="center"/>
        <w:rPr>
          <w:rFonts w:ascii="Times New Roman" w:hAnsi="Times New Roman" w:eastAsia="仿宋_GB2312" w:cs="Times New Roman"/>
          <w:b w:val="0"/>
          <w:bCs w:val="0"/>
          <w:sz w:val="30"/>
          <w:szCs w:val="24"/>
        </w:rPr>
      </w:pPr>
      <w:r>
        <w:rPr>
          <w:rFonts w:hint="eastAsia" w:ascii="Times New Roman" w:hAnsi="Times New Roman" w:eastAsia="仿宋_GB2312" w:cs="Times New Roman"/>
          <w:b w:val="0"/>
          <w:bCs w:val="0"/>
          <w:sz w:val="30"/>
          <w:szCs w:val="24"/>
        </w:rPr>
        <w:t>2023年新一轮退耕还林项目支出绩效评价指标体系</w:t>
      </w:r>
    </w:p>
    <w:tbl>
      <w:tblPr>
        <w:tblStyle w:val="12"/>
        <w:tblW w:w="9859"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757"/>
        <w:gridCol w:w="1478"/>
        <w:gridCol w:w="1875"/>
        <w:gridCol w:w="3885"/>
        <w:gridCol w:w="990"/>
        <w:gridCol w:w="874"/>
      </w:tblGrid>
      <w:tr w14:paraId="0859205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92" w:hRule="atLeast"/>
          <w:tblHeader/>
          <w:jc w:val="center"/>
        </w:trPr>
        <w:tc>
          <w:tcPr>
            <w:tcW w:w="757" w:type="dxa"/>
            <w:shd w:val="clear" w:color="auto" w:fill="FFFFFF"/>
            <w:vAlign w:val="center"/>
          </w:tcPr>
          <w:p w14:paraId="04176329">
            <w:pPr>
              <w:widowControl/>
              <w:spacing w:line="0" w:lineRule="atLeast"/>
              <w:jc w:val="center"/>
              <w:rPr>
                <w:rFonts w:ascii="宋体" w:hAnsi="宋体" w:eastAsia="宋体" w:cs="宋体"/>
                <w:b/>
                <w:bCs/>
                <w:color w:val="000000"/>
                <w:kern w:val="0"/>
                <w:sz w:val="22"/>
              </w:rPr>
            </w:pPr>
            <w:r>
              <w:rPr>
                <w:rFonts w:hint="eastAsia" w:ascii="宋体" w:hAnsi="宋体" w:eastAsia="宋体" w:cs="宋体"/>
                <w:b/>
                <w:bCs/>
                <w:color w:val="000000"/>
                <w:kern w:val="0"/>
                <w:sz w:val="22"/>
              </w:rPr>
              <w:t>一级指标</w:t>
            </w:r>
          </w:p>
        </w:tc>
        <w:tc>
          <w:tcPr>
            <w:tcW w:w="1478" w:type="dxa"/>
            <w:shd w:val="clear" w:color="auto" w:fill="FFFFFF"/>
            <w:vAlign w:val="center"/>
          </w:tcPr>
          <w:p w14:paraId="0A1A2558">
            <w:pPr>
              <w:widowControl/>
              <w:spacing w:line="0" w:lineRule="atLeast"/>
              <w:jc w:val="center"/>
              <w:rPr>
                <w:rFonts w:ascii="宋体" w:hAnsi="宋体" w:eastAsia="宋体" w:cs="宋体"/>
                <w:b/>
                <w:bCs/>
                <w:color w:val="000000"/>
                <w:kern w:val="0"/>
                <w:sz w:val="22"/>
              </w:rPr>
            </w:pPr>
            <w:r>
              <w:rPr>
                <w:rFonts w:hint="eastAsia" w:ascii="宋体" w:hAnsi="宋体" w:eastAsia="宋体" w:cs="宋体"/>
                <w:b/>
                <w:bCs/>
                <w:color w:val="000000"/>
                <w:kern w:val="0"/>
                <w:sz w:val="22"/>
              </w:rPr>
              <w:t>二级指标</w:t>
            </w:r>
          </w:p>
        </w:tc>
        <w:tc>
          <w:tcPr>
            <w:tcW w:w="1875" w:type="dxa"/>
            <w:tcBorders>
              <w:right w:val="single" w:color="auto" w:sz="4" w:space="0"/>
            </w:tcBorders>
            <w:shd w:val="clear" w:color="auto" w:fill="FFFFFF"/>
            <w:vAlign w:val="center"/>
          </w:tcPr>
          <w:p w14:paraId="350D03C8">
            <w:pPr>
              <w:widowControl/>
              <w:spacing w:line="0" w:lineRule="atLeast"/>
              <w:jc w:val="center"/>
              <w:rPr>
                <w:rFonts w:ascii="宋体" w:hAnsi="宋体" w:eastAsia="宋体" w:cs="宋体"/>
                <w:b/>
                <w:bCs/>
                <w:color w:val="000000"/>
                <w:kern w:val="0"/>
                <w:sz w:val="22"/>
              </w:rPr>
            </w:pPr>
            <w:r>
              <w:rPr>
                <w:rFonts w:hint="eastAsia" w:ascii="宋体" w:hAnsi="宋体" w:eastAsia="宋体" w:cs="宋体"/>
                <w:b/>
                <w:bCs/>
                <w:color w:val="000000"/>
                <w:kern w:val="0"/>
                <w:sz w:val="22"/>
              </w:rPr>
              <w:t>三级指标</w:t>
            </w:r>
          </w:p>
        </w:tc>
        <w:tc>
          <w:tcPr>
            <w:tcW w:w="3885" w:type="dxa"/>
            <w:tcBorders>
              <w:right w:val="single" w:color="auto" w:sz="4" w:space="0"/>
            </w:tcBorders>
            <w:shd w:val="clear" w:color="auto" w:fill="FFFFFF"/>
            <w:vAlign w:val="top"/>
          </w:tcPr>
          <w:p w14:paraId="30308A3E">
            <w:pPr>
              <w:widowControl/>
              <w:spacing w:line="600" w:lineRule="auto"/>
              <w:jc w:val="center"/>
              <w:rPr>
                <w:rFonts w:ascii="宋体" w:hAnsi="宋体" w:eastAsia="宋体" w:cs="宋体"/>
                <w:b/>
                <w:bCs/>
                <w:color w:val="000000"/>
                <w:kern w:val="0"/>
                <w:sz w:val="22"/>
              </w:rPr>
            </w:pPr>
            <w:r>
              <w:rPr>
                <w:rFonts w:hint="eastAsia" w:ascii="宋体" w:hAnsi="宋体" w:eastAsia="宋体" w:cs="宋体"/>
                <w:b/>
                <w:bCs/>
                <w:color w:val="000000"/>
                <w:kern w:val="0"/>
                <w:sz w:val="22"/>
              </w:rPr>
              <w:t>指标解释</w:t>
            </w:r>
          </w:p>
        </w:tc>
        <w:tc>
          <w:tcPr>
            <w:tcW w:w="990" w:type="dxa"/>
            <w:tcBorders>
              <w:left w:val="single" w:color="auto" w:sz="4" w:space="0"/>
            </w:tcBorders>
            <w:shd w:val="clear" w:color="auto" w:fill="FFFFFF"/>
            <w:vAlign w:val="top"/>
          </w:tcPr>
          <w:p w14:paraId="49D374D5">
            <w:pPr>
              <w:widowControl/>
              <w:spacing w:line="600" w:lineRule="auto"/>
              <w:jc w:val="center"/>
              <w:rPr>
                <w:rFonts w:ascii="宋体" w:hAnsi="宋体" w:eastAsia="宋体" w:cs="宋体"/>
                <w:b/>
                <w:bCs/>
                <w:color w:val="000000"/>
                <w:kern w:val="0"/>
                <w:sz w:val="22"/>
              </w:rPr>
            </w:pPr>
            <w:r>
              <w:rPr>
                <w:rFonts w:hint="eastAsia" w:ascii="宋体" w:hAnsi="宋体" w:eastAsia="宋体" w:cs="宋体"/>
                <w:b/>
                <w:bCs/>
                <w:color w:val="000000"/>
                <w:kern w:val="0"/>
                <w:sz w:val="22"/>
              </w:rPr>
              <w:t>分值</w:t>
            </w:r>
          </w:p>
        </w:tc>
        <w:tc>
          <w:tcPr>
            <w:tcW w:w="874" w:type="dxa"/>
            <w:shd w:val="clear" w:color="auto" w:fill="FFFFFF"/>
            <w:vAlign w:val="top"/>
          </w:tcPr>
          <w:p w14:paraId="4F8789EC">
            <w:pPr>
              <w:widowControl/>
              <w:spacing w:line="600" w:lineRule="auto"/>
              <w:jc w:val="center"/>
              <w:rPr>
                <w:rFonts w:ascii="宋体" w:hAnsi="宋体" w:eastAsia="宋体" w:cs="宋体"/>
                <w:b/>
                <w:bCs/>
                <w:color w:val="000000"/>
                <w:kern w:val="0"/>
                <w:sz w:val="22"/>
              </w:rPr>
            </w:pPr>
            <w:r>
              <w:rPr>
                <w:rFonts w:hint="eastAsia" w:ascii="宋体" w:hAnsi="宋体" w:eastAsia="宋体" w:cs="宋体"/>
                <w:b/>
                <w:bCs/>
                <w:color w:val="000000"/>
                <w:kern w:val="0"/>
                <w:sz w:val="22"/>
              </w:rPr>
              <w:t>得分</w:t>
            </w:r>
          </w:p>
        </w:tc>
      </w:tr>
      <w:tr w14:paraId="4E952DF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95" w:hRule="atLeast"/>
          <w:jc w:val="center"/>
        </w:trPr>
        <w:tc>
          <w:tcPr>
            <w:tcW w:w="757" w:type="dxa"/>
            <w:vMerge w:val="restart"/>
            <w:shd w:val="clear" w:color="auto" w:fill="FFFFFF"/>
            <w:vAlign w:val="center"/>
          </w:tcPr>
          <w:p w14:paraId="10850309">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决策</w:t>
            </w:r>
          </w:p>
        </w:tc>
        <w:tc>
          <w:tcPr>
            <w:tcW w:w="1478" w:type="dxa"/>
            <w:vMerge w:val="restart"/>
            <w:shd w:val="clear" w:color="auto" w:fill="FFFFFF"/>
            <w:vAlign w:val="center"/>
          </w:tcPr>
          <w:p w14:paraId="1522ACC5">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项目立项　</w:t>
            </w:r>
          </w:p>
        </w:tc>
        <w:tc>
          <w:tcPr>
            <w:tcW w:w="1875" w:type="dxa"/>
            <w:tcBorders>
              <w:right w:val="single" w:color="auto" w:sz="4" w:space="0"/>
            </w:tcBorders>
            <w:shd w:val="clear" w:color="auto" w:fill="FFFFFF"/>
            <w:vAlign w:val="center"/>
          </w:tcPr>
          <w:p w14:paraId="42E53EF4">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立项依据</w:t>
            </w:r>
          </w:p>
          <w:p w14:paraId="66A0B823">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充分性</w:t>
            </w:r>
          </w:p>
        </w:tc>
        <w:tc>
          <w:tcPr>
            <w:tcW w:w="3885" w:type="dxa"/>
            <w:tcBorders>
              <w:right w:val="single" w:color="auto" w:sz="4" w:space="0"/>
            </w:tcBorders>
            <w:shd w:val="clear" w:color="auto" w:fill="FFFFFF"/>
            <w:vAlign w:val="center"/>
          </w:tcPr>
          <w:p w14:paraId="7B8C989B">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项目立项是否符合法律法规、相关政策、发展规划以及部门职责，用以反映和考核项目立项依据情况。</w:t>
            </w:r>
          </w:p>
        </w:tc>
        <w:tc>
          <w:tcPr>
            <w:tcW w:w="990" w:type="dxa"/>
            <w:tcBorders>
              <w:left w:val="single" w:color="auto" w:sz="4" w:space="0"/>
            </w:tcBorders>
            <w:shd w:val="clear" w:color="auto" w:fill="FFFFFF"/>
            <w:vAlign w:val="top"/>
          </w:tcPr>
          <w:p w14:paraId="0A90D808">
            <w:pPr>
              <w:spacing w:line="600" w:lineRule="auto"/>
              <w:jc w:val="center"/>
            </w:pPr>
            <w:r>
              <w:rPr>
                <w:rFonts w:hint="eastAsia"/>
                <w:lang w:val="en-US" w:eastAsia="zh-CN"/>
              </w:rPr>
              <w:t>5</w:t>
            </w:r>
          </w:p>
        </w:tc>
        <w:tc>
          <w:tcPr>
            <w:tcW w:w="874" w:type="dxa"/>
            <w:tcBorders>
              <w:bottom w:val="single" w:color="auto" w:sz="4" w:space="0"/>
            </w:tcBorders>
            <w:shd w:val="clear" w:color="auto" w:fill="FFFFFF"/>
            <w:vAlign w:val="top"/>
          </w:tcPr>
          <w:p w14:paraId="408191C2">
            <w:pPr>
              <w:spacing w:line="600" w:lineRule="auto"/>
              <w:jc w:val="center"/>
            </w:pPr>
            <w:r>
              <w:rPr>
                <w:rFonts w:hint="eastAsia"/>
                <w:lang w:val="en-US" w:eastAsia="zh-CN"/>
              </w:rPr>
              <w:t>5</w:t>
            </w:r>
          </w:p>
        </w:tc>
      </w:tr>
      <w:tr w14:paraId="052AC31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7" w:hRule="atLeast"/>
          <w:jc w:val="center"/>
        </w:trPr>
        <w:tc>
          <w:tcPr>
            <w:tcW w:w="757" w:type="dxa"/>
            <w:vMerge w:val="continue"/>
            <w:shd w:val="clear" w:color="auto" w:fill="FFFFFF"/>
            <w:vAlign w:val="center"/>
          </w:tcPr>
          <w:p w14:paraId="74BE4C55">
            <w:pPr>
              <w:spacing w:line="0" w:lineRule="atLeast"/>
              <w:jc w:val="center"/>
              <w:rPr>
                <w:rFonts w:ascii="宋体" w:hAnsi="宋体" w:cs="宋体"/>
                <w:color w:val="000000"/>
                <w:kern w:val="0"/>
                <w:sz w:val="22"/>
              </w:rPr>
            </w:pPr>
          </w:p>
        </w:tc>
        <w:tc>
          <w:tcPr>
            <w:tcW w:w="1478" w:type="dxa"/>
            <w:vMerge w:val="continue"/>
            <w:shd w:val="clear" w:color="auto" w:fill="FFFFFF"/>
            <w:vAlign w:val="center"/>
          </w:tcPr>
          <w:p w14:paraId="641D0322">
            <w:pPr>
              <w:widowControl/>
              <w:spacing w:line="0" w:lineRule="atLeast"/>
              <w:jc w:val="center"/>
              <w:rPr>
                <w:rFonts w:ascii="宋体" w:hAnsi="宋体" w:cs="宋体"/>
                <w:color w:val="000000"/>
                <w:kern w:val="0"/>
                <w:sz w:val="22"/>
              </w:rPr>
            </w:pPr>
          </w:p>
        </w:tc>
        <w:tc>
          <w:tcPr>
            <w:tcW w:w="1875" w:type="dxa"/>
            <w:tcBorders>
              <w:right w:val="single" w:color="auto" w:sz="4" w:space="0"/>
            </w:tcBorders>
            <w:shd w:val="clear" w:color="auto" w:fill="FFFFFF"/>
            <w:vAlign w:val="center"/>
          </w:tcPr>
          <w:p w14:paraId="095A394A">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立项程序</w:t>
            </w:r>
          </w:p>
          <w:p w14:paraId="6FA0DC10">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规范性</w:t>
            </w:r>
          </w:p>
        </w:tc>
        <w:tc>
          <w:tcPr>
            <w:tcW w:w="3885" w:type="dxa"/>
            <w:tcBorders>
              <w:right w:val="single" w:color="auto" w:sz="4" w:space="0"/>
            </w:tcBorders>
            <w:shd w:val="clear" w:color="auto" w:fill="FFFFFF"/>
            <w:vAlign w:val="center"/>
          </w:tcPr>
          <w:p w14:paraId="41837CDA">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项目申请、设立过程是否符合相关要求，用以反映和考核项目立项的规范情况</w:t>
            </w:r>
          </w:p>
        </w:tc>
        <w:tc>
          <w:tcPr>
            <w:tcW w:w="990" w:type="dxa"/>
            <w:tcBorders>
              <w:left w:val="single" w:color="auto" w:sz="4" w:space="0"/>
            </w:tcBorders>
            <w:shd w:val="clear" w:color="auto" w:fill="FFFFFF"/>
            <w:vAlign w:val="top"/>
          </w:tcPr>
          <w:p w14:paraId="6C2656A9">
            <w:pPr>
              <w:spacing w:line="600" w:lineRule="auto"/>
              <w:jc w:val="center"/>
            </w:pPr>
            <w:r>
              <w:rPr>
                <w:rFonts w:hint="eastAsia"/>
                <w:lang w:val="en-US" w:eastAsia="zh-CN"/>
              </w:rPr>
              <w:t>5</w:t>
            </w:r>
          </w:p>
        </w:tc>
        <w:tc>
          <w:tcPr>
            <w:tcW w:w="874" w:type="dxa"/>
            <w:shd w:val="clear" w:color="auto" w:fill="FFFFFF"/>
            <w:vAlign w:val="top"/>
          </w:tcPr>
          <w:p w14:paraId="2D1D65C5">
            <w:pPr>
              <w:spacing w:line="600" w:lineRule="auto"/>
              <w:jc w:val="center"/>
            </w:pPr>
            <w:r>
              <w:rPr>
                <w:rFonts w:hint="eastAsia"/>
                <w:lang w:val="en-US" w:eastAsia="zh-CN"/>
              </w:rPr>
              <w:t>5</w:t>
            </w:r>
          </w:p>
        </w:tc>
      </w:tr>
      <w:tr w14:paraId="3F26034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13" w:hRule="atLeast"/>
          <w:jc w:val="center"/>
        </w:trPr>
        <w:tc>
          <w:tcPr>
            <w:tcW w:w="757" w:type="dxa"/>
            <w:vMerge w:val="continue"/>
            <w:shd w:val="clear" w:color="auto" w:fill="FFFFFF"/>
            <w:vAlign w:val="center"/>
          </w:tcPr>
          <w:p w14:paraId="5A0521DF">
            <w:pPr>
              <w:spacing w:line="0" w:lineRule="atLeast"/>
              <w:jc w:val="center"/>
              <w:rPr>
                <w:rFonts w:ascii="宋体" w:hAnsi="宋体" w:cs="宋体"/>
                <w:color w:val="000000"/>
                <w:kern w:val="0"/>
                <w:sz w:val="22"/>
              </w:rPr>
            </w:pPr>
          </w:p>
        </w:tc>
        <w:tc>
          <w:tcPr>
            <w:tcW w:w="1478" w:type="dxa"/>
            <w:vMerge w:val="restart"/>
            <w:shd w:val="clear" w:color="auto" w:fill="FFFFFF"/>
            <w:vAlign w:val="center"/>
          </w:tcPr>
          <w:p w14:paraId="750C2592">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绩效目标</w:t>
            </w:r>
          </w:p>
        </w:tc>
        <w:tc>
          <w:tcPr>
            <w:tcW w:w="1875" w:type="dxa"/>
            <w:tcBorders>
              <w:right w:val="single" w:color="auto" w:sz="4" w:space="0"/>
            </w:tcBorders>
            <w:shd w:val="clear" w:color="auto" w:fill="FFFFFF"/>
            <w:vAlign w:val="center"/>
          </w:tcPr>
          <w:p w14:paraId="2DE1D081">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绩效目标</w:t>
            </w:r>
          </w:p>
          <w:p w14:paraId="447B824E">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合理性</w:t>
            </w:r>
          </w:p>
        </w:tc>
        <w:tc>
          <w:tcPr>
            <w:tcW w:w="3885" w:type="dxa"/>
            <w:tcBorders>
              <w:right w:val="single" w:color="auto" w:sz="4" w:space="0"/>
            </w:tcBorders>
            <w:shd w:val="clear" w:color="000000" w:fill="FFFFFF"/>
            <w:vAlign w:val="center"/>
          </w:tcPr>
          <w:p w14:paraId="21F8BB49">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项目所设定的绩效目标是否依据充分，是否符合客观实际，用以反映和考核项目绩效目标与项目实施的相符情况。</w:t>
            </w:r>
          </w:p>
        </w:tc>
        <w:tc>
          <w:tcPr>
            <w:tcW w:w="990" w:type="dxa"/>
            <w:tcBorders>
              <w:left w:val="single" w:color="auto" w:sz="4" w:space="0"/>
            </w:tcBorders>
            <w:shd w:val="clear" w:color="000000" w:fill="FFFFFF"/>
            <w:vAlign w:val="top"/>
          </w:tcPr>
          <w:p w14:paraId="5E4BEBA4">
            <w:pPr>
              <w:spacing w:line="600" w:lineRule="auto"/>
              <w:jc w:val="center"/>
            </w:pPr>
            <w:r>
              <w:rPr>
                <w:rFonts w:hint="eastAsia"/>
                <w:lang w:val="en-US" w:eastAsia="zh-CN"/>
              </w:rPr>
              <w:t>2.5</w:t>
            </w:r>
          </w:p>
        </w:tc>
        <w:tc>
          <w:tcPr>
            <w:tcW w:w="874" w:type="dxa"/>
            <w:shd w:val="clear" w:color="000000" w:fill="FFFFFF"/>
            <w:vAlign w:val="top"/>
          </w:tcPr>
          <w:p w14:paraId="269011EB">
            <w:pPr>
              <w:spacing w:line="600" w:lineRule="auto"/>
              <w:jc w:val="center"/>
            </w:pPr>
            <w:r>
              <w:rPr>
                <w:rFonts w:hint="eastAsia"/>
                <w:lang w:val="en-US" w:eastAsia="zh-CN"/>
              </w:rPr>
              <w:t>2.5</w:t>
            </w:r>
          </w:p>
        </w:tc>
      </w:tr>
      <w:tr w14:paraId="7380F2D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93" w:hRule="atLeast"/>
          <w:jc w:val="center"/>
        </w:trPr>
        <w:tc>
          <w:tcPr>
            <w:tcW w:w="757" w:type="dxa"/>
            <w:vMerge w:val="continue"/>
            <w:shd w:val="clear" w:color="auto" w:fill="FFFFFF"/>
            <w:vAlign w:val="center"/>
          </w:tcPr>
          <w:p w14:paraId="7B2DDBD7">
            <w:pPr>
              <w:widowControl/>
              <w:spacing w:line="0" w:lineRule="atLeast"/>
              <w:jc w:val="center"/>
              <w:rPr>
                <w:rFonts w:ascii="宋体" w:hAnsi="宋体" w:cs="宋体"/>
                <w:color w:val="000000"/>
                <w:kern w:val="0"/>
                <w:sz w:val="22"/>
              </w:rPr>
            </w:pPr>
          </w:p>
        </w:tc>
        <w:tc>
          <w:tcPr>
            <w:tcW w:w="1478" w:type="dxa"/>
            <w:vMerge w:val="continue"/>
            <w:shd w:val="clear" w:color="auto" w:fill="FFFFFF"/>
            <w:vAlign w:val="center"/>
          </w:tcPr>
          <w:p w14:paraId="5BFFC317">
            <w:pPr>
              <w:widowControl/>
              <w:spacing w:line="0" w:lineRule="atLeast"/>
              <w:jc w:val="center"/>
              <w:rPr>
                <w:rFonts w:ascii="宋体" w:hAnsi="宋体" w:cs="宋体"/>
                <w:color w:val="000000"/>
                <w:kern w:val="0"/>
                <w:sz w:val="22"/>
              </w:rPr>
            </w:pPr>
          </w:p>
        </w:tc>
        <w:tc>
          <w:tcPr>
            <w:tcW w:w="1875" w:type="dxa"/>
            <w:tcBorders>
              <w:right w:val="single" w:color="auto" w:sz="4" w:space="0"/>
            </w:tcBorders>
            <w:shd w:val="clear" w:color="auto" w:fill="FFFFFF"/>
            <w:vAlign w:val="center"/>
          </w:tcPr>
          <w:p w14:paraId="224B256E">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绩效指标</w:t>
            </w:r>
          </w:p>
          <w:p w14:paraId="7CD80E0F">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明确性</w:t>
            </w:r>
          </w:p>
        </w:tc>
        <w:tc>
          <w:tcPr>
            <w:tcW w:w="3885" w:type="dxa"/>
            <w:tcBorders>
              <w:right w:val="single" w:color="auto" w:sz="4" w:space="0"/>
            </w:tcBorders>
            <w:shd w:val="clear" w:color="000000" w:fill="FFFFFF"/>
            <w:vAlign w:val="center"/>
          </w:tcPr>
          <w:p w14:paraId="78116599">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依据绩效目标设定的绩效指标是否清晰、细化、可衡量等，用以反映和考核项目绩效目标的明细化情况。</w:t>
            </w:r>
          </w:p>
        </w:tc>
        <w:tc>
          <w:tcPr>
            <w:tcW w:w="990" w:type="dxa"/>
            <w:tcBorders>
              <w:left w:val="single" w:color="auto" w:sz="4" w:space="0"/>
            </w:tcBorders>
            <w:shd w:val="clear" w:color="000000" w:fill="FFFFFF"/>
            <w:vAlign w:val="top"/>
          </w:tcPr>
          <w:p w14:paraId="3FC32D14">
            <w:pPr>
              <w:spacing w:line="600" w:lineRule="auto"/>
              <w:jc w:val="center"/>
            </w:pPr>
            <w:r>
              <w:rPr>
                <w:rFonts w:hint="eastAsia"/>
                <w:lang w:val="en-US" w:eastAsia="zh-CN"/>
              </w:rPr>
              <w:t>2.5</w:t>
            </w:r>
          </w:p>
        </w:tc>
        <w:tc>
          <w:tcPr>
            <w:tcW w:w="874" w:type="dxa"/>
            <w:tcBorders>
              <w:bottom w:val="single" w:color="auto" w:sz="4" w:space="0"/>
            </w:tcBorders>
            <w:shd w:val="clear" w:color="000000" w:fill="FFFFFF"/>
            <w:vAlign w:val="top"/>
          </w:tcPr>
          <w:p w14:paraId="16522EC5">
            <w:pPr>
              <w:spacing w:line="600" w:lineRule="auto"/>
              <w:jc w:val="center"/>
            </w:pPr>
            <w:r>
              <w:rPr>
                <w:rFonts w:hint="eastAsia"/>
                <w:lang w:val="en-US" w:eastAsia="zh-CN"/>
              </w:rPr>
              <w:t>2.5</w:t>
            </w:r>
          </w:p>
        </w:tc>
      </w:tr>
      <w:tr w14:paraId="4CD143A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01" w:hRule="atLeast"/>
          <w:jc w:val="center"/>
        </w:trPr>
        <w:tc>
          <w:tcPr>
            <w:tcW w:w="757" w:type="dxa"/>
            <w:vMerge w:val="continue"/>
            <w:shd w:val="clear" w:color="auto" w:fill="FFFFFF"/>
            <w:vAlign w:val="center"/>
          </w:tcPr>
          <w:p w14:paraId="2648FA0D">
            <w:pPr>
              <w:spacing w:line="0" w:lineRule="atLeast"/>
              <w:jc w:val="center"/>
              <w:rPr>
                <w:rFonts w:ascii="宋体" w:hAnsi="宋体" w:cs="宋体"/>
                <w:color w:val="000000"/>
                <w:kern w:val="0"/>
                <w:sz w:val="22"/>
              </w:rPr>
            </w:pPr>
          </w:p>
        </w:tc>
        <w:tc>
          <w:tcPr>
            <w:tcW w:w="1478" w:type="dxa"/>
            <w:vMerge w:val="restart"/>
            <w:shd w:val="clear" w:color="auto" w:fill="FFFFFF"/>
            <w:vAlign w:val="center"/>
          </w:tcPr>
          <w:p w14:paraId="060A13DF">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资金投入</w:t>
            </w:r>
          </w:p>
          <w:p w14:paraId="3D38CB46">
            <w:pPr>
              <w:spacing w:line="0" w:lineRule="atLeast"/>
              <w:jc w:val="center"/>
              <w:rPr>
                <w:rFonts w:ascii="宋体" w:hAnsi="宋体" w:cs="宋体"/>
                <w:color w:val="000000"/>
                <w:kern w:val="0"/>
                <w:sz w:val="22"/>
              </w:rPr>
            </w:pPr>
            <w:r>
              <w:rPr>
                <w:rFonts w:hint="eastAsia" w:ascii="宋体" w:hAnsi="宋体" w:cs="宋体"/>
                <w:color w:val="000000"/>
                <w:kern w:val="0"/>
                <w:sz w:val="22"/>
              </w:rPr>
              <w:t>　</w:t>
            </w:r>
          </w:p>
        </w:tc>
        <w:tc>
          <w:tcPr>
            <w:tcW w:w="1875" w:type="dxa"/>
            <w:tcBorders>
              <w:right w:val="single" w:color="auto" w:sz="4" w:space="0"/>
            </w:tcBorders>
            <w:shd w:val="clear" w:color="auto" w:fill="FFFFFF"/>
            <w:vAlign w:val="center"/>
          </w:tcPr>
          <w:p w14:paraId="689432A2">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预算编制</w:t>
            </w:r>
          </w:p>
          <w:p w14:paraId="76B420F9">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科学性</w:t>
            </w:r>
          </w:p>
        </w:tc>
        <w:tc>
          <w:tcPr>
            <w:tcW w:w="3885" w:type="dxa"/>
            <w:tcBorders>
              <w:right w:val="single" w:color="auto" w:sz="4" w:space="0"/>
            </w:tcBorders>
            <w:shd w:val="clear" w:color="auto" w:fill="FFFFFF"/>
            <w:vAlign w:val="center"/>
          </w:tcPr>
          <w:p w14:paraId="5B190A78">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项目预算编制是否经过科学论证、有明确标准，资金额度与年度目标是否相适应，用以反映和考核项目预算编制的科学性、合理性情况。</w:t>
            </w:r>
          </w:p>
        </w:tc>
        <w:tc>
          <w:tcPr>
            <w:tcW w:w="990" w:type="dxa"/>
            <w:tcBorders>
              <w:left w:val="single" w:color="auto" w:sz="4" w:space="0"/>
            </w:tcBorders>
            <w:shd w:val="clear" w:color="auto" w:fill="FFFFFF"/>
            <w:vAlign w:val="top"/>
          </w:tcPr>
          <w:p w14:paraId="2E0FA843">
            <w:pPr>
              <w:spacing w:line="600" w:lineRule="auto"/>
              <w:jc w:val="center"/>
            </w:pPr>
            <w:r>
              <w:rPr>
                <w:rFonts w:hint="eastAsia"/>
                <w:lang w:val="en-US" w:eastAsia="zh-CN"/>
              </w:rPr>
              <w:t>2.5</w:t>
            </w:r>
          </w:p>
        </w:tc>
        <w:tc>
          <w:tcPr>
            <w:tcW w:w="874" w:type="dxa"/>
            <w:tcBorders>
              <w:bottom w:val="single" w:color="auto" w:sz="4" w:space="0"/>
            </w:tcBorders>
            <w:shd w:val="clear" w:color="auto" w:fill="FFFFFF"/>
            <w:vAlign w:val="top"/>
          </w:tcPr>
          <w:p w14:paraId="59409BFF">
            <w:pPr>
              <w:spacing w:line="600" w:lineRule="auto"/>
              <w:jc w:val="center"/>
            </w:pPr>
            <w:r>
              <w:rPr>
                <w:rFonts w:hint="eastAsia"/>
                <w:lang w:val="en-US" w:eastAsia="zh-CN"/>
              </w:rPr>
              <w:t>2.5</w:t>
            </w:r>
          </w:p>
        </w:tc>
      </w:tr>
      <w:tr w14:paraId="75265D9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54" w:hRule="atLeast"/>
          <w:jc w:val="center"/>
        </w:trPr>
        <w:tc>
          <w:tcPr>
            <w:tcW w:w="757" w:type="dxa"/>
            <w:vMerge w:val="continue"/>
            <w:shd w:val="clear" w:color="auto" w:fill="FFFFFF"/>
            <w:vAlign w:val="center"/>
          </w:tcPr>
          <w:p w14:paraId="1320FBFF">
            <w:pPr>
              <w:widowControl/>
              <w:spacing w:line="0" w:lineRule="atLeast"/>
              <w:jc w:val="center"/>
              <w:rPr>
                <w:rFonts w:ascii="宋体" w:hAnsi="宋体" w:cs="宋体"/>
                <w:color w:val="000000"/>
                <w:kern w:val="0"/>
                <w:sz w:val="22"/>
              </w:rPr>
            </w:pPr>
          </w:p>
        </w:tc>
        <w:tc>
          <w:tcPr>
            <w:tcW w:w="1478" w:type="dxa"/>
            <w:vMerge w:val="continue"/>
            <w:shd w:val="clear" w:color="auto" w:fill="FFFFFF"/>
            <w:vAlign w:val="center"/>
          </w:tcPr>
          <w:p w14:paraId="2362B61D">
            <w:pPr>
              <w:widowControl/>
              <w:spacing w:line="0" w:lineRule="atLeast"/>
              <w:jc w:val="center"/>
              <w:rPr>
                <w:rFonts w:ascii="宋体" w:hAnsi="宋体" w:cs="宋体"/>
                <w:color w:val="000000"/>
                <w:kern w:val="0"/>
                <w:sz w:val="22"/>
              </w:rPr>
            </w:pPr>
          </w:p>
        </w:tc>
        <w:tc>
          <w:tcPr>
            <w:tcW w:w="1875" w:type="dxa"/>
            <w:tcBorders>
              <w:right w:val="single" w:color="auto" w:sz="4" w:space="0"/>
            </w:tcBorders>
            <w:shd w:val="clear" w:color="auto" w:fill="FFFFFF"/>
            <w:vAlign w:val="center"/>
          </w:tcPr>
          <w:p w14:paraId="24AFAEA4">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资金分配</w:t>
            </w:r>
          </w:p>
          <w:p w14:paraId="1413C87F">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合理性</w:t>
            </w:r>
          </w:p>
        </w:tc>
        <w:tc>
          <w:tcPr>
            <w:tcW w:w="3885" w:type="dxa"/>
            <w:tcBorders>
              <w:right w:val="single" w:color="auto" w:sz="4" w:space="0"/>
            </w:tcBorders>
            <w:shd w:val="clear" w:color="auto" w:fill="FFFFFF"/>
            <w:vAlign w:val="center"/>
          </w:tcPr>
          <w:p w14:paraId="42E4DCAA">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项目预算资金分配是否有测算依据，与补助单位或地方实际是否相适应，用以反映和考核项目预算资金分配的科学性、合理性情况。</w:t>
            </w:r>
          </w:p>
        </w:tc>
        <w:tc>
          <w:tcPr>
            <w:tcW w:w="990" w:type="dxa"/>
            <w:tcBorders>
              <w:left w:val="single" w:color="auto" w:sz="4" w:space="0"/>
            </w:tcBorders>
            <w:shd w:val="clear" w:color="auto" w:fill="FFFFFF"/>
            <w:vAlign w:val="top"/>
          </w:tcPr>
          <w:p w14:paraId="44178B2A">
            <w:pPr>
              <w:spacing w:line="600" w:lineRule="auto"/>
              <w:jc w:val="center"/>
            </w:pPr>
            <w:r>
              <w:rPr>
                <w:rFonts w:hint="eastAsia"/>
                <w:lang w:val="en-US" w:eastAsia="zh-CN"/>
              </w:rPr>
              <w:t>2.5</w:t>
            </w:r>
          </w:p>
        </w:tc>
        <w:tc>
          <w:tcPr>
            <w:tcW w:w="874" w:type="dxa"/>
            <w:shd w:val="clear" w:color="auto" w:fill="FFFFFF"/>
            <w:vAlign w:val="top"/>
          </w:tcPr>
          <w:p w14:paraId="1D4CEC74">
            <w:pPr>
              <w:spacing w:line="600" w:lineRule="auto"/>
              <w:jc w:val="center"/>
            </w:pPr>
            <w:r>
              <w:rPr>
                <w:rFonts w:hint="eastAsia"/>
                <w:lang w:val="en-US" w:eastAsia="zh-CN"/>
              </w:rPr>
              <w:t>2.5</w:t>
            </w:r>
          </w:p>
        </w:tc>
      </w:tr>
      <w:tr w14:paraId="593BC21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8" w:hRule="atLeast"/>
          <w:jc w:val="center"/>
        </w:trPr>
        <w:tc>
          <w:tcPr>
            <w:tcW w:w="757" w:type="dxa"/>
            <w:vMerge w:val="restart"/>
            <w:shd w:val="clear" w:color="auto" w:fill="FFFFFF"/>
            <w:vAlign w:val="center"/>
          </w:tcPr>
          <w:p w14:paraId="485321F3">
            <w:pPr>
              <w:spacing w:line="0" w:lineRule="atLeast"/>
              <w:jc w:val="center"/>
              <w:rPr>
                <w:rFonts w:ascii="宋体" w:hAnsi="宋体" w:cs="宋体"/>
                <w:color w:val="000000"/>
                <w:kern w:val="0"/>
                <w:sz w:val="22"/>
              </w:rPr>
            </w:pPr>
            <w:r>
              <w:rPr>
                <w:rFonts w:hint="eastAsia" w:ascii="宋体" w:hAnsi="宋体" w:cs="宋体"/>
                <w:color w:val="000000"/>
                <w:kern w:val="0"/>
                <w:sz w:val="22"/>
              </w:rPr>
              <w:t>过程</w:t>
            </w:r>
          </w:p>
        </w:tc>
        <w:tc>
          <w:tcPr>
            <w:tcW w:w="1478" w:type="dxa"/>
            <w:vMerge w:val="restart"/>
            <w:shd w:val="clear" w:color="auto" w:fill="FFFFFF"/>
            <w:vAlign w:val="center"/>
          </w:tcPr>
          <w:p w14:paraId="4AAE3C5D">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资金管理</w:t>
            </w:r>
          </w:p>
        </w:tc>
        <w:tc>
          <w:tcPr>
            <w:tcW w:w="1875" w:type="dxa"/>
            <w:tcBorders>
              <w:right w:val="single" w:color="auto" w:sz="4" w:space="0"/>
            </w:tcBorders>
            <w:shd w:val="clear" w:color="auto" w:fill="FFFFFF"/>
            <w:vAlign w:val="center"/>
          </w:tcPr>
          <w:p w14:paraId="70DE44A8">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资金到位率</w:t>
            </w:r>
          </w:p>
        </w:tc>
        <w:tc>
          <w:tcPr>
            <w:tcW w:w="3885" w:type="dxa"/>
            <w:tcBorders>
              <w:right w:val="single" w:color="auto" w:sz="4" w:space="0"/>
            </w:tcBorders>
            <w:shd w:val="clear" w:color="000000" w:fill="FFFFFF"/>
            <w:vAlign w:val="center"/>
          </w:tcPr>
          <w:p w14:paraId="14031CDF">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实际到位资金与预算资金的比率，用以反映和考核资金落实情况对项目实施的总体保障程度。</w:t>
            </w:r>
          </w:p>
        </w:tc>
        <w:tc>
          <w:tcPr>
            <w:tcW w:w="990" w:type="dxa"/>
            <w:tcBorders>
              <w:left w:val="single" w:color="auto" w:sz="4" w:space="0"/>
            </w:tcBorders>
            <w:shd w:val="clear" w:color="000000" w:fill="FFFFFF"/>
            <w:vAlign w:val="top"/>
          </w:tcPr>
          <w:p w14:paraId="4D9063B5">
            <w:pPr>
              <w:spacing w:line="600" w:lineRule="auto"/>
              <w:jc w:val="center"/>
            </w:pPr>
            <w:r>
              <w:rPr>
                <w:rFonts w:hint="eastAsia"/>
                <w:lang w:val="en-US" w:eastAsia="zh-CN"/>
              </w:rPr>
              <w:t>4</w:t>
            </w:r>
          </w:p>
        </w:tc>
        <w:tc>
          <w:tcPr>
            <w:tcW w:w="874" w:type="dxa"/>
            <w:tcBorders>
              <w:bottom w:val="single" w:color="auto" w:sz="4" w:space="0"/>
            </w:tcBorders>
            <w:shd w:val="clear" w:color="000000" w:fill="FFFFFF"/>
            <w:vAlign w:val="top"/>
          </w:tcPr>
          <w:p w14:paraId="3F6702DC">
            <w:pPr>
              <w:spacing w:line="600" w:lineRule="auto"/>
              <w:jc w:val="center"/>
            </w:pPr>
            <w:r>
              <w:rPr>
                <w:rFonts w:hint="eastAsia"/>
                <w:lang w:val="en-US" w:eastAsia="zh-CN"/>
              </w:rPr>
              <w:t>4</w:t>
            </w:r>
          </w:p>
        </w:tc>
      </w:tr>
      <w:tr w14:paraId="6724D72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82" w:hRule="atLeast"/>
          <w:jc w:val="center"/>
        </w:trPr>
        <w:tc>
          <w:tcPr>
            <w:tcW w:w="757" w:type="dxa"/>
            <w:vMerge w:val="continue"/>
            <w:shd w:val="clear" w:color="auto" w:fill="FFFFFF"/>
            <w:vAlign w:val="center"/>
          </w:tcPr>
          <w:p w14:paraId="7C11F54B">
            <w:pPr>
              <w:spacing w:line="0" w:lineRule="atLeast"/>
              <w:jc w:val="center"/>
              <w:rPr>
                <w:rFonts w:ascii="宋体" w:hAnsi="宋体" w:cs="宋体"/>
                <w:color w:val="000000"/>
                <w:kern w:val="0"/>
                <w:sz w:val="22"/>
              </w:rPr>
            </w:pPr>
          </w:p>
        </w:tc>
        <w:tc>
          <w:tcPr>
            <w:tcW w:w="1478" w:type="dxa"/>
            <w:vMerge w:val="continue"/>
            <w:shd w:val="clear" w:color="auto" w:fill="FFFFFF"/>
            <w:vAlign w:val="center"/>
          </w:tcPr>
          <w:p w14:paraId="6C79A73F">
            <w:pPr>
              <w:spacing w:line="0" w:lineRule="atLeast"/>
              <w:jc w:val="center"/>
              <w:rPr>
                <w:rFonts w:ascii="宋体" w:hAnsi="宋体" w:cs="宋体"/>
                <w:color w:val="000000"/>
                <w:kern w:val="0"/>
                <w:sz w:val="22"/>
              </w:rPr>
            </w:pPr>
          </w:p>
        </w:tc>
        <w:tc>
          <w:tcPr>
            <w:tcW w:w="1875" w:type="dxa"/>
            <w:tcBorders>
              <w:right w:val="single" w:color="auto" w:sz="4" w:space="0"/>
            </w:tcBorders>
            <w:shd w:val="clear" w:color="auto" w:fill="FFFFFF"/>
            <w:vAlign w:val="center"/>
          </w:tcPr>
          <w:p w14:paraId="4659596C">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预算执行率</w:t>
            </w:r>
          </w:p>
        </w:tc>
        <w:tc>
          <w:tcPr>
            <w:tcW w:w="3885" w:type="dxa"/>
            <w:tcBorders>
              <w:right w:val="single" w:color="auto" w:sz="4" w:space="0"/>
            </w:tcBorders>
            <w:shd w:val="clear" w:color="auto" w:fill="FFFFFF"/>
            <w:vAlign w:val="center"/>
          </w:tcPr>
          <w:p w14:paraId="2A1503C1">
            <w:pPr>
              <w:widowControl/>
              <w:spacing w:line="0" w:lineRule="atLeast"/>
              <w:jc w:val="center"/>
              <w:rPr>
                <w:rFonts w:ascii="宋体" w:hAnsi="宋体" w:cs="宋体"/>
                <w:color w:val="000000"/>
                <w:kern w:val="0"/>
                <w:sz w:val="22"/>
              </w:rPr>
            </w:pPr>
            <w:r>
              <w:rPr>
                <w:rFonts w:hint="eastAsia" w:ascii="宋体" w:hAnsi="宋体" w:cs="宋体"/>
                <w:color w:val="auto"/>
                <w:kern w:val="0"/>
                <w:sz w:val="22"/>
                <w:highlight w:val="none"/>
              </w:rPr>
              <w:t>项目预算资金是否按照计划执行，用以反映或考核项目预算执行情况</w:t>
            </w:r>
          </w:p>
        </w:tc>
        <w:tc>
          <w:tcPr>
            <w:tcW w:w="990" w:type="dxa"/>
            <w:tcBorders>
              <w:left w:val="single" w:color="auto" w:sz="4" w:space="0"/>
            </w:tcBorders>
            <w:shd w:val="clear" w:color="auto" w:fill="FFFFFF"/>
            <w:vAlign w:val="top"/>
          </w:tcPr>
          <w:p w14:paraId="1A7641A5">
            <w:pPr>
              <w:spacing w:line="600" w:lineRule="auto"/>
              <w:jc w:val="center"/>
            </w:pPr>
            <w:r>
              <w:rPr>
                <w:rFonts w:hint="eastAsia"/>
                <w:color w:val="auto"/>
                <w:highlight w:val="none"/>
                <w:lang w:val="en-US" w:eastAsia="zh-CN"/>
              </w:rPr>
              <w:t>4</w:t>
            </w:r>
          </w:p>
        </w:tc>
        <w:tc>
          <w:tcPr>
            <w:tcW w:w="874" w:type="dxa"/>
            <w:tcBorders>
              <w:bottom w:val="single" w:color="auto" w:sz="4" w:space="0"/>
            </w:tcBorders>
            <w:shd w:val="clear" w:color="auto" w:fill="FFFFFF"/>
            <w:vAlign w:val="top"/>
          </w:tcPr>
          <w:p w14:paraId="7E8F3B3F">
            <w:pPr>
              <w:spacing w:line="600" w:lineRule="auto"/>
              <w:jc w:val="center"/>
            </w:pPr>
            <w:r>
              <w:rPr>
                <w:rFonts w:hint="eastAsia"/>
                <w:color w:val="auto"/>
                <w:highlight w:val="none"/>
                <w:lang w:val="en-US" w:eastAsia="zh-CN"/>
              </w:rPr>
              <w:t>1.5</w:t>
            </w:r>
          </w:p>
        </w:tc>
      </w:tr>
      <w:tr w14:paraId="0E97069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7" w:hRule="atLeast"/>
          <w:jc w:val="center"/>
        </w:trPr>
        <w:tc>
          <w:tcPr>
            <w:tcW w:w="757" w:type="dxa"/>
            <w:vMerge w:val="continue"/>
            <w:shd w:val="clear" w:color="auto" w:fill="FFFFFF"/>
            <w:vAlign w:val="center"/>
          </w:tcPr>
          <w:p w14:paraId="2C0B2D73">
            <w:pPr>
              <w:spacing w:line="0" w:lineRule="atLeast"/>
              <w:jc w:val="center"/>
              <w:rPr>
                <w:rFonts w:ascii="宋体" w:hAnsi="宋体" w:cs="宋体"/>
                <w:color w:val="000000"/>
                <w:kern w:val="0"/>
                <w:sz w:val="22"/>
              </w:rPr>
            </w:pPr>
          </w:p>
        </w:tc>
        <w:tc>
          <w:tcPr>
            <w:tcW w:w="1478" w:type="dxa"/>
            <w:shd w:val="clear" w:color="auto" w:fill="FFFFFF"/>
            <w:vAlign w:val="center"/>
          </w:tcPr>
          <w:p w14:paraId="0B41FBAF">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资金管理</w:t>
            </w:r>
          </w:p>
        </w:tc>
        <w:tc>
          <w:tcPr>
            <w:tcW w:w="1875" w:type="dxa"/>
            <w:tcBorders>
              <w:right w:val="single" w:color="auto" w:sz="4" w:space="0"/>
            </w:tcBorders>
            <w:shd w:val="clear" w:color="auto" w:fill="FFFFFF"/>
            <w:vAlign w:val="center"/>
          </w:tcPr>
          <w:p w14:paraId="24C8FF3B">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资金使用</w:t>
            </w:r>
          </w:p>
          <w:p w14:paraId="145716B9">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合规性</w:t>
            </w:r>
          </w:p>
        </w:tc>
        <w:tc>
          <w:tcPr>
            <w:tcW w:w="3885" w:type="dxa"/>
            <w:tcBorders>
              <w:right w:val="single" w:color="auto" w:sz="4" w:space="0"/>
            </w:tcBorders>
            <w:shd w:val="clear" w:color="000000" w:fill="FFFFFF"/>
            <w:vAlign w:val="center"/>
          </w:tcPr>
          <w:p w14:paraId="2DCF68D2">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项目资金使用是否符合相关的财务管理制度规定，用以反映和考核项目资金的规范运行情况。</w:t>
            </w:r>
          </w:p>
        </w:tc>
        <w:tc>
          <w:tcPr>
            <w:tcW w:w="990" w:type="dxa"/>
            <w:tcBorders>
              <w:left w:val="single" w:color="auto" w:sz="4" w:space="0"/>
            </w:tcBorders>
            <w:shd w:val="clear" w:color="000000" w:fill="FFFFFF"/>
            <w:vAlign w:val="top"/>
          </w:tcPr>
          <w:p w14:paraId="40C8A889">
            <w:pPr>
              <w:spacing w:line="600" w:lineRule="auto"/>
              <w:jc w:val="center"/>
            </w:pPr>
            <w:r>
              <w:rPr>
                <w:rFonts w:hint="eastAsia"/>
                <w:lang w:val="en-US" w:eastAsia="zh-CN"/>
              </w:rPr>
              <w:t>4</w:t>
            </w:r>
          </w:p>
        </w:tc>
        <w:tc>
          <w:tcPr>
            <w:tcW w:w="874" w:type="dxa"/>
            <w:tcBorders>
              <w:bottom w:val="single" w:color="auto" w:sz="4" w:space="0"/>
            </w:tcBorders>
            <w:shd w:val="clear" w:color="000000" w:fill="FFFFFF"/>
            <w:vAlign w:val="top"/>
          </w:tcPr>
          <w:p w14:paraId="1C19F463">
            <w:pPr>
              <w:spacing w:line="600" w:lineRule="auto"/>
              <w:jc w:val="center"/>
            </w:pPr>
            <w:r>
              <w:rPr>
                <w:rFonts w:hint="eastAsia"/>
                <w:lang w:val="en-US" w:eastAsia="zh-CN"/>
              </w:rPr>
              <w:t>4</w:t>
            </w:r>
          </w:p>
        </w:tc>
      </w:tr>
      <w:tr w14:paraId="02BFAE6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86" w:hRule="atLeast"/>
          <w:jc w:val="center"/>
        </w:trPr>
        <w:tc>
          <w:tcPr>
            <w:tcW w:w="757" w:type="dxa"/>
            <w:vMerge w:val="continue"/>
            <w:shd w:val="clear" w:color="auto" w:fill="FFFFFF"/>
            <w:vAlign w:val="center"/>
          </w:tcPr>
          <w:p w14:paraId="00BCF60A">
            <w:pPr>
              <w:spacing w:line="0" w:lineRule="atLeast"/>
              <w:jc w:val="center"/>
              <w:rPr>
                <w:rFonts w:ascii="宋体" w:hAnsi="宋体" w:cs="宋体"/>
                <w:color w:val="000000"/>
                <w:kern w:val="0"/>
                <w:sz w:val="22"/>
              </w:rPr>
            </w:pPr>
          </w:p>
        </w:tc>
        <w:tc>
          <w:tcPr>
            <w:tcW w:w="1478" w:type="dxa"/>
            <w:vMerge w:val="restart"/>
            <w:shd w:val="clear" w:color="auto" w:fill="FFFFFF"/>
            <w:vAlign w:val="center"/>
          </w:tcPr>
          <w:p w14:paraId="23F5444A">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组织实施</w:t>
            </w:r>
          </w:p>
          <w:p w14:paraId="7A5C453A">
            <w:pPr>
              <w:spacing w:line="0" w:lineRule="atLeast"/>
              <w:jc w:val="center"/>
              <w:rPr>
                <w:rFonts w:ascii="宋体" w:hAnsi="宋体" w:cs="宋体"/>
                <w:color w:val="000000"/>
                <w:kern w:val="0"/>
                <w:sz w:val="22"/>
              </w:rPr>
            </w:pPr>
            <w:r>
              <w:rPr>
                <w:rFonts w:hint="eastAsia" w:ascii="宋体" w:hAnsi="宋体" w:cs="宋体"/>
                <w:color w:val="000000"/>
                <w:kern w:val="0"/>
                <w:sz w:val="22"/>
              </w:rPr>
              <w:t>　</w:t>
            </w:r>
          </w:p>
        </w:tc>
        <w:tc>
          <w:tcPr>
            <w:tcW w:w="1875" w:type="dxa"/>
            <w:tcBorders>
              <w:right w:val="single" w:color="auto" w:sz="4" w:space="0"/>
            </w:tcBorders>
            <w:shd w:val="clear" w:color="auto" w:fill="FFFFFF"/>
            <w:vAlign w:val="center"/>
          </w:tcPr>
          <w:p w14:paraId="2EDCDB2C">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管理制度</w:t>
            </w:r>
          </w:p>
          <w:p w14:paraId="64625B63">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健全性</w:t>
            </w:r>
          </w:p>
        </w:tc>
        <w:tc>
          <w:tcPr>
            <w:tcW w:w="3885" w:type="dxa"/>
            <w:tcBorders>
              <w:right w:val="single" w:color="auto" w:sz="4" w:space="0"/>
            </w:tcBorders>
            <w:shd w:val="clear" w:color="000000" w:fill="FFFFFF"/>
            <w:vAlign w:val="center"/>
          </w:tcPr>
          <w:p w14:paraId="45C1BB7C">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项目实施单位的财务和业务管理制度是否健全，用以反映和考核财务和业务管理制度对项目顺利实施的保障情况。</w:t>
            </w:r>
          </w:p>
        </w:tc>
        <w:tc>
          <w:tcPr>
            <w:tcW w:w="990" w:type="dxa"/>
            <w:tcBorders>
              <w:left w:val="single" w:color="auto" w:sz="4" w:space="0"/>
            </w:tcBorders>
            <w:shd w:val="clear" w:color="000000" w:fill="FFFFFF"/>
            <w:vAlign w:val="top"/>
          </w:tcPr>
          <w:p w14:paraId="346848D1">
            <w:pPr>
              <w:spacing w:line="600" w:lineRule="auto"/>
              <w:jc w:val="center"/>
            </w:pPr>
            <w:r>
              <w:rPr>
                <w:rFonts w:hint="eastAsia"/>
                <w:lang w:val="en-US" w:eastAsia="zh-CN"/>
              </w:rPr>
              <w:t>4</w:t>
            </w:r>
          </w:p>
        </w:tc>
        <w:tc>
          <w:tcPr>
            <w:tcW w:w="874" w:type="dxa"/>
            <w:tcBorders>
              <w:bottom w:val="single" w:color="auto" w:sz="4" w:space="0"/>
            </w:tcBorders>
            <w:shd w:val="clear" w:color="000000" w:fill="FFFFFF"/>
            <w:vAlign w:val="top"/>
          </w:tcPr>
          <w:p w14:paraId="54EDF409">
            <w:pPr>
              <w:spacing w:line="600" w:lineRule="auto"/>
              <w:jc w:val="center"/>
            </w:pPr>
            <w:r>
              <w:rPr>
                <w:rFonts w:hint="eastAsia"/>
                <w:lang w:val="en-US" w:eastAsia="zh-CN"/>
              </w:rPr>
              <w:t>4</w:t>
            </w:r>
          </w:p>
        </w:tc>
      </w:tr>
      <w:tr w14:paraId="0ABD14C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777" w:hRule="atLeast"/>
          <w:jc w:val="center"/>
        </w:trPr>
        <w:tc>
          <w:tcPr>
            <w:tcW w:w="757" w:type="dxa"/>
            <w:vMerge w:val="continue"/>
            <w:shd w:val="clear" w:color="auto" w:fill="FFFFFF"/>
            <w:vAlign w:val="center"/>
          </w:tcPr>
          <w:p w14:paraId="23103643">
            <w:pPr>
              <w:widowControl/>
              <w:spacing w:line="0" w:lineRule="atLeast"/>
              <w:jc w:val="center"/>
              <w:rPr>
                <w:rFonts w:ascii="宋体" w:hAnsi="宋体" w:cs="宋体"/>
                <w:color w:val="000000"/>
                <w:kern w:val="0"/>
                <w:sz w:val="22"/>
              </w:rPr>
            </w:pPr>
          </w:p>
        </w:tc>
        <w:tc>
          <w:tcPr>
            <w:tcW w:w="1478" w:type="dxa"/>
            <w:vMerge w:val="continue"/>
            <w:shd w:val="clear" w:color="auto" w:fill="FFFFFF"/>
            <w:vAlign w:val="center"/>
          </w:tcPr>
          <w:p w14:paraId="6FD59621">
            <w:pPr>
              <w:widowControl/>
              <w:spacing w:line="0" w:lineRule="atLeast"/>
              <w:jc w:val="center"/>
              <w:rPr>
                <w:rFonts w:ascii="宋体" w:hAnsi="宋体" w:cs="宋体"/>
                <w:color w:val="000000"/>
                <w:kern w:val="0"/>
                <w:sz w:val="22"/>
              </w:rPr>
            </w:pPr>
          </w:p>
        </w:tc>
        <w:tc>
          <w:tcPr>
            <w:tcW w:w="1875" w:type="dxa"/>
            <w:tcBorders>
              <w:right w:val="single" w:color="auto" w:sz="4" w:space="0"/>
            </w:tcBorders>
            <w:shd w:val="clear" w:color="auto" w:fill="FFFFFF"/>
            <w:vAlign w:val="center"/>
          </w:tcPr>
          <w:p w14:paraId="4574A8C6">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制度执行</w:t>
            </w:r>
          </w:p>
          <w:p w14:paraId="76FC46C8">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有效性</w:t>
            </w:r>
          </w:p>
        </w:tc>
        <w:tc>
          <w:tcPr>
            <w:tcW w:w="3885" w:type="dxa"/>
            <w:tcBorders>
              <w:right w:val="single" w:color="auto" w:sz="4" w:space="0"/>
            </w:tcBorders>
            <w:shd w:val="clear" w:color="000000" w:fill="FFFFFF"/>
            <w:vAlign w:val="center"/>
          </w:tcPr>
          <w:p w14:paraId="40EFD041">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项目实施是否符合相关管理规定，用以反映和考核相关管理制度的有效执行情况。</w:t>
            </w:r>
          </w:p>
        </w:tc>
        <w:tc>
          <w:tcPr>
            <w:tcW w:w="990" w:type="dxa"/>
            <w:tcBorders>
              <w:left w:val="single" w:color="auto" w:sz="4" w:space="0"/>
            </w:tcBorders>
            <w:shd w:val="clear" w:color="000000" w:fill="FFFFFF"/>
            <w:vAlign w:val="top"/>
          </w:tcPr>
          <w:p w14:paraId="6EB7363B">
            <w:pPr>
              <w:spacing w:line="600" w:lineRule="auto"/>
              <w:jc w:val="center"/>
            </w:pPr>
            <w:r>
              <w:rPr>
                <w:rFonts w:hint="eastAsia"/>
                <w:lang w:val="en-US" w:eastAsia="zh-CN"/>
              </w:rPr>
              <w:t>4</w:t>
            </w:r>
          </w:p>
        </w:tc>
        <w:tc>
          <w:tcPr>
            <w:tcW w:w="874" w:type="dxa"/>
            <w:tcBorders>
              <w:bottom w:val="single" w:color="auto" w:sz="4" w:space="0"/>
            </w:tcBorders>
            <w:shd w:val="clear" w:color="000000" w:fill="FFFFFF"/>
            <w:vAlign w:val="top"/>
          </w:tcPr>
          <w:p w14:paraId="5E286F59">
            <w:pPr>
              <w:spacing w:line="600" w:lineRule="auto"/>
              <w:jc w:val="center"/>
            </w:pPr>
            <w:r>
              <w:rPr>
                <w:rFonts w:hint="eastAsia"/>
                <w:lang w:val="en-US" w:eastAsia="zh-CN"/>
              </w:rPr>
              <w:t>4</w:t>
            </w:r>
          </w:p>
        </w:tc>
      </w:tr>
      <w:tr w14:paraId="4BA229B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36" w:hRule="atLeast"/>
          <w:jc w:val="center"/>
        </w:trPr>
        <w:tc>
          <w:tcPr>
            <w:tcW w:w="757" w:type="dxa"/>
            <w:vMerge w:val="restart"/>
            <w:shd w:val="clear" w:color="auto" w:fill="FFFFFF"/>
            <w:vAlign w:val="center"/>
          </w:tcPr>
          <w:p w14:paraId="785CCDFA">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产出</w:t>
            </w:r>
          </w:p>
        </w:tc>
        <w:tc>
          <w:tcPr>
            <w:tcW w:w="1478" w:type="dxa"/>
            <w:shd w:val="clear" w:color="auto" w:fill="FFFFFF"/>
            <w:vAlign w:val="center"/>
          </w:tcPr>
          <w:p w14:paraId="208F4C67">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产出数量</w:t>
            </w:r>
          </w:p>
        </w:tc>
        <w:tc>
          <w:tcPr>
            <w:tcW w:w="1875" w:type="dxa"/>
            <w:tcBorders>
              <w:right w:val="single" w:color="auto" w:sz="4" w:space="0"/>
            </w:tcBorders>
            <w:shd w:val="clear" w:color="auto" w:fill="FFFFFF"/>
            <w:vAlign w:val="center"/>
          </w:tcPr>
          <w:p w14:paraId="52D866A8">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实际完成率</w:t>
            </w:r>
          </w:p>
        </w:tc>
        <w:tc>
          <w:tcPr>
            <w:tcW w:w="3885" w:type="dxa"/>
            <w:tcBorders>
              <w:right w:val="single" w:color="auto" w:sz="4" w:space="0"/>
            </w:tcBorders>
            <w:shd w:val="clear" w:color="000000" w:fill="FFFFFF"/>
            <w:vAlign w:val="center"/>
          </w:tcPr>
          <w:p w14:paraId="78EC1369">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项目实施的实际产出数与计划产出数的比率，用以反映和考核项目产出数量目标的实现程度。</w:t>
            </w:r>
          </w:p>
        </w:tc>
        <w:tc>
          <w:tcPr>
            <w:tcW w:w="990" w:type="dxa"/>
            <w:tcBorders>
              <w:left w:val="single" w:color="auto" w:sz="4" w:space="0"/>
            </w:tcBorders>
            <w:shd w:val="clear" w:color="000000" w:fill="FFFFFF"/>
            <w:vAlign w:val="top"/>
          </w:tcPr>
          <w:p w14:paraId="0D16B283">
            <w:pPr>
              <w:spacing w:line="600" w:lineRule="auto"/>
              <w:jc w:val="center"/>
            </w:pPr>
            <w:r>
              <w:rPr>
                <w:rFonts w:hint="eastAsia"/>
                <w:lang w:val="en-US" w:eastAsia="zh-CN"/>
              </w:rPr>
              <w:t>10</w:t>
            </w:r>
          </w:p>
        </w:tc>
        <w:tc>
          <w:tcPr>
            <w:tcW w:w="874" w:type="dxa"/>
            <w:shd w:val="clear" w:color="000000" w:fill="FFFFFF"/>
            <w:vAlign w:val="top"/>
          </w:tcPr>
          <w:p w14:paraId="06E915FF">
            <w:pPr>
              <w:spacing w:line="600" w:lineRule="auto"/>
              <w:jc w:val="center"/>
            </w:pPr>
            <w:r>
              <w:rPr>
                <w:rFonts w:hint="eastAsia"/>
                <w:lang w:val="en-US" w:eastAsia="zh-CN"/>
              </w:rPr>
              <w:t>10</w:t>
            </w:r>
          </w:p>
        </w:tc>
      </w:tr>
      <w:tr w14:paraId="2CA3361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4" w:hRule="atLeast"/>
          <w:jc w:val="center"/>
        </w:trPr>
        <w:tc>
          <w:tcPr>
            <w:tcW w:w="757" w:type="dxa"/>
            <w:vMerge w:val="continue"/>
            <w:shd w:val="clear" w:color="auto" w:fill="FFFFFF"/>
            <w:vAlign w:val="center"/>
          </w:tcPr>
          <w:p w14:paraId="41FF0AFF">
            <w:pPr>
              <w:widowControl/>
              <w:spacing w:line="0" w:lineRule="atLeast"/>
              <w:jc w:val="center"/>
              <w:rPr>
                <w:rFonts w:ascii="宋体" w:hAnsi="宋体" w:cs="宋体"/>
                <w:color w:val="000000"/>
                <w:kern w:val="0"/>
                <w:sz w:val="22"/>
              </w:rPr>
            </w:pPr>
          </w:p>
        </w:tc>
        <w:tc>
          <w:tcPr>
            <w:tcW w:w="1478" w:type="dxa"/>
            <w:shd w:val="clear" w:color="auto" w:fill="FFFFFF"/>
            <w:vAlign w:val="center"/>
          </w:tcPr>
          <w:p w14:paraId="7CCCED6D">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产出质量</w:t>
            </w:r>
          </w:p>
        </w:tc>
        <w:tc>
          <w:tcPr>
            <w:tcW w:w="1875" w:type="dxa"/>
            <w:tcBorders>
              <w:right w:val="single" w:color="auto" w:sz="4" w:space="0"/>
            </w:tcBorders>
            <w:shd w:val="clear" w:color="auto" w:fill="FFFFFF"/>
            <w:vAlign w:val="center"/>
          </w:tcPr>
          <w:p w14:paraId="315F26DF">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质量达标率</w:t>
            </w:r>
          </w:p>
        </w:tc>
        <w:tc>
          <w:tcPr>
            <w:tcW w:w="3885" w:type="dxa"/>
            <w:tcBorders>
              <w:right w:val="single" w:color="auto" w:sz="4" w:space="0"/>
            </w:tcBorders>
            <w:shd w:val="clear" w:color="000000" w:fill="FFFFFF"/>
            <w:vAlign w:val="center"/>
          </w:tcPr>
          <w:p w14:paraId="019C2E1D">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项目完成的质量达标产出数与实际产出数的比率，用以反映和考核项目产出质量目标的实现程度。</w:t>
            </w:r>
          </w:p>
        </w:tc>
        <w:tc>
          <w:tcPr>
            <w:tcW w:w="990" w:type="dxa"/>
            <w:tcBorders>
              <w:left w:val="single" w:color="auto" w:sz="4" w:space="0"/>
            </w:tcBorders>
            <w:shd w:val="clear" w:color="000000" w:fill="FFFFFF"/>
            <w:vAlign w:val="top"/>
          </w:tcPr>
          <w:p w14:paraId="4E78452E">
            <w:pPr>
              <w:spacing w:line="600" w:lineRule="auto"/>
              <w:jc w:val="center"/>
            </w:pPr>
            <w:r>
              <w:rPr>
                <w:rFonts w:hint="eastAsia"/>
                <w:lang w:val="en-US" w:eastAsia="zh-CN"/>
              </w:rPr>
              <w:t>10</w:t>
            </w:r>
          </w:p>
        </w:tc>
        <w:tc>
          <w:tcPr>
            <w:tcW w:w="874" w:type="dxa"/>
            <w:shd w:val="clear" w:color="000000" w:fill="FFFFFF"/>
            <w:vAlign w:val="top"/>
          </w:tcPr>
          <w:p w14:paraId="25E6314D">
            <w:pPr>
              <w:spacing w:line="600" w:lineRule="auto"/>
              <w:jc w:val="center"/>
            </w:pPr>
            <w:r>
              <w:rPr>
                <w:rFonts w:hint="eastAsia"/>
                <w:lang w:val="en-US" w:eastAsia="zh-CN"/>
              </w:rPr>
              <w:t>10</w:t>
            </w:r>
          </w:p>
        </w:tc>
      </w:tr>
      <w:tr w14:paraId="07D85E3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09" w:hRule="atLeast"/>
          <w:jc w:val="center"/>
        </w:trPr>
        <w:tc>
          <w:tcPr>
            <w:tcW w:w="757" w:type="dxa"/>
            <w:vMerge w:val="continue"/>
            <w:shd w:val="clear" w:color="auto" w:fill="FFFFFF"/>
            <w:vAlign w:val="center"/>
          </w:tcPr>
          <w:p w14:paraId="3E662287">
            <w:pPr>
              <w:spacing w:line="0" w:lineRule="atLeast"/>
              <w:jc w:val="center"/>
              <w:rPr>
                <w:rFonts w:ascii="宋体" w:hAnsi="宋体" w:cs="宋体"/>
                <w:color w:val="000000"/>
                <w:kern w:val="0"/>
                <w:sz w:val="22"/>
              </w:rPr>
            </w:pPr>
          </w:p>
        </w:tc>
        <w:tc>
          <w:tcPr>
            <w:tcW w:w="1478" w:type="dxa"/>
            <w:shd w:val="clear" w:color="auto" w:fill="FFFFFF"/>
            <w:vAlign w:val="center"/>
          </w:tcPr>
          <w:p w14:paraId="57E03413">
            <w:pPr>
              <w:spacing w:line="0" w:lineRule="atLeast"/>
              <w:jc w:val="center"/>
              <w:rPr>
                <w:rFonts w:ascii="宋体" w:hAnsi="宋体" w:cs="宋体"/>
                <w:color w:val="000000"/>
                <w:kern w:val="0"/>
                <w:sz w:val="22"/>
              </w:rPr>
            </w:pPr>
            <w:r>
              <w:rPr>
                <w:rFonts w:hint="eastAsia" w:ascii="宋体" w:hAnsi="宋体" w:cs="宋体"/>
                <w:color w:val="000000"/>
                <w:kern w:val="0"/>
                <w:sz w:val="22"/>
              </w:rPr>
              <w:t>产出时效</w:t>
            </w:r>
          </w:p>
        </w:tc>
        <w:tc>
          <w:tcPr>
            <w:tcW w:w="1875" w:type="dxa"/>
            <w:tcBorders>
              <w:right w:val="single" w:color="auto" w:sz="4" w:space="0"/>
            </w:tcBorders>
            <w:shd w:val="clear" w:color="auto" w:fill="FFFFFF"/>
            <w:vAlign w:val="center"/>
          </w:tcPr>
          <w:p w14:paraId="5C91D215">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完成及时性</w:t>
            </w:r>
          </w:p>
        </w:tc>
        <w:tc>
          <w:tcPr>
            <w:tcW w:w="3885" w:type="dxa"/>
            <w:tcBorders>
              <w:right w:val="single" w:color="auto" w:sz="4" w:space="0"/>
            </w:tcBorders>
            <w:shd w:val="clear" w:color="000000" w:fill="FFFFFF"/>
            <w:vAlign w:val="center"/>
          </w:tcPr>
          <w:p w14:paraId="65C4712C">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项目实际完成时间与计划完成时间的比较，用以反映和考核项目产出时效目标的实现程度。</w:t>
            </w:r>
          </w:p>
        </w:tc>
        <w:tc>
          <w:tcPr>
            <w:tcW w:w="990" w:type="dxa"/>
            <w:tcBorders>
              <w:left w:val="single" w:color="auto" w:sz="4" w:space="0"/>
            </w:tcBorders>
            <w:shd w:val="clear" w:color="000000" w:fill="FFFFFF"/>
            <w:vAlign w:val="top"/>
          </w:tcPr>
          <w:p w14:paraId="45D74CC5">
            <w:pPr>
              <w:spacing w:line="600" w:lineRule="auto"/>
              <w:jc w:val="center"/>
            </w:pPr>
            <w:r>
              <w:rPr>
                <w:rFonts w:hint="eastAsia"/>
                <w:lang w:val="en-US" w:eastAsia="zh-CN"/>
              </w:rPr>
              <w:t>10</w:t>
            </w:r>
          </w:p>
        </w:tc>
        <w:tc>
          <w:tcPr>
            <w:tcW w:w="874" w:type="dxa"/>
            <w:shd w:val="clear" w:color="000000" w:fill="FFFFFF"/>
            <w:vAlign w:val="top"/>
          </w:tcPr>
          <w:p w14:paraId="30DC0365">
            <w:pPr>
              <w:spacing w:line="600" w:lineRule="auto"/>
              <w:jc w:val="center"/>
            </w:pPr>
            <w:r>
              <w:rPr>
                <w:rFonts w:hint="eastAsia"/>
                <w:lang w:val="en-US" w:eastAsia="zh-CN"/>
              </w:rPr>
              <w:t>10</w:t>
            </w:r>
          </w:p>
        </w:tc>
      </w:tr>
      <w:tr w14:paraId="4509256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16" w:hRule="atLeast"/>
          <w:jc w:val="center"/>
        </w:trPr>
        <w:tc>
          <w:tcPr>
            <w:tcW w:w="757" w:type="dxa"/>
            <w:vMerge w:val="continue"/>
            <w:shd w:val="clear" w:color="auto" w:fill="FFFFFF"/>
            <w:vAlign w:val="center"/>
          </w:tcPr>
          <w:p w14:paraId="61BD28D9">
            <w:pPr>
              <w:widowControl/>
              <w:spacing w:line="0" w:lineRule="atLeast"/>
              <w:jc w:val="center"/>
              <w:rPr>
                <w:rFonts w:ascii="宋体" w:hAnsi="宋体" w:cs="宋体"/>
                <w:color w:val="000000"/>
                <w:kern w:val="0"/>
                <w:sz w:val="22"/>
              </w:rPr>
            </w:pPr>
          </w:p>
        </w:tc>
        <w:tc>
          <w:tcPr>
            <w:tcW w:w="1478" w:type="dxa"/>
            <w:shd w:val="clear" w:color="auto" w:fill="FFFFFF"/>
            <w:vAlign w:val="center"/>
          </w:tcPr>
          <w:p w14:paraId="5EAF887E">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产出成本</w:t>
            </w:r>
          </w:p>
        </w:tc>
        <w:tc>
          <w:tcPr>
            <w:tcW w:w="1875" w:type="dxa"/>
            <w:tcBorders>
              <w:right w:val="single" w:color="auto" w:sz="4" w:space="0"/>
            </w:tcBorders>
            <w:shd w:val="clear" w:color="auto" w:fill="FFFFFF"/>
            <w:vAlign w:val="center"/>
          </w:tcPr>
          <w:p w14:paraId="38AAC47D">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成本节约率</w:t>
            </w:r>
          </w:p>
        </w:tc>
        <w:tc>
          <w:tcPr>
            <w:tcW w:w="3885" w:type="dxa"/>
            <w:tcBorders>
              <w:right w:val="single" w:color="auto" w:sz="4" w:space="0"/>
            </w:tcBorders>
            <w:shd w:val="clear" w:color="auto" w:fill="FFFFFF"/>
            <w:vAlign w:val="center"/>
          </w:tcPr>
          <w:p w14:paraId="269E2206">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完成项目计划工作目标的实际节约成本与计划成本的比率，用以反映和考核项目的成本节约程度。</w:t>
            </w:r>
          </w:p>
        </w:tc>
        <w:tc>
          <w:tcPr>
            <w:tcW w:w="990" w:type="dxa"/>
            <w:tcBorders>
              <w:left w:val="single" w:color="auto" w:sz="4" w:space="0"/>
            </w:tcBorders>
            <w:shd w:val="clear" w:color="auto" w:fill="FFFFFF"/>
            <w:vAlign w:val="top"/>
          </w:tcPr>
          <w:p w14:paraId="46AD356B">
            <w:pPr>
              <w:spacing w:line="600" w:lineRule="auto"/>
              <w:jc w:val="center"/>
            </w:pPr>
            <w:r>
              <w:rPr>
                <w:rFonts w:hint="eastAsia"/>
                <w:lang w:val="en-US" w:eastAsia="zh-CN"/>
              </w:rPr>
              <w:t>10</w:t>
            </w:r>
          </w:p>
        </w:tc>
        <w:tc>
          <w:tcPr>
            <w:tcW w:w="874" w:type="dxa"/>
            <w:shd w:val="clear" w:color="auto" w:fill="FFFFFF"/>
            <w:vAlign w:val="top"/>
          </w:tcPr>
          <w:p w14:paraId="33BD3960">
            <w:pPr>
              <w:spacing w:line="600" w:lineRule="auto"/>
              <w:jc w:val="center"/>
            </w:pPr>
            <w:r>
              <w:rPr>
                <w:rFonts w:hint="eastAsia"/>
                <w:lang w:val="en-US" w:eastAsia="zh-CN"/>
              </w:rPr>
              <w:t>10</w:t>
            </w:r>
          </w:p>
        </w:tc>
      </w:tr>
      <w:tr w14:paraId="0CED69E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05" w:hRule="atLeast"/>
          <w:jc w:val="center"/>
        </w:trPr>
        <w:tc>
          <w:tcPr>
            <w:tcW w:w="757" w:type="dxa"/>
            <w:vMerge w:val="restart"/>
            <w:shd w:val="clear" w:color="auto" w:fill="FFFFFF"/>
            <w:vAlign w:val="center"/>
          </w:tcPr>
          <w:p w14:paraId="4DD43A8A">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效益　</w:t>
            </w:r>
          </w:p>
        </w:tc>
        <w:tc>
          <w:tcPr>
            <w:tcW w:w="1478" w:type="dxa"/>
            <w:vMerge w:val="restart"/>
            <w:shd w:val="clear" w:color="auto" w:fill="FFFFFF"/>
            <w:vAlign w:val="center"/>
          </w:tcPr>
          <w:p w14:paraId="65F1EB80">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项目效益　</w:t>
            </w:r>
          </w:p>
        </w:tc>
        <w:tc>
          <w:tcPr>
            <w:tcW w:w="1875" w:type="dxa"/>
            <w:tcBorders>
              <w:right w:val="single" w:color="auto" w:sz="4" w:space="0"/>
            </w:tcBorders>
            <w:shd w:val="clear" w:color="auto" w:fill="FFFFFF"/>
            <w:vAlign w:val="center"/>
          </w:tcPr>
          <w:p w14:paraId="293D4020">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实施效益</w:t>
            </w:r>
          </w:p>
        </w:tc>
        <w:tc>
          <w:tcPr>
            <w:tcW w:w="3885" w:type="dxa"/>
            <w:tcBorders>
              <w:right w:val="single" w:color="auto" w:sz="4" w:space="0"/>
            </w:tcBorders>
            <w:shd w:val="clear" w:color="auto" w:fill="FFFFFF"/>
            <w:vAlign w:val="center"/>
          </w:tcPr>
          <w:p w14:paraId="0D535188">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项目实施所产生的效益。</w:t>
            </w:r>
          </w:p>
        </w:tc>
        <w:tc>
          <w:tcPr>
            <w:tcW w:w="990" w:type="dxa"/>
            <w:tcBorders>
              <w:left w:val="single" w:color="auto" w:sz="4" w:space="0"/>
            </w:tcBorders>
            <w:shd w:val="clear" w:color="auto" w:fill="FFFFFF"/>
            <w:vAlign w:val="top"/>
          </w:tcPr>
          <w:p w14:paraId="021AC535">
            <w:pPr>
              <w:spacing w:line="600" w:lineRule="auto"/>
              <w:jc w:val="center"/>
            </w:pPr>
            <w:r>
              <w:rPr>
                <w:rFonts w:hint="eastAsia"/>
                <w:lang w:val="en-US" w:eastAsia="zh-CN"/>
              </w:rPr>
              <w:t>15</w:t>
            </w:r>
          </w:p>
        </w:tc>
        <w:tc>
          <w:tcPr>
            <w:tcW w:w="874" w:type="dxa"/>
            <w:shd w:val="clear" w:color="auto" w:fill="FFFFFF"/>
            <w:vAlign w:val="top"/>
          </w:tcPr>
          <w:p w14:paraId="545DA19A">
            <w:pPr>
              <w:spacing w:line="600" w:lineRule="auto"/>
              <w:jc w:val="center"/>
            </w:pPr>
            <w:r>
              <w:rPr>
                <w:rFonts w:hint="eastAsia"/>
                <w:lang w:val="en-US" w:eastAsia="zh-CN"/>
              </w:rPr>
              <w:t>15</w:t>
            </w:r>
          </w:p>
        </w:tc>
      </w:tr>
      <w:tr w14:paraId="5E90B46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20" w:hRule="atLeast"/>
          <w:jc w:val="center"/>
        </w:trPr>
        <w:tc>
          <w:tcPr>
            <w:tcW w:w="757" w:type="dxa"/>
            <w:vMerge w:val="continue"/>
            <w:shd w:val="clear" w:color="auto" w:fill="FFFFFF"/>
            <w:vAlign w:val="center"/>
          </w:tcPr>
          <w:p w14:paraId="1F5990B7">
            <w:pPr>
              <w:widowControl/>
              <w:spacing w:line="0" w:lineRule="atLeast"/>
              <w:jc w:val="center"/>
              <w:rPr>
                <w:rFonts w:ascii="宋体" w:hAnsi="宋体" w:cs="宋体"/>
                <w:color w:val="000000"/>
                <w:kern w:val="0"/>
                <w:sz w:val="22"/>
              </w:rPr>
            </w:pPr>
          </w:p>
        </w:tc>
        <w:tc>
          <w:tcPr>
            <w:tcW w:w="1478" w:type="dxa"/>
            <w:vMerge w:val="continue"/>
            <w:shd w:val="clear" w:color="auto" w:fill="FFFFFF"/>
            <w:vAlign w:val="center"/>
          </w:tcPr>
          <w:p w14:paraId="133B41DD">
            <w:pPr>
              <w:widowControl/>
              <w:spacing w:line="0" w:lineRule="atLeast"/>
              <w:jc w:val="center"/>
              <w:rPr>
                <w:rFonts w:ascii="宋体" w:hAnsi="宋体" w:cs="宋体"/>
                <w:color w:val="000000"/>
                <w:kern w:val="0"/>
                <w:sz w:val="22"/>
              </w:rPr>
            </w:pPr>
          </w:p>
        </w:tc>
        <w:tc>
          <w:tcPr>
            <w:tcW w:w="1875" w:type="dxa"/>
            <w:tcBorders>
              <w:right w:val="single" w:color="auto" w:sz="4" w:space="0"/>
            </w:tcBorders>
            <w:shd w:val="clear" w:color="auto" w:fill="FFFFFF"/>
            <w:vAlign w:val="center"/>
          </w:tcPr>
          <w:p w14:paraId="7516AF6E">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满意度</w:t>
            </w:r>
          </w:p>
        </w:tc>
        <w:tc>
          <w:tcPr>
            <w:tcW w:w="3885" w:type="dxa"/>
            <w:tcBorders>
              <w:right w:val="single" w:color="auto" w:sz="4" w:space="0"/>
            </w:tcBorders>
            <w:shd w:val="clear" w:color="000000" w:fill="FFFFFF"/>
            <w:vAlign w:val="center"/>
          </w:tcPr>
          <w:p w14:paraId="7ADA648B">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社会公众或服务对象对项目实施效果的满意程度。</w:t>
            </w:r>
          </w:p>
        </w:tc>
        <w:tc>
          <w:tcPr>
            <w:tcW w:w="990" w:type="dxa"/>
            <w:tcBorders>
              <w:left w:val="single" w:color="auto" w:sz="4" w:space="0"/>
            </w:tcBorders>
            <w:shd w:val="clear" w:color="000000" w:fill="FFFFFF"/>
            <w:vAlign w:val="top"/>
          </w:tcPr>
          <w:p w14:paraId="5C83A1F5">
            <w:pPr>
              <w:spacing w:line="600" w:lineRule="auto"/>
              <w:jc w:val="center"/>
            </w:pPr>
            <w:r>
              <w:rPr>
                <w:rFonts w:hint="eastAsia"/>
                <w:lang w:val="en-US" w:eastAsia="zh-CN"/>
              </w:rPr>
              <w:t>5</w:t>
            </w:r>
          </w:p>
        </w:tc>
        <w:tc>
          <w:tcPr>
            <w:tcW w:w="874" w:type="dxa"/>
            <w:shd w:val="clear" w:color="000000" w:fill="FFFFFF"/>
            <w:vAlign w:val="top"/>
          </w:tcPr>
          <w:p w14:paraId="3508A897">
            <w:pPr>
              <w:spacing w:line="600" w:lineRule="auto"/>
              <w:jc w:val="center"/>
            </w:pPr>
            <w:r>
              <w:rPr>
                <w:rFonts w:hint="eastAsia"/>
                <w:lang w:val="en-US" w:eastAsia="zh-CN"/>
              </w:rPr>
              <w:t>5</w:t>
            </w:r>
          </w:p>
        </w:tc>
      </w:tr>
      <w:tr w14:paraId="3E10FAC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02" w:hRule="atLeast"/>
          <w:jc w:val="center"/>
        </w:trPr>
        <w:tc>
          <w:tcPr>
            <w:tcW w:w="4110" w:type="dxa"/>
            <w:gridSpan w:val="3"/>
            <w:tcBorders>
              <w:right w:val="single" w:color="auto" w:sz="4" w:space="0"/>
            </w:tcBorders>
            <w:shd w:val="clear" w:color="auto" w:fill="FFFFFF"/>
            <w:vAlign w:val="center"/>
          </w:tcPr>
          <w:p w14:paraId="1A7EA681">
            <w:pPr>
              <w:widowControl/>
              <w:spacing w:line="0" w:lineRule="atLeast"/>
              <w:jc w:val="center"/>
              <w:rPr>
                <w:rFonts w:ascii="宋体" w:hAnsi="宋体" w:cs="宋体"/>
                <w:color w:val="000000"/>
                <w:kern w:val="0"/>
                <w:sz w:val="22"/>
              </w:rPr>
            </w:pPr>
            <w:r>
              <w:rPr>
                <w:rFonts w:hint="eastAsia" w:ascii="宋体" w:hAnsi="宋体" w:cs="宋体"/>
                <w:b/>
                <w:bCs/>
                <w:color w:val="000000"/>
                <w:kern w:val="0"/>
                <w:sz w:val="22"/>
              </w:rPr>
              <w:t>总分</w:t>
            </w:r>
          </w:p>
        </w:tc>
        <w:tc>
          <w:tcPr>
            <w:tcW w:w="3885" w:type="dxa"/>
            <w:tcBorders>
              <w:right w:val="single" w:color="auto" w:sz="4" w:space="0"/>
            </w:tcBorders>
            <w:shd w:val="clear" w:color="auto" w:fill="FFFFFF"/>
            <w:vAlign w:val="top"/>
          </w:tcPr>
          <w:p w14:paraId="7B2B6FBF">
            <w:pPr>
              <w:widowControl/>
              <w:spacing w:line="0" w:lineRule="atLeast"/>
              <w:jc w:val="center"/>
              <w:rPr>
                <w:rFonts w:ascii="宋体" w:hAnsi="宋体" w:cs="宋体"/>
                <w:color w:val="000000"/>
                <w:kern w:val="0"/>
                <w:sz w:val="22"/>
              </w:rPr>
            </w:pPr>
          </w:p>
        </w:tc>
        <w:tc>
          <w:tcPr>
            <w:tcW w:w="990" w:type="dxa"/>
            <w:tcBorders>
              <w:left w:val="single" w:color="auto" w:sz="4" w:space="0"/>
            </w:tcBorders>
            <w:shd w:val="clear" w:color="auto" w:fill="FFFFFF"/>
            <w:vAlign w:val="center"/>
          </w:tcPr>
          <w:p w14:paraId="13C3913B">
            <w:pPr>
              <w:widowControl/>
              <w:spacing w:line="0" w:lineRule="atLeast"/>
              <w:jc w:val="center"/>
              <w:rPr>
                <w:rFonts w:ascii="宋体" w:hAnsi="宋体" w:cs="宋体"/>
                <w:color w:val="000000"/>
                <w:kern w:val="0"/>
                <w:sz w:val="22"/>
              </w:rPr>
            </w:pPr>
            <w:r>
              <w:rPr>
                <w:rFonts w:hint="eastAsia" w:ascii="宋体" w:hAnsi="宋体" w:cs="宋体"/>
                <w:color w:val="000000"/>
                <w:kern w:val="0"/>
                <w:sz w:val="22"/>
                <w:lang w:val="en-US" w:eastAsia="zh-CN"/>
              </w:rPr>
              <w:t>100</w:t>
            </w:r>
          </w:p>
        </w:tc>
        <w:tc>
          <w:tcPr>
            <w:tcW w:w="874" w:type="dxa"/>
            <w:shd w:val="clear" w:color="auto" w:fill="FFFFFF"/>
            <w:vAlign w:val="center"/>
          </w:tcPr>
          <w:p w14:paraId="043FEAC6">
            <w:pPr>
              <w:widowControl/>
              <w:spacing w:line="0" w:lineRule="atLeast"/>
              <w:jc w:val="center"/>
              <w:rPr>
                <w:rFonts w:ascii="宋体" w:hAnsi="宋体" w:cs="宋体"/>
                <w:color w:val="000000"/>
                <w:kern w:val="0"/>
                <w:sz w:val="22"/>
              </w:rPr>
            </w:pPr>
            <w:r>
              <w:rPr>
                <w:rFonts w:hint="eastAsia" w:ascii="宋体" w:hAnsi="宋体" w:cs="宋体"/>
                <w:color w:val="000000"/>
                <w:kern w:val="0"/>
                <w:sz w:val="22"/>
                <w:lang w:val="en-US" w:eastAsia="zh-CN"/>
              </w:rPr>
              <w:t>100</w:t>
            </w:r>
          </w:p>
        </w:tc>
      </w:tr>
    </w:tbl>
    <w:p w14:paraId="67DB77ED">
      <w:pPr>
        <w:sectPr>
          <w:pgSz w:w="11906" w:h="16838"/>
          <w:pgMar w:top="1928" w:right="1531" w:bottom="1701" w:left="1531" w:header="737" w:footer="851" w:gutter="0"/>
          <w:cols w:space="720" w:num="1"/>
          <w:docGrid w:type="lines" w:linePitch="408" w:charSpace="0"/>
        </w:sectPr>
      </w:pPr>
    </w:p>
    <w:p w14:paraId="7AD25E77">
      <w:pPr>
        <w:spacing w:line="360" w:lineRule="auto"/>
      </w:pPr>
      <w:r>
        <w:rPr>
          <w:rFonts w:hint="eastAsia"/>
        </w:rPr>
        <w:t>3、评价方法</w:t>
      </w:r>
    </w:p>
    <w:p w14:paraId="1D07CE42">
      <w:pPr>
        <w:pageBreakBefore w:val="0"/>
        <w:kinsoku/>
        <w:wordWrap/>
        <w:overflowPunct/>
        <w:topLinePunct w:val="0"/>
        <w:autoSpaceDE/>
        <w:autoSpaceDN/>
        <w:bidi w:val="0"/>
        <w:adjustRightInd/>
        <w:snapToGrid/>
        <w:spacing w:line="560" w:lineRule="exact"/>
        <w:ind w:firstLine="640" w:firstLineChars="200"/>
        <w:jc w:val="left"/>
        <w:textAlignment w:val="auto"/>
        <w:rPr>
          <w:rFonts w:hint="eastAsia"/>
          <w:color w:val="000000" w:themeColor="text1"/>
          <w:sz w:val="32"/>
          <w:szCs w:val="32"/>
        </w:rPr>
      </w:pPr>
      <w:r>
        <w:rPr>
          <w:rFonts w:hint="eastAsia"/>
          <w:color w:val="000000" w:themeColor="text1"/>
          <w:sz w:val="32"/>
          <w:szCs w:val="32"/>
        </w:rPr>
        <w:t>本次项目支出绩效自评采用因素分析法，按照财政项目支出绩效自评工作的要求，结合我单位实际情况，组织相关人员根据项目绩效表指标内容，对所有项目内容进行核实和考评。项目评价内容主要围绕：数量指标、质量指标、时效指标、成本指标、社会效益指标、满意度指标等开展。原因是：本项目通过综合分析</w:t>
      </w:r>
      <w:r>
        <w:rPr>
          <w:rFonts w:hint="eastAsia"/>
          <w:color w:val="000000" w:themeColor="text1"/>
          <w:sz w:val="32"/>
          <w:szCs w:val="32"/>
          <w:lang w:val="en-US" w:eastAsia="zh-CN"/>
        </w:rPr>
        <w:t>影响</w:t>
      </w:r>
      <w:r>
        <w:rPr>
          <w:rFonts w:hint="eastAsia"/>
          <w:color w:val="000000" w:themeColor="text1"/>
          <w:sz w:val="32"/>
          <w:szCs w:val="32"/>
        </w:rPr>
        <w:t>项目立项依据、绩效目标、资金投入、使用、产出及效益等方面</w:t>
      </w:r>
      <w:r>
        <w:rPr>
          <w:rFonts w:hint="eastAsia"/>
          <w:color w:val="000000" w:themeColor="text1"/>
          <w:sz w:val="32"/>
          <w:szCs w:val="32"/>
          <w:lang w:eastAsia="zh-CN"/>
        </w:rPr>
        <w:t>的</w:t>
      </w:r>
      <w:r>
        <w:rPr>
          <w:rFonts w:hint="eastAsia"/>
          <w:color w:val="000000" w:themeColor="text1"/>
          <w:sz w:val="32"/>
          <w:szCs w:val="32"/>
          <w:lang w:val="en-US" w:eastAsia="zh-CN"/>
        </w:rPr>
        <w:t>因素</w:t>
      </w:r>
      <w:r>
        <w:rPr>
          <w:rFonts w:hint="eastAsia"/>
          <w:color w:val="000000" w:themeColor="text1"/>
          <w:sz w:val="32"/>
          <w:szCs w:val="32"/>
        </w:rPr>
        <w:t>，</w:t>
      </w:r>
      <w:r>
        <w:rPr>
          <w:rFonts w:hint="eastAsia"/>
          <w:color w:val="000000" w:themeColor="text1"/>
          <w:sz w:val="32"/>
          <w:szCs w:val="32"/>
          <w:lang w:val="en-US" w:eastAsia="zh-CN"/>
        </w:rPr>
        <w:t>判断</w:t>
      </w:r>
      <w:r>
        <w:rPr>
          <w:rFonts w:hint="eastAsia"/>
          <w:color w:val="000000" w:themeColor="text1"/>
          <w:sz w:val="32"/>
          <w:szCs w:val="32"/>
        </w:rPr>
        <w:t>项目实施情况，并在此基础上进行评价。</w:t>
      </w:r>
    </w:p>
    <w:p w14:paraId="44C480B9">
      <w:pPr>
        <w:spacing w:line="360" w:lineRule="auto"/>
      </w:pPr>
    </w:p>
    <w:p w14:paraId="0466EB4B">
      <w:pPr>
        <w:spacing w:line="360" w:lineRule="auto"/>
      </w:pPr>
      <w:r>
        <w:rPr>
          <w:rFonts w:hint="eastAsia"/>
        </w:rPr>
        <w:t>4、评价标准</w:t>
      </w:r>
    </w:p>
    <w:p w14:paraId="6DB9A307">
      <w:pPr>
        <w:spacing w:line="360" w:lineRule="auto"/>
        <w:ind w:firstLine="640" w:firstLineChars="200"/>
        <w:rPr>
          <w:bCs/>
          <w:sz w:val="32"/>
          <w:szCs w:val="32"/>
        </w:rPr>
      </w:pPr>
      <w:r>
        <w:rPr>
          <w:rFonts w:hint="eastAsia" w:ascii="Times New Roman" w:hAnsi="Times New Roman" w:eastAsia="仿宋_GB2312" w:cs="Times New Roman"/>
          <w:color w:val="000000" w:themeColor="text1"/>
          <w:kern w:val="2"/>
          <w:sz w:val="32"/>
          <w:szCs w:val="32"/>
          <w:lang w:val="en-US" w:eastAsia="zh-CN" w:bidi="ar-SA"/>
        </w:rPr>
        <w:t>本次项目支出绩效自评采用计划标准。原因是：本项目通过项目实施方案及</w:t>
      </w:r>
      <w:r>
        <w:rPr>
          <w:rFonts w:ascii="仿宋" w:hAnsi="仿宋" w:eastAsia="仿宋"/>
          <w:color w:val="000000"/>
          <w:szCs w:val="32"/>
        </w:rPr>
        <w:t>退耕还林延长补助</w:t>
      </w:r>
      <w:r>
        <w:rPr>
          <w:rFonts w:hint="eastAsia" w:ascii="Times New Roman" w:hAnsi="Times New Roman" w:eastAsia="仿宋_GB2312" w:cs="Times New Roman"/>
          <w:color w:val="000000" w:themeColor="text1"/>
          <w:kern w:val="2"/>
          <w:sz w:val="32"/>
          <w:szCs w:val="32"/>
          <w:lang w:val="en-US" w:eastAsia="zh-CN" w:bidi="ar-SA"/>
        </w:rPr>
        <w:t>项目指标数据确定三级指标进行自评，使评价结果更加科学真实。</w:t>
      </w:r>
    </w:p>
    <w:p w14:paraId="5BE7017D">
      <w:pPr>
        <w:pStyle w:val="3"/>
        <w:spacing w:before="0" w:after="0" w:line="560" w:lineRule="exact"/>
        <w:ind w:firstLine="640" w:firstLineChars="200"/>
        <w:rPr>
          <w:rFonts w:ascii="仿宋_GB2312" w:eastAsia="仿宋_GB2312"/>
          <w:b w:val="0"/>
          <w:bCs w:val="0"/>
        </w:rPr>
      </w:pPr>
      <w:bookmarkStart w:id="6" w:name="_Toc68703833"/>
      <w:r>
        <w:rPr>
          <w:rFonts w:hint="eastAsia" w:ascii="仿宋_GB2312" w:eastAsia="仿宋_GB2312"/>
          <w:b w:val="0"/>
          <w:bCs w:val="0"/>
        </w:rPr>
        <w:t>（三）绩效评价工作过程。</w:t>
      </w:r>
      <w:bookmarkEnd w:id="6"/>
    </w:p>
    <w:p w14:paraId="4CBC9BA9">
      <w:pPr>
        <w:spacing w:line="560" w:lineRule="exact"/>
        <w:ind w:firstLine="640" w:firstLineChars="200"/>
        <w:rPr>
          <w:bCs/>
          <w:sz w:val="32"/>
          <w:szCs w:val="32"/>
        </w:rPr>
      </w:pPr>
      <w:r>
        <w:rPr>
          <w:rFonts w:hint="eastAsia"/>
          <w:bCs/>
          <w:sz w:val="32"/>
          <w:szCs w:val="32"/>
        </w:rPr>
        <w:t>1.前期准备。首先成立评价工作组，开展前期调研；其次明确项目绩效目标，设计绩效评价指标体系并确定绩效评价方法；接着确定现场和非现场评价范围，设计资料清单；最后制定评价实施方案并进行论证。</w:t>
      </w:r>
    </w:p>
    <w:p w14:paraId="75F568F0">
      <w:pPr>
        <w:spacing w:line="560" w:lineRule="exact"/>
        <w:ind w:firstLine="640" w:firstLineChars="200"/>
        <w:rPr>
          <w:bCs/>
          <w:sz w:val="32"/>
          <w:szCs w:val="32"/>
        </w:rPr>
      </w:pPr>
      <w:r>
        <w:rPr>
          <w:rFonts w:hint="eastAsia"/>
          <w:bCs/>
          <w:sz w:val="32"/>
          <w:szCs w:val="32"/>
        </w:rPr>
        <w:t>2.组织实施。制定绩效评价工作方案，具体包括项目概况、评价思路、方法手段、组织实施、进度安排等。收集项目立项依据、相关会议纪要、实施方案、财政资金分配方案、支付管理情况等相关评价资料并进行梳理。</w:t>
      </w:r>
    </w:p>
    <w:p w14:paraId="56236C18">
      <w:pPr>
        <w:spacing w:line="560" w:lineRule="exact"/>
        <w:ind w:firstLine="640" w:firstLineChars="200"/>
        <w:rPr>
          <w:sz w:val="32"/>
          <w:szCs w:val="32"/>
        </w:rPr>
      </w:pPr>
      <w:r>
        <w:rPr>
          <w:rFonts w:hint="eastAsia"/>
          <w:bCs/>
          <w:sz w:val="32"/>
          <w:szCs w:val="32"/>
        </w:rPr>
        <w:t>3.分析评价。根据收集梳理的资料围绕项目立项、资金落实、业务管理、财务管理、项目产出、项目效益等内容，对照已确定的绩效评价指标进行详细全面的分析评价，逐项打分并形成绩效评价最终结果。</w:t>
      </w:r>
    </w:p>
    <w:p w14:paraId="281BF6D3">
      <w:pPr>
        <w:pStyle w:val="9"/>
      </w:pPr>
    </w:p>
    <w:p w14:paraId="2F59BD90">
      <w:pPr>
        <w:pStyle w:val="2"/>
        <w:spacing w:line="360" w:lineRule="auto"/>
        <w:rPr>
          <w:rFonts w:ascii="宋体" w:hAnsi="宋体" w:eastAsia="宋体"/>
          <w:b w:val="0"/>
          <w:sz w:val="32"/>
          <w:szCs w:val="32"/>
        </w:rPr>
      </w:pPr>
      <w:bookmarkStart w:id="7" w:name="_Toc68703834"/>
      <w:r>
        <w:rPr>
          <w:rFonts w:hint="eastAsia" w:ascii="宋体" w:hAnsi="宋体" w:eastAsia="宋体"/>
          <w:sz w:val="32"/>
          <w:szCs w:val="32"/>
        </w:rPr>
        <w:t>三、</w:t>
      </w:r>
      <w:r>
        <w:rPr>
          <w:rFonts w:hint="eastAsia" w:ascii="宋体" w:hAnsi="宋体" w:eastAsia="宋体"/>
          <w:b w:val="0"/>
          <w:sz w:val="32"/>
          <w:szCs w:val="32"/>
        </w:rPr>
        <w:t>综合评价情况及评价结论</w:t>
      </w:r>
      <w:bookmarkEnd w:id="7"/>
    </w:p>
    <w:p w14:paraId="0C6084A3">
      <w:pPr>
        <w:pStyle w:val="3"/>
        <w:spacing w:line="360" w:lineRule="auto"/>
        <w:rPr>
          <w:rFonts w:ascii="仿宋_GB2312" w:eastAsia="仿宋_GB2312"/>
          <w:b w:val="0"/>
          <w:bCs w:val="0"/>
        </w:rPr>
      </w:pPr>
      <w:bookmarkStart w:id="8" w:name="_Toc68703835"/>
      <w:r>
        <w:rPr>
          <w:rFonts w:hint="eastAsia" w:ascii="仿宋_GB2312" w:eastAsia="仿宋_GB2312"/>
          <w:b w:val="0"/>
          <w:bCs w:val="0"/>
        </w:rPr>
        <w:t>（一）综合评价情况</w:t>
      </w:r>
      <w:bookmarkEnd w:id="8"/>
    </w:p>
    <w:p w14:paraId="08BF0E5F">
      <w:pPr>
        <w:pageBreakBefore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Times New Roman"/>
          <w:b w:val="0"/>
          <w:bCs w:val="0"/>
          <w:kern w:val="28"/>
          <w:sz w:val="32"/>
          <w:szCs w:val="32"/>
          <w:lang w:val="en-US" w:eastAsia="zh-CN" w:bidi="ar-SA"/>
        </w:rPr>
      </w:pPr>
      <w:r>
        <w:rPr>
          <w:rFonts w:hint="eastAsia" w:ascii="Times New Roman" w:hAnsi="Times New Roman" w:eastAsia="仿宋_GB2312" w:cs="Times New Roman"/>
          <w:b w:val="0"/>
          <w:bCs w:val="0"/>
          <w:kern w:val="28"/>
          <w:sz w:val="32"/>
          <w:szCs w:val="32"/>
          <w:lang w:val="en-US" w:eastAsia="zh-CN" w:bidi="ar-SA"/>
        </w:rPr>
        <w:t>项目总体组织规范，在项目实施过程做到认真履职，监督到位。按照相关制度的要求，项目负责人对项目绩效监控执行情况进行跟踪监督，有效完成了本项目的工作目标，确保资金使用安全和最大效益的发挥，保障项目如期按要求完成。规范了项目档案资料的整理。项目的实施达到项目预期效果。</w:t>
      </w:r>
    </w:p>
    <w:p w14:paraId="5950E70C">
      <w:pPr>
        <w:pageBreakBefore w:val="0"/>
        <w:widowControl w:val="0"/>
        <w:kinsoku/>
        <w:wordWrap/>
        <w:overflowPunct/>
        <w:topLinePunct w:val="0"/>
        <w:autoSpaceDE/>
        <w:autoSpaceDN/>
        <w:bidi w:val="0"/>
        <w:adjustRightInd/>
        <w:spacing w:line="560" w:lineRule="exact"/>
        <w:ind w:firstLine="640" w:firstLineChars="200"/>
        <w:textAlignment w:val="auto"/>
        <w:rPr>
          <w:color w:val="auto"/>
          <w:sz w:val="32"/>
          <w:szCs w:val="32"/>
        </w:rPr>
      </w:pPr>
      <w:r>
        <w:rPr>
          <w:rFonts w:hint="eastAsia"/>
          <w:color w:val="auto"/>
          <w:sz w:val="32"/>
          <w:szCs w:val="32"/>
        </w:rPr>
        <w:t>本项目严格按照科学公正、统筹兼顾、激励约束、公开透明绩效评价原则，采用因素分析法，坚持计划标准对本项目的立项、项绩效目标、资金投入、资金管理、组织实施、产出数量、产出质量、产出时效、产出成本、项目效益进行了综合评价。</w:t>
      </w:r>
    </w:p>
    <w:p w14:paraId="4578CE2D">
      <w:pPr>
        <w:spacing w:line="360" w:lineRule="auto"/>
        <w:ind w:firstLine="640" w:firstLineChars="200"/>
        <w:jc w:val="center"/>
        <w:rPr>
          <w:rFonts w:ascii="仿宋_GB2312" w:hAnsiTheme="majorHAnsi" w:cstheme="majorBidi"/>
          <w:sz w:val="32"/>
          <w:szCs w:val="32"/>
        </w:rPr>
      </w:pPr>
      <w:r>
        <w:rPr>
          <w:rFonts w:hint="eastAsia" w:ascii="仿宋_GB2312" w:hAnsiTheme="majorHAnsi" w:cstheme="majorBidi"/>
          <w:sz w:val="32"/>
          <w:szCs w:val="32"/>
        </w:rPr>
        <w:t>2023年新一轮退耕还林延期补助项目评价得分情况</w:t>
      </w:r>
    </w:p>
    <w:tbl>
      <w:tblPr>
        <w:tblStyle w:val="12"/>
        <w:tblW w:w="7583" w:type="dxa"/>
        <w:jc w:val="center"/>
        <w:tblLayout w:type="fixed"/>
        <w:tblCellMar>
          <w:top w:w="0" w:type="dxa"/>
          <w:left w:w="108" w:type="dxa"/>
          <w:bottom w:w="0" w:type="dxa"/>
          <w:right w:w="108" w:type="dxa"/>
        </w:tblCellMar>
      </w:tblPr>
      <w:tblGrid>
        <w:gridCol w:w="3137"/>
        <w:gridCol w:w="2168"/>
        <w:gridCol w:w="2278"/>
      </w:tblGrid>
      <w:tr w14:paraId="21702349">
        <w:tblPrEx>
          <w:tblCellMar>
            <w:top w:w="0" w:type="dxa"/>
            <w:left w:w="108" w:type="dxa"/>
            <w:bottom w:w="0" w:type="dxa"/>
            <w:right w:w="108" w:type="dxa"/>
          </w:tblCellMar>
        </w:tblPrEx>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BEBEBE" w:themeFill="background1" w:themeFillShade="BF"/>
            <w:vAlign w:val="center"/>
          </w:tcPr>
          <w:p w14:paraId="7A78D514">
            <w:pPr>
              <w:jc w:val="center"/>
              <w:rPr>
                <w:b/>
                <w:bCs/>
                <w:color w:val="000000"/>
                <w:sz w:val="22"/>
              </w:rPr>
            </w:pPr>
            <w:r>
              <w:rPr>
                <w:rFonts w:hint="eastAsia"/>
                <w:b/>
                <w:bCs/>
                <w:color w:val="000000"/>
                <w:sz w:val="22"/>
              </w:rPr>
              <w:t>一级指标</w:t>
            </w:r>
          </w:p>
        </w:tc>
        <w:tc>
          <w:tcPr>
            <w:tcW w:w="216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14:paraId="0DC3298A">
            <w:pPr>
              <w:jc w:val="center"/>
              <w:rPr>
                <w:b/>
                <w:bCs/>
                <w:color w:val="000000"/>
                <w:sz w:val="22"/>
              </w:rPr>
            </w:pPr>
            <w:r>
              <w:rPr>
                <w:rFonts w:hint="eastAsia"/>
                <w:b/>
                <w:bCs/>
                <w:color w:val="000000"/>
                <w:sz w:val="22"/>
              </w:rPr>
              <w:t>权重分</w:t>
            </w:r>
          </w:p>
        </w:tc>
        <w:tc>
          <w:tcPr>
            <w:tcW w:w="227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14:paraId="213D2027">
            <w:pPr>
              <w:jc w:val="center"/>
              <w:rPr>
                <w:b/>
                <w:bCs/>
                <w:color w:val="000000"/>
                <w:sz w:val="22"/>
              </w:rPr>
            </w:pPr>
            <w:r>
              <w:rPr>
                <w:rFonts w:hint="eastAsia"/>
                <w:b/>
                <w:bCs/>
                <w:color w:val="000000"/>
                <w:sz w:val="22"/>
              </w:rPr>
              <w:t>得分</w:t>
            </w:r>
          </w:p>
        </w:tc>
      </w:tr>
      <w:tr w14:paraId="217B8EBF">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2725BD5F">
            <w:pPr>
              <w:jc w:val="center"/>
              <w:rPr>
                <w:color w:val="000000"/>
                <w:sz w:val="22"/>
              </w:rPr>
            </w:pPr>
            <w:r>
              <w:rPr>
                <w:rFonts w:hint="eastAsia"/>
                <w:color w:val="000000"/>
                <w:sz w:val="22"/>
              </w:rPr>
              <w:t>项目决策</w:t>
            </w:r>
          </w:p>
        </w:tc>
        <w:tc>
          <w:tcPr>
            <w:tcW w:w="2168" w:type="dxa"/>
            <w:tcBorders>
              <w:top w:val="nil"/>
              <w:left w:val="nil"/>
              <w:bottom w:val="single" w:color="auto" w:sz="4" w:space="0"/>
              <w:right w:val="single" w:color="auto" w:sz="4" w:space="0"/>
            </w:tcBorders>
            <w:shd w:val="clear" w:color="auto" w:fill="auto"/>
            <w:vAlign w:val="center"/>
          </w:tcPr>
          <w:p w14:paraId="5A86E534">
            <w:pPr>
              <w:jc w:val="center"/>
              <w:rPr>
                <w:rFonts w:hint="default" w:eastAsia="仿宋_GB2312"/>
                <w:color w:val="000000"/>
                <w:sz w:val="22"/>
                <w:lang w:val="en-US" w:eastAsia="zh-CN"/>
              </w:rPr>
            </w:pPr>
            <w:r>
              <w:rPr>
                <w:rFonts w:hint="eastAsia"/>
                <w:color w:val="000000"/>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14:paraId="3169F2CC">
            <w:pPr>
              <w:jc w:val="center"/>
              <w:rPr>
                <w:rFonts w:hint="default" w:eastAsia="仿宋_GB2312"/>
                <w:color w:val="000000"/>
                <w:sz w:val="22"/>
                <w:lang w:val="en-US" w:eastAsia="zh-CN"/>
              </w:rPr>
            </w:pPr>
            <w:r>
              <w:rPr>
                <w:rFonts w:hint="eastAsia"/>
                <w:color w:val="000000"/>
                <w:sz w:val="22"/>
                <w:lang w:val="en-US" w:eastAsia="zh-CN"/>
              </w:rPr>
              <w:t>20</w:t>
            </w:r>
          </w:p>
        </w:tc>
      </w:tr>
      <w:tr w14:paraId="17F54092">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43F84D53">
            <w:pPr>
              <w:jc w:val="center"/>
              <w:rPr>
                <w:color w:val="000000"/>
                <w:sz w:val="22"/>
              </w:rPr>
            </w:pPr>
            <w:r>
              <w:rPr>
                <w:rFonts w:hint="eastAsia"/>
                <w:color w:val="000000"/>
                <w:sz w:val="22"/>
              </w:rPr>
              <w:t>项目过程</w:t>
            </w:r>
          </w:p>
        </w:tc>
        <w:tc>
          <w:tcPr>
            <w:tcW w:w="2168" w:type="dxa"/>
            <w:tcBorders>
              <w:top w:val="nil"/>
              <w:left w:val="nil"/>
              <w:bottom w:val="single" w:color="auto" w:sz="4" w:space="0"/>
              <w:right w:val="single" w:color="auto" w:sz="4" w:space="0"/>
            </w:tcBorders>
            <w:shd w:val="clear" w:color="auto" w:fill="auto"/>
            <w:vAlign w:val="center"/>
          </w:tcPr>
          <w:p w14:paraId="2ABD69EA">
            <w:pPr>
              <w:jc w:val="center"/>
              <w:rPr>
                <w:rFonts w:hint="default" w:eastAsia="仿宋_GB2312"/>
                <w:color w:val="000000"/>
                <w:sz w:val="22"/>
                <w:lang w:val="en-US" w:eastAsia="zh-CN"/>
              </w:rPr>
            </w:pPr>
            <w:r>
              <w:rPr>
                <w:rFonts w:hint="eastAsia"/>
                <w:color w:val="000000"/>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14:paraId="7470A477">
            <w:pPr>
              <w:jc w:val="center"/>
              <w:rPr>
                <w:rFonts w:hint="default" w:eastAsia="仿宋_GB2312"/>
                <w:color w:val="000000"/>
                <w:sz w:val="22"/>
                <w:lang w:val="en-US" w:eastAsia="zh-CN"/>
              </w:rPr>
            </w:pPr>
            <w:r>
              <w:rPr>
                <w:rFonts w:hint="eastAsia"/>
                <w:color w:val="000000"/>
                <w:sz w:val="22"/>
                <w:lang w:val="en-US" w:eastAsia="zh-CN"/>
              </w:rPr>
              <w:t>20</w:t>
            </w:r>
          </w:p>
        </w:tc>
      </w:tr>
      <w:tr w14:paraId="0C2BD18E">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394CF77D">
            <w:pPr>
              <w:jc w:val="center"/>
              <w:rPr>
                <w:color w:val="000000"/>
                <w:sz w:val="22"/>
              </w:rPr>
            </w:pPr>
            <w:r>
              <w:rPr>
                <w:rFonts w:hint="eastAsia"/>
                <w:color w:val="000000"/>
                <w:sz w:val="22"/>
              </w:rPr>
              <w:t>项目产出</w:t>
            </w:r>
          </w:p>
        </w:tc>
        <w:tc>
          <w:tcPr>
            <w:tcW w:w="2168" w:type="dxa"/>
            <w:tcBorders>
              <w:top w:val="nil"/>
              <w:left w:val="nil"/>
              <w:bottom w:val="single" w:color="auto" w:sz="4" w:space="0"/>
              <w:right w:val="single" w:color="auto" w:sz="4" w:space="0"/>
            </w:tcBorders>
            <w:shd w:val="clear" w:color="auto" w:fill="auto"/>
            <w:vAlign w:val="center"/>
          </w:tcPr>
          <w:p w14:paraId="2F7A17B0">
            <w:pPr>
              <w:jc w:val="center"/>
              <w:rPr>
                <w:rFonts w:hint="default" w:eastAsia="仿宋_GB2312"/>
                <w:color w:val="000000"/>
                <w:sz w:val="22"/>
                <w:lang w:val="en-US" w:eastAsia="zh-CN"/>
              </w:rPr>
            </w:pPr>
            <w:r>
              <w:rPr>
                <w:rFonts w:hint="eastAsia"/>
                <w:color w:val="000000"/>
                <w:sz w:val="22"/>
                <w:lang w:val="en-US" w:eastAsia="zh-CN"/>
              </w:rPr>
              <w:t>40</w:t>
            </w:r>
          </w:p>
        </w:tc>
        <w:tc>
          <w:tcPr>
            <w:tcW w:w="2278" w:type="dxa"/>
            <w:tcBorders>
              <w:top w:val="nil"/>
              <w:left w:val="nil"/>
              <w:bottom w:val="single" w:color="auto" w:sz="4" w:space="0"/>
              <w:right w:val="single" w:color="auto" w:sz="4" w:space="0"/>
            </w:tcBorders>
            <w:shd w:val="clear" w:color="auto" w:fill="auto"/>
            <w:vAlign w:val="center"/>
          </w:tcPr>
          <w:p w14:paraId="444ABA1E">
            <w:pPr>
              <w:jc w:val="center"/>
              <w:rPr>
                <w:rFonts w:hint="default" w:eastAsia="仿宋_GB2312"/>
                <w:color w:val="000000"/>
                <w:sz w:val="22"/>
                <w:lang w:val="en-US" w:eastAsia="zh-CN"/>
              </w:rPr>
            </w:pPr>
            <w:r>
              <w:rPr>
                <w:rFonts w:hint="eastAsia"/>
                <w:color w:val="000000"/>
                <w:sz w:val="22"/>
                <w:lang w:val="en-US" w:eastAsia="zh-CN"/>
              </w:rPr>
              <w:t>40</w:t>
            </w:r>
          </w:p>
        </w:tc>
      </w:tr>
      <w:tr w14:paraId="10501851">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0E4451D9">
            <w:pPr>
              <w:jc w:val="center"/>
              <w:rPr>
                <w:color w:val="000000"/>
                <w:sz w:val="22"/>
              </w:rPr>
            </w:pPr>
            <w:r>
              <w:rPr>
                <w:rFonts w:hint="eastAsia"/>
                <w:color w:val="000000"/>
                <w:sz w:val="22"/>
              </w:rPr>
              <w:t>项目效益</w:t>
            </w:r>
          </w:p>
        </w:tc>
        <w:tc>
          <w:tcPr>
            <w:tcW w:w="2168" w:type="dxa"/>
            <w:tcBorders>
              <w:top w:val="nil"/>
              <w:left w:val="nil"/>
              <w:bottom w:val="single" w:color="auto" w:sz="4" w:space="0"/>
              <w:right w:val="single" w:color="auto" w:sz="4" w:space="0"/>
            </w:tcBorders>
            <w:shd w:val="clear" w:color="auto" w:fill="auto"/>
            <w:vAlign w:val="center"/>
          </w:tcPr>
          <w:p w14:paraId="65878DE9">
            <w:pPr>
              <w:jc w:val="center"/>
              <w:rPr>
                <w:color w:val="000000"/>
                <w:sz w:val="22"/>
              </w:rPr>
            </w:pPr>
            <w:r>
              <w:rPr>
                <w:rFonts w:hint="eastAsia"/>
                <w:color w:val="000000"/>
                <w:sz w:val="22"/>
              </w:rPr>
              <w:t>20</w:t>
            </w:r>
          </w:p>
        </w:tc>
        <w:tc>
          <w:tcPr>
            <w:tcW w:w="2278" w:type="dxa"/>
            <w:tcBorders>
              <w:top w:val="nil"/>
              <w:left w:val="nil"/>
              <w:bottom w:val="single" w:color="auto" w:sz="4" w:space="0"/>
              <w:right w:val="single" w:color="auto" w:sz="4" w:space="0"/>
            </w:tcBorders>
            <w:shd w:val="clear" w:color="auto" w:fill="auto"/>
            <w:vAlign w:val="center"/>
          </w:tcPr>
          <w:p w14:paraId="4E428449">
            <w:pPr>
              <w:jc w:val="center"/>
              <w:rPr>
                <w:color w:val="000000"/>
                <w:sz w:val="22"/>
              </w:rPr>
            </w:pPr>
            <w:r>
              <w:rPr>
                <w:rFonts w:hint="eastAsia"/>
                <w:color w:val="000000"/>
                <w:sz w:val="22"/>
              </w:rPr>
              <w:t>20</w:t>
            </w:r>
          </w:p>
        </w:tc>
      </w:tr>
      <w:tr w14:paraId="4F4B2248">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724EA9B3">
            <w:pPr>
              <w:jc w:val="center"/>
              <w:rPr>
                <w:rFonts w:cs="宋体"/>
                <w:b/>
                <w:bCs/>
                <w:color w:val="000000"/>
                <w:sz w:val="22"/>
              </w:rPr>
            </w:pPr>
            <w:r>
              <w:rPr>
                <w:rFonts w:hint="eastAsia" w:cs="宋体"/>
                <w:b/>
                <w:bCs/>
                <w:color w:val="000000"/>
                <w:sz w:val="22"/>
              </w:rPr>
              <w:t>合计</w:t>
            </w:r>
          </w:p>
        </w:tc>
        <w:tc>
          <w:tcPr>
            <w:tcW w:w="2168" w:type="dxa"/>
            <w:tcBorders>
              <w:top w:val="nil"/>
              <w:left w:val="nil"/>
              <w:bottom w:val="single" w:color="auto" w:sz="4" w:space="0"/>
              <w:right w:val="single" w:color="auto" w:sz="4" w:space="0"/>
            </w:tcBorders>
            <w:shd w:val="clear" w:color="auto" w:fill="auto"/>
            <w:vAlign w:val="center"/>
          </w:tcPr>
          <w:p w14:paraId="3B975588">
            <w:pPr>
              <w:jc w:val="center"/>
              <w:rPr>
                <w:rFonts w:hint="default" w:eastAsia="仿宋_GB2312"/>
                <w:b/>
                <w:bCs/>
                <w:color w:val="000000"/>
                <w:sz w:val="22"/>
                <w:lang w:val="en-US" w:eastAsia="zh-CN"/>
              </w:rPr>
            </w:pPr>
            <w:r>
              <w:rPr>
                <w:rFonts w:hint="eastAsia"/>
                <w:b/>
                <w:bCs/>
                <w:color w:val="000000"/>
                <w:sz w:val="22"/>
                <w:lang w:val="en-US" w:eastAsia="zh-CN"/>
              </w:rPr>
              <w:t>100</w:t>
            </w:r>
          </w:p>
        </w:tc>
        <w:tc>
          <w:tcPr>
            <w:tcW w:w="2278" w:type="dxa"/>
            <w:tcBorders>
              <w:top w:val="nil"/>
              <w:left w:val="nil"/>
              <w:bottom w:val="single" w:color="auto" w:sz="4" w:space="0"/>
              <w:right w:val="single" w:color="auto" w:sz="4" w:space="0"/>
            </w:tcBorders>
            <w:shd w:val="clear" w:color="auto" w:fill="auto"/>
            <w:vAlign w:val="center"/>
          </w:tcPr>
          <w:p w14:paraId="70BC3D9F">
            <w:pPr>
              <w:jc w:val="center"/>
              <w:rPr>
                <w:rFonts w:hint="default" w:eastAsia="仿宋_GB2312"/>
                <w:b/>
                <w:bCs/>
                <w:color w:val="000000"/>
                <w:sz w:val="22"/>
                <w:lang w:val="en-US" w:eastAsia="zh-CN"/>
              </w:rPr>
            </w:pPr>
            <w:r>
              <w:rPr>
                <w:rFonts w:hint="eastAsia"/>
                <w:b/>
                <w:bCs/>
                <w:color w:val="000000"/>
                <w:sz w:val="22"/>
                <w:lang w:val="en-US" w:eastAsia="zh-CN"/>
              </w:rPr>
              <w:t>100</w:t>
            </w:r>
          </w:p>
        </w:tc>
      </w:tr>
    </w:tbl>
    <w:p w14:paraId="642B4C36">
      <w:pPr>
        <w:pStyle w:val="3"/>
        <w:spacing w:line="360" w:lineRule="auto"/>
        <w:rPr>
          <w:rFonts w:ascii="仿宋_GB2312" w:eastAsia="仿宋_GB2312"/>
          <w:b w:val="0"/>
          <w:bCs w:val="0"/>
        </w:rPr>
      </w:pPr>
      <w:bookmarkStart w:id="9" w:name="_Toc68703836"/>
      <w:r>
        <w:rPr>
          <w:rFonts w:hint="eastAsia" w:ascii="仿宋_GB2312" w:eastAsia="仿宋_GB2312"/>
          <w:b w:val="0"/>
          <w:bCs w:val="0"/>
        </w:rPr>
        <w:t>（二）评价结论</w:t>
      </w:r>
      <w:bookmarkEnd w:id="9"/>
    </w:p>
    <w:p w14:paraId="5D20AC9A">
      <w:pPr>
        <w:spacing w:line="560" w:lineRule="exact"/>
        <w:ind w:firstLine="600" w:firstLineChars="200"/>
        <w:jc w:val="left"/>
        <w:rPr>
          <w:rFonts w:hint="eastAsia" w:ascii="仿宋_GB2312" w:hAnsi="仿宋_GB2312" w:eastAsia="仿宋_GB2312" w:cs="仿宋_GB2312"/>
          <w:color w:val="000000"/>
          <w:kern w:val="0"/>
          <w:sz w:val="30"/>
          <w:szCs w:val="30"/>
        </w:rPr>
      </w:pPr>
      <w:bookmarkStart w:id="10" w:name="_Toc68703837"/>
      <w:r>
        <w:rPr>
          <w:rFonts w:hint="eastAsia" w:ascii="仿宋_GB2312" w:hAnsi="仿宋_GB2312" w:eastAsia="仿宋_GB2312" w:cs="仿宋_GB2312"/>
          <w:color w:val="000000"/>
          <w:kern w:val="0"/>
          <w:sz w:val="30"/>
          <w:szCs w:val="30"/>
        </w:rPr>
        <w:t>本项目的项目决策、项目过程、项目产出、项目效益均达到了预期要求，最终得分为100分，项目达成年度指标。</w:t>
      </w:r>
    </w:p>
    <w:p w14:paraId="19D37125">
      <w:pPr>
        <w:spacing w:line="360" w:lineRule="auto"/>
        <w:ind w:firstLine="600" w:firstLineChars="200"/>
      </w:pPr>
    </w:p>
    <w:p w14:paraId="2A3A6A4C">
      <w:pPr>
        <w:spacing w:line="360" w:lineRule="auto"/>
        <w:ind w:firstLine="640" w:firstLineChars="200"/>
      </w:pPr>
      <w:r>
        <w:rPr>
          <w:rFonts w:hint="eastAsia" w:ascii="宋体" w:hAnsi="宋体" w:eastAsia="宋体"/>
          <w:sz w:val="32"/>
          <w:szCs w:val="32"/>
        </w:rPr>
        <w:t>四、绩效评价指标分析</w:t>
      </w:r>
      <w:bookmarkEnd w:id="10"/>
    </w:p>
    <w:p w14:paraId="2F252732">
      <w:pPr>
        <w:pStyle w:val="3"/>
        <w:spacing w:line="360" w:lineRule="auto"/>
        <w:rPr>
          <w:rFonts w:ascii="仿宋_GB2312" w:eastAsia="仿宋_GB2312"/>
          <w:b w:val="0"/>
          <w:bCs w:val="0"/>
        </w:rPr>
      </w:pPr>
      <w:bookmarkStart w:id="11" w:name="_Toc68703838"/>
      <w:r>
        <w:rPr>
          <w:rFonts w:hint="eastAsia" w:ascii="仿宋_GB2312" w:eastAsia="仿宋_GB2312"/>
          <w:b w:val="0"/>
          <w:bCs w:val="0"/>
        </w:rPr>
        <w:t>（一）项目决策情况。</w:t>
      </w:r>
      <w:bookmarkEnd w:id="11"/>
    </w:p>
    <w:p w14:paraId="6768C4F3">
      <w:pPr>
        <w:spacing w:line="560" w:lineRule="exact"/>
        <w:ind w:firstLine="640" w:firstLineChars="200"/>
        <w:contextualSpacing/>
        <w:rPr>
          <w:rFonts w:ascii="方正仿宋_GBK" w:eastAsia="方正仿宋_GBK"/>
          <w:sz w:val="32"/>
          <w:szCs w:val="32"/>
        </w:rPr>
      </w:pPr>
      <w:r>
        <w:rPr>
          <w:rFonts w:hint="eastAsia" w:ascii="方正仿宋_GBK" w:eastAsia="方正仿宋_GBK"/>
          <w:sz w:val="32"/>
          <w:szCs w:val="32"/>
        </w:rPr>
        <w:t>（一）项目决策情况</w:t>
      </w:r>
    </w:p>
    <w:p w14:paraId="2199097A">
      <w:pPr>
        <w:spacing w:line="560" w:lineRule="exact"/>
        <w:ind w:firstLine="640" w:firstLineChars="200"/>
        <w:jc w:val="left"/>
        <w:rPr>
          <w:rFonts w:ascii="仿宋_GB2312" w:hAnsi="仿宋" w:eastAsia="仿宋_GB2312" w:cs="宋体"/>
          <w:color w:val="333333"/>
          <w:sz w:val="32"/>
          <w:szCs w:val="32"/>
        </w:rPr>
      </w:pPr>
      <w:r>
        <w:rPr>
          <w:rFonts w:hint="eastAsia" w:ascii="仿宋_GB2312" w:hAnsi="仿宋" w:eastAsia="仿宋_GB2312" w:cs="宋体"/>
          <w:color w:val="333333"/>
          <w:sz w:val="32"/>
          <w:szCs w:val="32"/>
        </w:rPr>
        <w:t>项目决策指标从</w:t>
      </w:r>
      <w:r>
        <w:rPr>
          <w:rFonts w:hint="eastAsia" w:ascii="仿宋_GB2312" w:hAnsi="仿宋_GB2312" w:eastAsia="仿宋_GB2312" w:cs="仿宋_GB2312"/>
          <w:color w:val="000000"/>
          <w:kern w:val="0"/>
          <w:sz w:val="30"/>
          <w:szCs w:val="30"/>
        </w:rPr>
        <w:t>项目立项</w:t>
      </w:r>
      <w:r>
        <w:rPr>
          <w:rFonts w:hint="eastAsia" w:ascii="仿宋_GB2312" w:hAnsi="仿宋" w:eastAsia="仿宋_GB2312" w:cs="宋体"/>
          <w:color w:val="333333"/>
          <w:sz w:val="32"/>
          <w:szCs w:val="32"/>
        </w:rPr>
        <w:t>、</w:t>
      </w:r>
      <w:r>
        <w:rPr>
          <w:rFonts w:ascii="仿宋_GB2312" w:hAnsi="仿宋_GB2312" w:eastAsia="仿宋_GB2312" w:cs="仿宋_GB2312"/>
          <w:color w:val="000000"/>
          <w:kern w:val="0"/>
          <w:sz w:val="30"/>
          <w:szCs w:val="30"/>
        </w:rPr>
        <w:t>绩效目标和</w:t>
      </w:r>
      <w:r>
        <w:rPr>
          <w:rFonts w:hint="eastAsia" w:ascii="仿宋_GB2312" w:hAnsi="仿宋_GB2312" w:eastAsia="仿宋_GB2312" w:cs="仿宋_GB2312"/>
          <w:color w:val="000000"/>
          <w:kern w:val="0"/>
          <w:sz w:val="30"/>
          <w:szCs w:val="30"/>
        </w:rPr>
        <w:t>资金投入</w:t>
      </w:r>
      <w:r>
        <w:rPr>
          <w:rFonts w:hint="eastAsia" w:ascii="仿宋_GB2312" w:hAnsi="仿宋" w:eastAsia="仿宋_GB2312" w:cs="宋体"/>
          <w:color w:val="333333"/>
          <w:sz w:val="32"/>
          <w:szCs w:val="32"/>
        </w:rPr>
        <w:t>3个方面对项目的立项决策目标完成情况进行考察，项目决策类指标分值20分，实际得分20分，得分率100%。项目决策指标得分情况如表所示。</w:t>
      </w:r>
    </w:p>
    <w:tbl>
      <w:tblPr>
        <w:tblStyle w:val="12"/>
        <w:tblW w:w="8522" w:type="dxa"/>
        <w:tblInd w:w="0" w:type="dxa"/>
        <w:tblLayout w:type="fixed"/>
        <w:tblCellMar>
          <w:top w:w="0" w:type="dxa"/>
          <w:left w:w="108" w:type="dxa"/>
          <w:bottom w:w="0" w:type="dxa"/>
          <w:right w:w="108" w:type="dxa"/>
        </w:tblCellMar>
      </w:tblPr>
      <w:tblGrid>
        <w:gridCol w:w="2517"/>
        <w:gridCol w:w="2269"/>
        <w:gridCol w:w="1986"/>
        <w:gridCol w:w="1750"/>
      </w:tblGrid>
      <w:tr w14:paraId="2C76BE75">
        <w:tblPrEx>
          <w:tblCellMar>
            <w:top w:w="0" w:type="dxa"/>
            <w:left w:w="108" w:type="dxa"/>
            <w:bottom w:w="0" w:type="dxa"/>
            <w:right w:w="108" w:type="dxa"/>
          </w:tblCellMar>
        </w:tblPrEx>
        <w:trPr>
          <w:trHeight w:val="480" w:hRule="atLeast"/>
        </w:trPr>
        <w:tc>
          <w:tcPr>
            <w:tcW w:w="8522" w:type="dxa"/>
            <w:gridSpan w:val="4"/>
            <w:tcBorders>
              <w:top w:val="nil"/>
              <w:left w:val="nil"/>
              <w:bottom w:val="single" w:color="auto" w:sz="8" w:space="0"/>
              <w:right w:val="nil"/>
            </w:tcBorders>
            <w:shd w:val="clear" w:color="auto" w:fill="auto"/>
            <w:noWrap/>
            <w:vAlign w:val="center"/>
          </w:tcPr>
          <w:p w14:paraId="4E73232D">
            <w:pPr>
              <w:spacing w:line="560" w:lineRule="exact"/>
              <w:ind w:firstLine="2880" w:firstLineChars="900"/>
              <w:jc w:val="left"/>
              <w:rPr>
                <w:rFonts w:ascii="仿宋_GB2312" w:hAnsi="仿宋" w:eastAsia="仿宋_GB2312" w:cs="宋体"/>
                <w:color w:val="333333"/>
                <w:sz w:val="32"/>
                <w:szCs w:val="32"/>
              </w:rPr>
            </w:pPr>
            <w:r>
              <w:rPr>
                <w:rFonts w:hint="eastAsia" w:ascii="仿宋_GB2312" w:hAnsi="仿宋" w:eastAsia="仿宋_GB2312" w:cs="宋体"/>
                <w:color w:val="333333"/>
                <w:sz w:val="32"/>
                <w:szCs w:val="32"/>
              </w:rPr>
              <w:t>项目决策指标得分情况</w:t>
            </w:r>
          </w:p>
        </w:tc>
      </w:tr>
      <w:tr w14:paraId="5404BABE">
        <w:tblPrEx>
          <w:tblCellMar>
            <w:top w:w="0" w:type="dxa"/>
            <w:left w:w="108" w:type="dxa"/>
            <w:bottom w:w="0" w:type="dxa"/>
            <w:right w:w="108" w:type="dxa"/>
          </w:tblCellMar>
        </w:tblPrEx>
        <w:trPr>
          <w:trHeight w:val="510" w:hRule="exact"/>
        </w:trPr>
        <w:tc>
          <w:tcPr>
            <w:tcW w:w="2517" w:type="dxa"/>
            <w:tcBorders>
              <w:top w:val="nil"/>
              <w:left w:val="single" w:color="auto" w:sz="8" w:space="0"/>
              <w:bottom w:val="single" w:color="auto" w:sz="8" w:space="0"/>
              <w:right w:val="single" w:color="auto" w:sz="8" w:space="0"/>
            </w:tcBorders>
            <w:shd w:val="clear" w:color="000000" w:fill="A6A6A6"/>
            <w:vAlign w:val="center"/>
          </w:tcPr>
          <w:p w14:paraId="019C96B7">
            <w:pPr>
              <w:widowControl/>
              <w:spacing w:line="400" w:lineRule="exact"/>
              <w:jc w:val="center"/>
              <w:rPr>
                <w:rFonts w:ascii="仿宋_GB2312" w:hAnsi="仿宋_GB2312" w:eastAsia="仿宋_GB2312" w:cs="仿宋_GB2312"/>
                <w:b/>
                <w:bCs/>
                <w:color w:val="000000"/>
                <w:kern w:val="0"/>
                <w:sz w:val="30"/>
                <w:szCs w:val="30"/>
              </w:rPr>
            </w:pPr>
            <w:r>
              <w:rPr>
                <w:rFonts w:hint="eastAsia" w:ascii="仿宋_GB2312" w:hAnsi="仿宋_GB2312" w:eastAsia="仿宋_GB2312" w:cs="仿宋_GB2312"/>
                <w:b/>
                <w:bCs/>
                <w:color w:val="000000"/>
                <w:kern w:val="0"/>
                <w:sz w:val="30"/>
                <w:szCs w:val="30"/>
              </w:rPr>
              <w:t>二级指标</w:t>
            </w:r>
          </w:p>
        </w:tc>
        <w:tc>
          <w:tcPr>
            <w:tcW w:w="2269" w:type="dxa"/>
            <w:tcBorders>
              <w:top w:val="nil"/>
              <w:left w:val="nil"/>
              <w:bottom w:val="single" w:color="auto" w:sz="8" w:space="0"/>
              <w:right w:val="single" w:color="auto" w:sz="8" w:space="0"/>
            </w:tcBorders>
            <w:shd w:val="clear" w:color="000000" w:fill="A6A6A6"/>
            <w:vAlign w:val="center"/>
          </w:tcPr>
          <w:p w14:paraId="673C984D">
            <w:pPr>
              <w:widowControl/>
              <w:spacing w:line="400" w:lineRule="exact"/>
              <w:jc w:val="center"/>
              <w:rPr>
                <w:rFonts w:ascii="仿宋_GB2312" w:hAnsi="仿宋_GB2312" w:eastAsia="仿宋_GB2312" w:cs="仿宋_GB2312"/>
                <w:b/>
                <w:bCs/>
                <w:color w:val="000000"/>
                <w:kern w:val="0"/>
                <w:sz w:val="30"/>
                <w:szCs w:val="30"/>
              </w:rPr>
            </w:pPr>
            <w:r>
              <w:rPr>
                <w:rFonts w:hint="eastAsia" w:ascii="仿宋_GB2312" w:hAnsi="仿宋_GB2312" w:eastAsia="仿宋_GB2312" w:cs="仿宋_GB2312"/>
                <w:b/>
                <w:bCs/>
                <w:color w:val="000000"/>
                <w:kern w:val="0"/>
                <w:sz w:val="30"/>
                <w:szCs w:val="30"/>
              </w:rPr>
              <w:t>权重</w:t>
            </w:r>
          </w:p>
        </w:tc>
        <w:tc>
          <w:tcPr>
            <w:tcW w:w="1986" w:type="dxa"/>
            <w:tcBorders>
              <w:top w:val="nil"/>
              <w:left w:val="nil"/>
              <w:bottom w:val="single" w:color="auto" w:sz="8" w:space="0"/>
              <w:right w:val="single" w:color="auto" w:sz="8" w:space="0"/>
            </w:tcBorders>
            <w:shd w:val="clear" w:color="000000" w:fill="A6A6A6"/>
            <w:vAlign w:val="center"/>
          </w:tcPr>
          <w:p w14:paraId="7A0207AD">
            <w:pPr>
              <w:widowControl/>
              <w:spacing w:line="400" w:lineRule="exact"/>
              <w:jc w:val="center"/>
              <w:rPr>
                <w:rFonts w:ascii="仿宋_GB2312" w:hAnsi="仿宋_GB2312" w:eastAsia="仿宋_GB2312" w:cs="仿宋_GB2312"/>
                <w:b/>
                <w:bCs/>
                <w:color w:val="000000"/>
                <w:kern w:val="0"/>
                <w:sz w:val="30"/>
                <w:szCs w:val="30"/>
              </w:rPr>
            </w:pPr>
            <w:r>
              <w:rPr>
                <w:rFonts w:hint="eastAsia" w:ascii="仿宋_GB2312" w:hAnsi="仿宋_GB2312" w:eastAsia="仿宋_GB2312" w:cs="仿宋_GB2312"/>
                <w:b/>
                <w:bCs/>
                <w:color w:val="000000"/>
                <w:kern w:val="0"/>
                <w:sz w:val="30"/>
                <w:szCs w:val="30"/>
              </w:rPr>
              <w:t>得分率</w:t>
            </w:r>
          </w:p>
        </w:tc>
        <w:tc>
          <w:tcPr>
            <w:tcW w:w="1750" w:type="dxa"/>
            <w:tcBorders>
              <w:top w:val="nil"/>
              <w:left w:val="nil"/>
              <w:bottom w:val="single" w:color="auto" w:sz="8" w:space="0"/>
              <w:right w:val="single" w:color="auto" w:sz="8" w:space="0"/>
            </w:tcBorders>
            <w:shd w:val="clear" w:color="000000" w:fill="A6A6A6"/>
            <w:vAlign w:val="center"/>
          </w:tcPr>
          <w:p w14:paraId="0885DF25">
            <w:pPr>
              <w:widowControl/>
              <w:spacing w:line="400" w:lineRule="exact"/>
              <w:jc w:val="center"/>
              <w:rPr>
                <w:rFonts w:ascii="仿宋_GB2312" w:hAnsi="仿宋_GB2312" w:eastAsia="仿宋_GB2312" w:cs="仿宋_GB2312"/>
                <w:b/>
                <w:bCs/>
                <w:color w:val="000000"/>
                <w:kern w:val="0"/>
                <w:sz w:val="30"/>
                <w:szCs w:val="30"/>
              </w:rPr>
            </w:pPr>
            <w:r>
              <w:rPr>
                <w:rFonts w:hint="eastAsia" w:ascii="仿宋_GB2312" w:hAnsi="仿宋_GB2312" w:eastAsia="仿宋_GB2312" w:cs="仿宋_GB2312"/>
                <w:b/>
                <w:bCs/>
                <w:color w:val="000000"/>
                <w:kern w:val="0"/>
                <w:sz w:val="30"/>
                <w:szCs w:val="30"/>
              </w:rPr>
              <w:t>实际得分</w:t>
            </w:r>
          </w:p>
        </w:tc>
      </w:tr>
      <w:tr w14:paraId="020CC0CD">
        <w:tblPrEx>
          <w:tblCellMar>
            <w:top w:w="0" w:type="dxa"/>
            <w:left w:w="108" w:type="dxa"/>
            <w:bottom w:w="0" w:type="dxa"/>
            <w:right w:w="108" w:type="dxa"/>
          </w:tblCellMar>
        </w:tblPrEx>
        <w:trPr>
          <w:trHeight w:val="510" w:hRule="exact"/>
        </w:trPr>
        <w:tc>
          <w:tcPr>
            <w:tcW w:w="2517" w:type="dxa"/>
            <w:tcBorders>
              <w:top w:val="nil"/>
              <w:left w:val="single" w:color="auto" w:sz="8" w:space="0"/>
              <w:bottom w:val="single" w:color="auto" w:sz="8" w:space="0"/>
              <w:right w:val="single" w:color="auto" w:sz="8" w:space="0"/>
            </w:tcBorders>
            <w:shd w:val="clear" w:color="auto" w:fill="auto"/>
            <w:vAlign w:val="center"/>
          </w:tcPr>
          <w:p w14:paraId="01A6D8A5">
            <w:pPr>
              <w:widowControl/>
              <w:spacing w:line="400" w:lineRule="exact"/>
              <w:jc w:val="left"/>
              <w:rPr>
                <w:rFonts w:ascii="仿宋_GB2312" w:hAnsi="仿宋_GB2312" w:eastAsia="仿宋_GB2312" w:cs="仿宋_GB2312"/>
                <w:color w:val="000000"/>
                <w:kern w:val="0"/>
                <w:sz w:val="30"/>
                <w:szCs w:val="30"/>
              </w:rPr>
            </w:pPr>
            <w:r>
              <w:rPr>
                <w:rFonts w:hint="eastAsia" w:ascii="仿宋_GB2312" w:hAnsi="仿宋_GB2312" w:eastAsia="仿宋_GB2312" w:cs="仿宋_GB2312"/>
                <w:color w:val="000000"/>
                <w:kern w:val="0"/>
                <w:sz w:val="30"/>
                <w:szCs w:val="30"/>
              </w:rPr>
              <w:t>项目立项</w:t>
            </w:r>
          </w:p>
        </w:tc>
        <w:tc>
          <w:tcPr>
            <w:tcW w:w="2269" w:type="dxa"/>
            <w:tcBorders>
              <w:top w:val="nil"/>
              <w:left w:val="nil"/>
              <w:bottom w:val="single" w:color="auto" w:sz="8" w:space="0"/>
              <w:right w:val="single" w:color="auto" w:sz="8" w:space="0"/>
            </w:tcBorders>
            <w:shd w:val="clear" w:color="auto" w:fill="auto"/>
            <w:vAlign w:val="center"/>
          </w:tcPr>
          <w:p w14:paraId="6C194D3C">
            <w:pPr>
              <w:widowControl/>
              <w:spacing w:line="400" w:lineRule="exact"/>
              <w:jc w:val="center"/>
              <w:rPr>
                <w:rFonts w:ascii="仿宋_GB2312" w:hAnsi="仿宋_GB2312" w:eastAsia="仿宋_GB2312" w:cs="仿宋_GB2312"/>
                <w:color w:val="000000"/>
                <w:kern w:val="0"/>
                <w:sz w:val="30"/>
                <w:szCs w:val="30"/>
              </w:rPr>
            </w:pPr>
            <w:r>
              <w:rPr>
                <w:rFonts w:hint="eastAsia" w:ascii="仿宋_GB2312" w:hAnsi="仿宋_GB2312" w:eastAsia="仿宋_GB2312" w:cs="仿宋_GB2312"/>
                <w:color w:val="000000"/>
                <w:kern w:val="0"/>
                <w:sz w:val="30"/>
                <w:szCs w:val="30"/>
              </w:rPr>
              <w:t>10</w:t>
            </w:r>
          </w:p>
        </w:tc>
        <w:tc>
          <w:tcPr>
            <w:tcW w:w="1986" w:type="dxa"/>
            <w:tcBorders>
              <w:top w:val="nil"/>
              <w:left w:val="nil"/>
              <w:bottom w:val="single" w:color="auto" w:sz="8" w:space="0"/>
              <w:right w:val="single" w:color="auto" w:sz="8" w:space="0"/>
            </w:tcBorders>
            <w:shd w:val="clear" w:color="auto" w:fill="auto"/>
            <w:vAlign w:val="center"/>
          </w:tcPr>
          <w:p w14:paraId="601967CA">
            <w:pPr>
              <w:widowControl/>
              <w:spacing w:line="400" w:lineRule="exact"/>
              <w:jc w:val="center"/>
              <w:rPr>
                <w:rFonts w:ascii="仿宋_GB2312" w:hAnsi="仿宋_GB2312" w:eastAsia="仿宋_GB2312" w:cs="仿宋_GB2312"/>
                <w:color w:val="000000"/>
                <w:kern w:val="0"/>
                <w:sz w:val="30"/>
                <w:szCs w:val="30"/>
              </w:rPr>
            </w:pPr>
            <w:r>
              <w:rPr>
                <w:rFonts w:hint="eastAsia" w:ascii="仿宋_GB2312" w:hAnsi="仿宋_GB2312" w:eastAsia="仿宋_GB2312" w:cs="仿宋_GB2312"/>
                <w:sz w:val="30"/>
                <w:szCs w:val="30"/>
              </w:rPr>
              <w:t>100%</w:t>
            </w:r>
          </w:p>
        </w:tc>
        <w:tc>
          <w:tcPr>
            <w:tcW w:w="1750" w:type="dxa"/>
            <w:tcBorders>
              <w:top w:val="nil"/>
              <w:left w:val="nil"/>
              <w:bottom w:val="single" w:color="auto" w:sz="8" w:space="0"/>
              <w:right w:val="single" w:color="auto" w:sz="8" w:space="0"/>
            </w:tcBorders>
            <w:shd w:val="clear" w:color="auto" w:fill="auto"/>
            <w:vAlign w:val="center"/>
          </w:tcPr>
          <w:p w14:paraId="278EC21A">
            <w:pPr>
              <w:widowControl/>
              <w:spacing w:line="400" w:lineRule="exact"/>
              <w:jc w:val="center"/>
              <w:rPr>
                <w:rFonts w:ascii="仿宋_GB2312" w:hAnsi="仿宋_GB2312" w:eastAsia="仿宋_GB2312" w:cs="仿宋_GB2312"/>
                <w:color w:val="000000"/>
                <w:kern w:val="0"/>
                <w:sz w:val="30"/>
                <w:szCs w:val="30"/>
              </w:rPr>
            </w:pPr>
            <w:r>
              <w:rPr>
                <w:rFonts w:hint="eastAsia" w:ascii="仿宋_GB2312" w:hAnsi="仿宋_GB2312" w:eastAsia="仿宋_GB2312" w:cs="仿宋_GB2312"/>
                <w:color w:val="000000"/>
                <w:kern w:val="0"/>
                <w:sz w:val="30"/>
                <w:szCs w:val="30"/>
              </w:rPr>
              <w:t>10</w:t>
            </w:r>
          </w:p>
        </w:tc>
      </w:tr>
      <w:tr w14:paraId="64E6E078">
        <w:tblPrEx>
          <w:tblCellMar>
            <w:top w:w="0" w:type="dxa"/>
            <w:left w:w="108" w:type="dxa"/>
            <w:bottom w:w="0" w:type="dxa"/>
            <w:right w:w="108" w:type="dxa"/>
          </w:tblCellMar>
        </w:tblPrEx>
        <w:trPr>
          <w:trHeight w:val="510" w:hRule="exact"/>
        </w:trPr>
        <w:tc>
          <w:tcPr>
            <w:tcW w:w="2517" w:type="dxa"/>
            <w:tcBorders>
              <w:top w:val="nil"/>
              <w:left w:val="single" w:color="auto" w:sz="8" w:space="0"/>
              <w:bottom w:val="single" w:color="auto" w:sz="8" w:space="0"/>
              <w:right w:val="single" w:color="auto" w:sz="8" w:space="0"/>
            </w:tcBorders>
            <w:shd w:val="clear" w:color="auto" w:fill="auto"/>
            <w:vAlign w:val="center"/>
          </w:tcPr>
          <w:p w14:paraId="7FF2B574">
            <w:pPr>
              <w:widowControl/>
              <w:spacing w:line="400" w:lineRule="exact"/>
              <w:jc w:val="left"/>
              <w:rPr>
                <w:rFonts w:ascii="仿宋_GB2312" w:hAnsi="仿宋_GB2312" w:eastAsia="仿宋_GB2312" w:cs="仿宋_GB2312"/>
                <w:color w:val="000000"/>
                <w:kern w:val="0"/>
                <w:sz w:val="30"/>
                <w:szCs w:val="30"/>
              </w:rPr>
            </w:pPr>
            <w:r>
              <w:rPr>
                <w:rFonts w:ascii="仿宋_GB2312" w:hAnsi="仿宋_GB2312" w:eastAsia="仿宋_GB2312" w:cs="仿宋_GB2312"/>
                <w:color w:val="000000"/>
                <w:kern w:val="0"/>
                <w:sz w:val="30"/>
                <w:szCs w:val="30"/>
              </w:rPr>
              <w:t>绩效目标</w:t>
            </w:r>
          </w:p>
        </w:tc>
        <w:tc>
          <w:tcPr>
            <w:tcW w:w="2269" w:type="dxa"/>
            <w:tcBorders>
              <w:top w:val="nil"/>
              <w:left w:val="nil"/>
              <w:bottom w:val="single" w:color="auto" w:sz="8" w:space="0"/>
              <w:right w:val="single" w:color="auto" w:sz="8" w:space="0"/>
            </w:tcBorders>
            <w:shd w:val="clear" w:color="auto" w:fill="auto"/>
            <w:vAlign w:val="center"/>
          </w:tcPr>
          <w:p w14:paraId="22095837">
            <w:pPr>
              <w:widowControl/>
              <w:spacing w:line="400" w:lineRule="exact"/>
              <w:jc w:val="center"/>
              <w:rPr>
                <w:rFonts w:ascii="仿宋_GB2312" w:hAnsi="仿宋_GB2312" w:eastAsia="仿宋_GB2312" w:cs="仿宋_GB2312"/>
                <w:color w:val="000000"/>
                <w:kern w:val="0"/>
                <w:sz w:val="30"/>
                <w:szCs w:val="30"/>
              </w:rPr>
            </w:pPr>
            <w:r>
              <w:rPr>
                <w:rFonts w:hint="eastAsia" w:ascii="仿宋_GB2312" w:hAnsi="仿宋_GB2312" w:eastAsia="仿宋_GB2312" w:cs="仿宋_GB2312"/>
                <w:color w:val="000000"/>
                <w:kern w:val="0"/>
                <w:sz w:val="30"/>
                <w:szCs w:val="30"/>
              </w:rPr>
              <w:t>5</w:t>
            </w:r>
          </w:p>
        </w:tc>
        <w:tc>
          <w:tcPr>
            <w:tcW w:w="1986" w:type="dxa"/>
            <w:tcBorders>
              <w:top w:val="nil"/>
              <w:left w:val="nil"/>
              <w:bottom w:val="single" w:color="auto" w:sz="8" w:space="0"/>
              <w:right w:val="single" w:color="auto" w:sz="8" w:space="0"/>
            </w:tcBorders>
            <w:shd w:val="clear" w:color="auto" w:fill="auto"/>
            <w:vAlign w:val="center"/>
          </w:tcPr>
          <w:p w14:paraId="79DA08D3">
            <w:pPr>
              <w:widowControl/>
              <w:spacing w:line="400" w:lineRule="exact"/>
              <w:jc w:val="center"/>
              <w:rPr>
                <w:rFonts w:ascii="仿宋_GB2312" w:hAnsi="仿宋_GB2312" w:eastAsia="仿宋_GB2312" w:cs="仿宋_GB2312"/>
                <w:color w:val="000000"/>
                <w:kern w:val="0"/>
                <w:sz w:val="30"/>
                <w:szCs w:val="30"/>
              </w:rPr>
            </w:pPr>
            <w:r>
              <w:rPr>
                <w:rFonts w:hint="eastAsia" w:ascii="仿宋_GB2312" w:hAnsi="仿宋_GB2312" w:eastAsia="仿宋_GB2312" w:cs="仿宋_GB2312"/>
                <w:sz w:val="30"/>
                <w:szCs w:val="30"/>
              </w:rPr>
              <w:t>100%</w:t>
            </w:r>
          </w:p>
        </w:tc>
        <w:tc>
          <w:tcPr>
            <w:tcW w:w="1750" w:type="dxa"/>
            <w:tcBorders>
              <w:top w:val="nil"/>
              <w:left w:val="nil"/>
              <w:bottom w:val="single" w:color="auto" w:sz="8" w:space="0"/>
              <w:right w:val="single" w:color="auto" w:sz="8" w:space="0"/>
            </w:tcBorders>
            <w:shd w:val="clear" w:color="auto" w:fill="auto"/>
            <w:vAlign w:val="center"/>
          </w:tcPr>
          <w:p w14:paraId="6C8D2BB5">
            <w:pPr>
              <w:widowControl/>
              <w:spacing w:line="400" w:lineRule="exact"/>
              <w:jc w:val="center"/>
              <w:rPr>
                <w:rFonts w:ascii="仿宋_GB2312" w:hAnsi="仿宋_GB2312" w:eastAsia="仿宋_GB2312" w:cs="仿宋_GB2312"/>
                <w:color w:val="000000"/>
                <w:kern w:val="0"/>
                <w:sz w:val="30"/>
                <w:szCs w:val="30"/>
              </w:rPr>
            </w:pPr>
            <w:r>
              <w:rPr>
                <w:rFonts w:hint="eastAsia" w:ascii="仿宋_GB2312" w:hAnsi="仿宋_GB2312" w:eastAsia="仿宋_GB2312" w:cs="仿宋_GB2312"/>
                <w:color w:val="000000"/>
                <w:kern w:val="0"/>
                <w:sz w:val="30"/>
                <w:szCs w:val="30"/>
              </w:rPr>
              <w:t>5</w:t>
            </w:r>
          </w:p>
        </w:tc>
      </w:tr>
      <w:tr w14:paraId="1E52CAB2">
        <w:tblPrEx>
          <w:tblCellMar>
            <w:top w:w="0" w:type="dxa"/>
            <w:left w:w="108" w:type="dxa"/>
            <w:bottom w:w="0" w:type="dxa"/>
            <w:right w:w="108" w:type="dxa"/>
          </w:tblCellMar>
        </w:tblPrEx>
        <w:trPr>
          <w:trHeight w:val="510" w:hRule="exact"/>
        </w:trPr>
        <w:tc>
          <w:tcPr>
            <w:tcW w:w="2517" w:type="dxa"/>
            <w:tcBorders>
              <w:top w:val="nil"/>
              <w:left w:val="single" w:color="auto" w:sz="8" w:space="0"/>
              <w:bottom w:val="single" w:color="auto" w:sz="8" w:space="0"/>
              <w:right w:val="single" w:color="auto" w:sz="8" w:space="0"/>
            </w:tcBorders>
            <w:shd w:val="clear" w:color="auto" w:fill="auto"/>
            <w:vAlign w:val="center"/>
          </w:tcPr>
          <w:p w14:paraId="2313223D">
            <w:pPr>
              <w:widowControl/>
              <w:spacing w:line="400" w:lineRule="exact"/>
              <w:jc w:val="left"/>
              <w:rPr>
                <w:rFonts w:ascii="仿宋_GB2312" w:hAnsi="仿宋_GB2312" w:eastAsia="仿宋_GB2312" w:cs="仿宋_GB2312"/>
                <w:color w:val="000000"/>
                <w:kern w:val="0"/>
                <w:sz w:val="30"/>
                <w:szCs w:val="30"/>
              </w:rPr>
            </w:pPr>
            <w:r>
              <w:rPr>
                <w:rFonts w:hint="eastAsia" w:ascii="仿宋_GB2312" w:hAnsi="仿宋_GB2312" w:eastAsia="仿宋_GB2312" w:cs="仿宋_GB2312"/>
                <w:color w:val="000000"/>
                <w:kern w:val="0"/>
                <w:sz w:val="30"/>
                <w:szCs w:val="30"/>
              </w:rPr>
              <w:t>资金投入</w:t>
            </w:r>
          </w:p>
        </w:tc>
        <w:tc>
          <w:tcPr>
            <w:tcW w:w="2269" w:type="dxa"/>
            <w:tcBorders>
              <w:top w:val="nil"/>
              <w:left w:val="nil"/>
              <w:bottom w:val="single" w:color="auto" w:sz="8" w:space="0"/>
              <w:right w:val="single" w:color="auto" w:sz="8" w:space="0"/>
            </w:tcBorders>
            <w:shd w:val="clear" w:color="auto" w:fill="auto"/>
            <w:vAlign w:val="center"/>
          </w:tcPr>
          <w:p w14:paraId="5FB2BAC7">
            <w:pPr>
              <w:widowControl/>
              <w:spacing w:line="400" w:lineRule="exact"/>
              <w:jc w:val="center"/>
              <w:rPr>
                <w:rFonts w:ascii="仿宋_GB2312" w:hAnsi="仿宋_GB2312" w:eastAsia="仿宋_GB2312" w:cs="仿宋_GB2312"/>
                <w:color w:val="000000"/>
                <w:kern w:val="0"/>
                <w:sz w:val="30"/>
                <w:szCs w:val="30"/>
              </w:rPr>
            </w:pPr>
            <w:r>
              <w:rPr>
                <w:rFonts w:hint="eastAsia" w:ascii="仿宋_GB2312" w:hAnsi="仿宋_GB2312" w:eastAsia="仿宋_GB2312" w:cs="仿宋_GB2312"/>
                <w:color w:val="000000"/>
                <w:kern w:val="0"/>
                <w:sz w:val="30"/>
                <w:szCs w:val="30"/>
              </w:rPr>
              <w:t>5</w:t>
            </w:r>
          </w:p>
        </w:tc>
        <w:tc>
          <w:tcPr>
            <w:tcW w:w="1986" w:type="dxa"/>
            <w:tcBorders>
              <w:top w:val="nil"/>
              <w:left w:val="nil"/>
              <w:bottom w:val="single" w:color="auto" w:sz="8" w:space="0"/>
              <w:right w:val="single" w:color="auto" w:sz="8" w:space="0"/>
            </w:tcBorders>
            <w:shd w:val="clear" w:color="auto" w:fill="auto"/>
            <w:vAlign w:val="center"/>
          </w:tcPr>
          <w:p w14:paraId="33B7BEFE">
            <w:pPr>
              <w:widowControl/>
              <w:spacing w:line="400" w:lineRule="exact"/>
              <w:jc w:val="center"/>
              <w:rPr>
                <w:rFonts w:ascii="仿宋_GB2312" w:hAnsi="仿宋_GB2312" w:eastAsia="仿宋_GB2312" w:cs="仿宋_GB2312"/>
                <w:color w:val="000000"/>
                <w:kern w:val="0"/>
                <w:sz w:val="30"/>
                <w:szCs w:val="30"/>
              </w:rPr>
            </w:pPr>
            <w:r>
              <w:rPr>
                <w:rFonts w:hint="eastAsia" w:ascii="仿宋_GB2312" w:hAnsi="仿宋_GB2312" w:eastAsia="仿宋_GB2312" w:cs="仿宋_GB2312"/>
                <w:sz w:val="30"/>
                <w:szCs w:val="30"/>
              </w:rPr>
              <w:t>100%</w:t>
            </w:r>
          </w:p>
        </w:tc>
        <w:tc>
          <w:tcPr>
            <w:tcW w:w="1750" w:type="dxa"/>
            <w:tcBorders>
              <w:top w:val="nil"/>
              <w:left w:val="nil"/>
              <w:bottom w:val="single" w:color="auto" w:sz="8" w:space="0"/>
              <w:right w:val="single" w:color="auto" w:sz="8" w:space="0"/>
            </w:tcBorders>
            <w:shd w:val="clear" w:color="auto" w:fill="auto"/>
            <w:vAlign w:val="center"/>
          </w:tcPr>
          <w:p w14:paraId="68DBAA4E">
            <w:pPr>
              <w:widowControl/>
              <w:spacing w:line="400" w:lineRule="exact"/>
              <w:jc w:val="center"/>
              <w:rPr>
                <w:rFonts w:ascii="仿宋_GB2312" w:hAnsi="仿宋_GB2312" w:eastAsia="仿宋_GB2312" w:cs="仿宋_GB2312"/>
                <w:color w:val="000000"/>
                <w:kern w:val="0"/>
                <w:sz w:val="30"/>
                <w:szCs w:val="30"/>
              </w:rPr>
            </w:pPr>
            <w:r>
              <w:rPr>
                <w:rFonts w:hint="eastAsia" w:ascii="仿宋_GB2312" w:hAnsi="仿宋_GB2312" w:eastAsia="仿宋_GB2312" w:cs="仿宋_GB2312"/>
                <w:color w:val="000000"/>
                <w:kern w:val="0"/>
                <w:sz w:val="30"/>
                <w:szCs w:val="30"/>
              </w:rPr>
              <w:t>5</w:t>
            </w:r>
          </w:p>
        </w:tc>
      </w:tr>
      <w:tr w14:paraId="1B42BB40">
        <w:tblPrEx>
          <w:tblCellMar>
            <w:top w:w="0" w:type="dxa"/>
            <w:left w:w="108" w:type="dxa"/>
            <w:bottom w:w="0" w:type="dxa"/>
            <w:right w:w="108" w:type="dxa"/>
          </w:tblCellMar>
        </w:tblPrEx>
        <w:trPr>
          <w:trHeight w:val="510" w:hRule="exact"/>
        </w:trPr>
        <w:tc>
          <w:tcPr>
            <w:tcW w:w="2517" w:type="dxa"/>
            <w:tcBorders>
              <w:top w:val="single" w:color="auto" w:sz="8" w:space="0"/>
              <w:left w:val="single" w:color="auto" w:sz="8" w:space="0"/>
              <w:bottom w:val="single" w:color="auto" w:sz="8" w:space="0"/>
              <w:right w:val="single" w:color="auto" w:sz="8" w:space="0"/>
            </w:tcBorders>
            <w:shd w:val="clear" w:color="auto" w:fill="auto"/>
            <w:vAlign w:val="center"/>
          </w:tcPr>
          <w:p w14:paraId="05DE626E">
            <w:pPr>
              <w:widowControl/>
              <w:spacing w:line="400" w:lineRule="exact"/>
              <w:jc w:val="center"/>
              <w:rPr>
                <w:rFonts w:ascii="仿宋_GB2312" w:hAnsi="仿宋_GB2312" w:eastAsia="仿宋_GB2312" w:cs="仿宋_GB2312"/>
                <w:color w:val="000000"/>
                <w:kern w:val="0"/>
                <w:sz w:val="30"/>
                <w:szCs w:val="30"/>
              </w:rPr>
            </w:pPr>
            <w:r>
              <w:rPr>
                <w:rFonts w:hint="eastAsia" w:ascii="仿宋_GB2312" w:hAnsi="仿宋_GB2312" w:eastAsia="仿宋_GB2312" w:cs="仿宋_GB2312"/>
                <w:color w:val="000000"/>
                <w:kern w:val="0"/>
                <w:sz w:val="30"/>
                <w:szCs w:val="30"/>
              </w:rPr>
              <w:t>合  计</w:t>
            </w:r>
          </w:p>
        </w:tc>
        <w:tc>
          <w:tcPr>
            <w:tcW w:w="2269" w:type="dxa"/>
            <w:tcBorders>
              <w:top w:val="single" w:color="auto" w:sz="8" w:space="0"/>
              <w:left w:val="nil"/>
              <w:bottom w:val="single" w:color="auto" w:sz="8" w:space="0"/>
              <w:right w:val="single" w:color="auto" w:sz="8" w:space="0"/>
            </w:tcBorders>
            <w:shd w:val="clear" w:color="auto" w:fill="auto"/>
            <w:vAlign w:val="center"/>
          </w:tcPr>
          <w:p w14:paraId="16880790">
            <w:pPr>
              <w:widowControl/>
              <w:spacing w:line="400" w:lineRule="exact"/>
              <w:jc w:val="center"/>
              <w:rPr>
                <w:rFonts w:ascii="仿宋_GB2312" w:hAnsi="仿宋_GB2312" w:eastAsia="仿宋_GB2312" w:cs="仿宋_GB2312"/>
                <w:b/>
                <w:color w:val="000000"/>
                <w:kern w:val="0"/>
                <w:sz w:val="30"/>
                <w:szCs w:val="30"/>
              </w:rPr>
            </w:pPr>
            <w:r>
              <w:rPr>
                <w:rFonts w:hint="eastAsia" w:ascii="仿宋_GB2312" w:hAnsi="仿宋_GB2312" w:eastAsia="仿宋_GB2312" w:cs="仿宋_GB2312"/>
                <w:b/>
                <w:color w:val="000000"/>
                <w:kern w:val="0"/>
                <w:sz w:val="30"/>
                <w:szCs w:val="30"/>
              </w:rPr>
              <w:t>20</w:t>
            </w:r>
          </w:p>
        </w:tc>
        <w:tc>
          <w:tcPr>
            <w:tcW w:w="1986" w:type="dxa"/>
            <w:tcBorders>
              <w:top w:val="single" w:color="auto" w:sz="8" w:space="0"/>
              <w:left w:val="nil"/>
              <w:bottom w:val="single" w:color="auto" w:sz="8" w:space="0"/>
              <w:right w:val="single" w:color="auto" w:sz="8" w:space="0"/>
            </w:tcBorders>
            <w:shd w:val="clear" w:color="auto" w:fill="auto"/>
            <w:vAlign w:val="center"/>
          </w:tcPr>
          <w:p w14:paraId="39D8AF90">
            <w:pPr>
              <w:widowControl/>
              <w:spacing w:line="400" w:lineRule="exact"/>
              <w:jc w:val="center"/>
              <w:rPr>
                <w:rFonts w:ascii="仿宋_GB2312" w:hAnsi="仿宋_GB2312" w:eastAsia="仿宋_GB2312" w:cs="仿宋_GB2312"/>
                <w:color w:val="000000"/>
                <w:kern w:val="0"/>
                <w:sz w:val="30"/>
                <w:szCs w:val="30"/>
              </w:rPr>
            </w:pPr>
            <w:r>
              <w:rPr>
                <w:rFonts w:hint="eastAsia" w:ascii="仿宋_GB2312" w:hAnsi="仿宋_GB2312" w:eastAsia="仿宋_GB2312" w:cs="仿宋_GB2312"/>
                <w:sz w:val="30"/>
                <w:szCs w:val="30"/>
              </w:rPr>
              <w:t>100%</w:t>
            </w:r>
          </w:p>
        </w:tc>
        <w:tc>
          <w:tcPr>
            <w:tcW w:w="1750" w:type="dxa"/>
            <w:tcBorders>
              <w:top w:val="single" w:color="auto" w:sz="8" w:space="0"/>
              <w:left w:val="nil"/>
              <w:bottom w:val="single" w:color="auto" w:sz="8" w:space="0"/>
              <w:right w:val="single" w:color="auto" w:sz="8" w:space="0"/>
            </w:tcBorders>
            <w:shd w:val="clear" w:color="auto" w:fill="auto"/>
            <w:vAlign w:val="center"/>
          </w:tcPr>
          <w:p w14:paraId="6437BF2A">
            <w:pPr>
              <w:widowControl/>
              <w:spacing w:line="400" w:lineRule="exact"/>
              <w:jc w:val="center"/>
              <w:rPr>
                <w:rFonts w:ascii="仿宋_GB2312" w:hAnsi="仿宋_GB2312" w:eastAsia="仿宋_GB2312" w:cs="仿宋_GB2312"/>
                <w:color w:val="000000"/>
                <w:kern w:val="0"/>
                <w:sz w:val="30"/>
                <w:szCs w:val="30"/>
              </w:rPr>
            </w:pPr>
            <w:r>
              <w:rPr>
                <w:rFonts w:hint="eastAsia" w:ascii="仿宋_GB2312" w:hAnsi="仿宋_GB2312" w:eastAsia="仿宋_GB2312" w:cs="仿宋_GB2312"/>
                <w:color w:val="000000"/>
                <w:kern w:val="0"/>
                <w:sz w:val="30"/>
                <w:szCs w:val="30"/>
              </w:rPr>
              <w:t>20</w:t>
            </w:r>
          </w:p>
        </w:tc>
      </w:tr>
    </w:tbl>
    <w:p w14:paraId="29DB6198">
      <w:pPr>
        <w:spacing w:line="560" w:lineRule="exact"/>
        <w:ind w:firstLine="800" w:firstLineChars="250"/>
        <w:jc w:val="left"/>
        <w:rPr>
          <w:rFonts w:ascii="仿宋_GB2312" w:hAnsi="仿宋" w:eastAsia="仿宋_GB2312" w:cs="宋体"/>
          <w:color w:val="333333"/>
          <w:sz w:val="32"/>
          <w:szCs w:val="32"/>
        </w:rPr>
      </w:pPr>
      <w:r>
        <w:rPr>
          <w:rFonts w:hint="eastAsia" w:ascii="仿宋_GB2312" w:hAnsi="仿宋" w:eastAsia="仿宋_GB2312" w:cs="宋体"/>
          <w:color w:val="333333"/>
          <w:sz w:val="32"/>
          <w:szCs w:val="32"/>
        </w:rPr>
        <w:t>1</w:t>
      </w:r>
      <w:r>
        <w:rPr>
          <w:rFonts w:ascii="仿宋_GB2312" w:hAnsi="仿宋" w:eastAsia="仿宋_GB2312" w:cs="宋体"/>
          <w:color w:val="333333"/>
          <w:sz w:val="32"/>
          <w:szCs w:val="32"/>
        </w:rPr>
        <w:t>.</w:t>
      </w:r>
      <w:r>
        <w:rPr>
          <w:rFonts w:hint="eastAsia" w:ascii="仿宋_GB2312" w:hAnsi="仿宋_GB2312" w:eastAsia="仿宋_GB2312" w:cs="仿宋_GB2312"/>
          <w:color w:val="000000"/>
          <w:kern w:val="0"/>
          <w:sz w:val="30"/>
          <w:szCs w:val="30"/>
        </w:rPr>
        <w:t>项目立项</w:t>
      </w:r>
    </w:p>
    <w:p w14:paraId="31B24C7F">
      <w:pPr>
        <w:spacing w:line="560" w:lineRule="exact"/>
        <w:ind w:firstLine="700" w:firstLineChars="250"/>
        <w:jc w:val="left"/>
        <w:rPr>
          <w:rFonts w:ascii="仿宋_GB2312" w:hAnsi="仿宋_GB2312" w:eastAsia="仿宋_GB2312" w:cs="仿宋_GB2312"/>
          <w:sz w:val="28"/>
          <w:szCs w:val="28"/>
        </w:rPr>
      </w:pPr>
      <w:r>
        <w:rPr>
          <w:rFonts w:hint="eastAsia" w:ascii="仿宋_GB2312" w:hAnsi="仿宋_GB2312" w:eastAsia="仿宋_GB2312" w:cs="仿宋_GB2312"/>
          <w:sz w:val="28"/>
          <w:szCs w:val="28"/>
        </w:rPr>
        <w:t>（1）立项充分性</w:t>
      </w:r>
    </w:p>
    <w:p w14:paraId="5A68B906">
      <w:pPr>
        <w:spacing w:line="360" w:lineRule="auto"/>
        <w:ind w:firstLine="560" w:firstLineChars="200"/>
      </w:pPr>
      <w:r>
        <w:rPr>
          <w:rFonts w:hint="eastAsia" w:ascii="仿宋_GB2312" w:hAnsi="仿宋_GB2312" w:eastAsia="仿宋_GB2312" w:cs="仿宋_GB2312"/>
          <w:sz w:val="28"/>
          <w:szCs w:val="28"/>
        </w:rPr>
        <w:t>根据</w:t>
      </w:r>
      <w:r>
        <w:rPr>
          <w:rFonts w:hint="eastAsia"/>
        </w:rPr>
        <w:t>新疆巴音郭楞蒙古自治州财政局文件：巴财建｛2022｝131号，巴财建｛2023｝4号，巴财建｛2023｝7号</w:t>
      </w:r>
      <w:r>
        <w:rPr>
          <w:rFonts w:hint="eastAsia" w:ascii="仿宋_GB2312" w:hAnsi="仿宋_GB2312" w:eastAsia="仿宋_GB2312" w:cs="仿宋_GB2312"/>
          <w:sz w:val="28"/>
          <w:szCs w:val="28"/>
        </w:rPr>
        <w:t>文件精神项目立项符合行业发展规划和政策要求，与部门职责范围相符，属于部门履职所需；项目属于公共财政支持范围，符合中央、地方事权支出责任划分原则；不存在与相关部门同类项目或部门内部相关项目重复。</w:t>
      </w:r>
    </w:p>
    <w:p w14:paraId="6919822D">
      <w:pPr>
        <w:pStyle w:val="11"/>
        <w:rPr>
          <w:rFonts w:ascii="Times New Roman" w:hAnsi="Times New Roman" w:eastAsia="仿宋_GB2312"/>
          <w:b w:val="0"/>
          <w:bCs w:val="0"/>
          <w:kern w:val="2"/>
          <w:sz w:val="30"/>
          <w:szCs w:val="24"/>
        </w:rPr>
      </w:pPr>
      <w:r>
        <w:rPr>
          <w:rFonts w:hint="eastAsia" w:ascii="Times New Roman" w:hAnsi="Times New Roman" w:eastAsia="仿宋_GB2312"/>
          <w:b w:val="0"/>
          <w:bCs w:val="0"/>
          <w:kern w:val="2"/>
          <w:sz w:val="30"/>
          <w:szCs w:val="24"/>
        </w:rPr>
        <w:t xml:space="preserve">    </w:t>
      </w:r>
    </w:p>
    <w:p w14:paraId="60287F07">
      <w:pPr>
        <w:spacing w:line="360" w:lineRule="auto"/>
      </w:pPr>
      <w:r>
        <w:rPr>
          <w:rFonts w:hint="eastAsia"/>
        </w:rPr>
        <w:t>2、立项程序规范性</w:t>
      </w:r>
    </w:p>
    <w:p w14:paraId="6D631BA8">
      <w:pPr>
        <w:spacing w:line="360" w:lineRule="auto"/>
        <w:rPr>
          <w:rFonts w:hint="eastAsia"/>
        </w:rPr>
      </w:pPr>
      <w:r>
        <w:rPr>
          <w:rFonts w:hint="eastAsia"/>
        </w:rPr>
        <w:t>项目预算批复等材料符合相关要求，事前已经过必要的可行性研究、风险评估、绩效评估、集体决策。</w:t>
      </w:r>
    </w:p>
    <w:p w14:paraId="066D0D2A">
      <w:pPr>
        <w:spacing w:line="360" w:lineRule="auto"/>
        <w:rPr>
          <w:rFonts w:hint="eastAsia"/>
        </w:rPr>
      </w:pPr>
      <w:r>
        <w:rPr>
          <w:rFonts w:hint="eastAsia"/>
        </w:rPr>
        <w:t>对于“项目立项”，根据评分标准，实际得分10分，得分率为100%</w:t>
      </w:r>
    </w:p>
    <w:p w14:paraId="2FB38365">
      <w:pPr>
        <w:spacing w:line="360" w:lineRule="auto"/>
        <w:rPr>
          <w:rFonts w:hint="eastAsia"/>
        </w:rPr>
      </w:pPr>
      <w:r>
        <w:rPr>
          <w:rFonts w:hint="eastAsia"/>
        </w:rPr>
        <w:t>3、绩效目标合理性</w:t>
      </w:r>
    </w:p>
    <w:p w14:paraId="4DCDBE47">
      <w:pPr>
        <w:spacing w:line="360" w:lineRule="auto"/>
        <w:rPr>
          <w:rFonts w:hint="eastAsia"/>
        </w:rPr>
      </w:pPr>
      <w:r>
        <w:rPr>
          <w:rFonts w:hint="eastAsia"/>
        </w:rPr>
        <w:t>项目绩效目标与实际工作内容有相关，项目预期产出效益和效果符合正常的业绩水平；与预算确定的项目投资额或资金量相匹配。</w:t>
      </w:r>
    </w:p>
    <w:p w14:paraId="4852CF0D">
      <w:pPr>
        <w:spacing w:line="360" w:lineRule="auto"/>
        <w:rPr>
          <w:rFonts w:hint="eastAsia"/>
        </w:rPr>
      </w:pPr>
    </w:p>
    <w:p w14:paraId="5F528BF5">
      <w:pPr>
        <w:spacing w:line="360" w:lineRule="auto"/>
      </w:pPr>
      <w:r>
        <w:rPr>
          <w:rFonts w:hint="eastAsia"/>
        </w:rPr>
        <w:t>4、绩效指标明确性</w:t>
      </w:r>
    </w:p>
    <w:p w14:paraId="3A691FA6">
      <w:pPr>
        <w:spacing w:line="580" w:lineRule="exact"/>
        <w:ind w:firstLine="750" w:firstLineChars="250"/>
        <w:rPr>
          <w:rFonts w:hint="eastAsia"/>
        </w:rPr>
      </w:pPr>
      <w:r>
        <w:rPr>
          <w:rFonts w:hint="eastAsia"/>
        </w:rPr>
        <w:t>项目绩效目标已细化分解为具体的绩效指标，通过清晰、可衡量的指标值予以体现，与项目目标任务数或计划数相对应。共性指标下设决策与过程2个一级指标，其中：项目决策下项目立项、绩效目标、资金投入3个二级指标；过程下设资金管理和组织实施2个二级指标。个性指标下设产出和效益2个一级指标，其中产出下设产出数量、产出质量、产出时效、产出成本4个2级指标，效益下设项目效益2个二级指标。</w:t>
      </w:r>
    </w:p>
    <w:p w14:paraId="0E121ECD">
      <w:pPr>
        <w:spacing w:line="580" w:lineRule="exact"/>
        <w:ind w:firstLine="750" w:firstLineChars="250"/>
        <w:rPr>
          <w:rFonts w:hint="eastAsia"/>
        </w:rPr>
      </w:pPr>
      <w:r>
        <w:rPr>
          <w:rFonts w:hint="eastAsia"/>
        </w:rPr>
        <w:t>对于“绩效目标”，根据评分标准，实际得分5分，得分率100%。</w:t>
      </w:r>
    </w:p>
    <w:p w14:paraId="17D2F7CB">
      <w:pPr>
        <w:spacing w:line="580" w:lineRule="exact"/>
        <w:ind w:firstLine="750" w:firstLineChars="250"/>
        <w:rPr>
          <w:rFonts w:hint="eastAsia"/>
        </w:rPr>
      </w:pPr>
      <w:r>
        <w:rPr>
          <w:rFonts w:hint="eastAsia"/>
        </w:rPr>
        <w:t>5、预算编制科学性</w:t>
      </w:r>
    </w:p>
    <w:p w14:paraId="063CE652">
      <w:pPr>
        <w:spacing w:line="580" w:lineRule="exact"/>
        <w:ind w:firstLine="750" w:firstLineChars="250"/>
        <w:rPr>
          <w:rFonts w:hint="eastAsia"/>
        </w:rPr>
      </w:pPr>
      <w:r>
        <w:rPr>
          <w:rFonts w:hint="eastAsia"/>
        </w:rPr>
        <w:t>预算编制经过科学论证，预算内容与项目内容相匹配，预算额度测算依据充分且按照标准编制，预算确定的项目资金量与工作任务相匹配。</w:t>
      </w:r>
    </w:p>
    <w:p w14:paraId="724BE6E0">
      <w:pPr>
        <w:spacing w:line="360" w:lineRule="auto"/>
      </w:pPr>
      <w:r>
        <w:rPr>
          <w:rFonts w:hint="eastAsia"/>
        </w:rPr>
        <w:t>6、资金分配合理性</w:t>
      </w:r>
    </w:p>
    <w:p w14:paraId="1EC80B10">
      <w:pPr>
        <w:spacing w:line="580" w:lineRule="exact"/>
        <w:ind w:firstLine="750" w:firstLineChars="250"/>
        <w:rPr>
          <w:rFonts w:hint="eastAsia"/>
        </w:rPr>
      </w:pPr>
      <w:bookmarkStart w:id="12" w:name="_Toc68703839"/>
      <w:r>
        <w:rPr>
          <w:rFonts w:hint="eastAsia"/>
        </w:rPr>
        <w:t>预算资金分配依据充分；资金分配额度合理，与项目单位相适应，</w:t>
      </w:r>
    </w:p>
    <w:p w14:paraId="5CF756AC">
      <w:pPr>
        <w:spacing w:line="580" w:lineRule="exact"/>
        <w:ind w:firstLine="750" w:firstLineChars="250"/>
        <w:rPr>
          <w:rFonts w:hint="eastAsia"/>
        </w:rPr>
      </w:pPr>
      <w:r>
        <w:rPr>
          <w:rFonts w:hint="eastAsia"/>
        </w:rPr>
        <w:t>对于“资金投入”，根据评分标准，实际得分5分，得分率100%。</w:t>
      </w:r>
    </w:p>
    <w:p w14:paraId="51736273">
      <w:pPr>
        <w:spacing w:line="580" w:lineRule="exact"/>
        <w:ind w:firstLine="750" w:firstLineChars="250"/>
        <w:rPr>
          <w:rFonts w:hint="eastAsia"/>
          <w:color w:val="auto"/>
        </w:rPr>
      </w:pPr>
      <w:r>
        <w:rPr>
          <w:rFonts w:hint="eastAsia"/>
          <w:color w:val="auto"/>
        </w:rPr>
        <w:t>（二）项目过程情况。</w:t>
      </w:r>
      <w:bookmarkEnd w:id="12"/>
    </w:p>
    <w:p w14:paraId="7A29738D">
      <w:pPr>
        <w:spacing w:line="360" w:lineRule="auto"/>
      </w:pPr>
      <w:r>
        <w:rPr>
          <w:rFonts w:hint="eastAsia"/>
        </w:rPr>
        <w:t>1、资金到位率：</w:t>
      </w:r>
    </w:p>
    <w:p w14:paraId="080353B8">
      <w:pPr>
        <w:spacing w:line="580" w:lineRule="exact"/>
        <w:ind w:firstLine="750" w:firstLineChars="250"/>
        <w:rPr>
          <w:rFonts w:hint="eastAsia"/>
        </w:rPr>
      </w:pPr>
      <w:r>
        <w:rPr>
          <w:rFonts w:hint="eastAsia"/>
        </w:rPr>
        <w:t xml:space="preserve">实际到位资金 </w:t>
      </w:r>
      <w:r>
        <w:rPr>
          <w:rFonts w:hint="eastAsia"/>
          <w:lang w:val="en-US" w:eastAsia="zh-CN"/>
        </w:rPr>
        <w:t>284.11</w:t>
      </w:r>
      <w:r>
        <w:rPr>
          <w:rFonts w:hint="eastAsia"/>
        </w:rPr>
        <w:t xml:space="preserve">万元，预算资金 </w:t>
      </w:r>
      <w:r>
        <w:rPr>
          <w:rFonts w:hint="eastAsia"/>
          <w:lang w:val="en-US" w:eastAsia="zh-CN"/>
        </w:rPr>
        <w:t>284.11</w:t>
      </w:r>
      <w:r>
        <w:rPr>
          <w:rFonts w:hint="eastAsia"/>
        </w:rPr>
        <w:t>万元，资金到位率100%。</w:t>
      </w:r>
    </w:p>
    <w:p w14:paraId="76A5BA29">
      <w:pPr>
        <w:spacing w:line="580" w:lineRule="exact"/>
        <w:ind w:firstLine="750" w:firstLineChars="250"/>
        <w:rPr>
          <w:rFonts w:hint="eastAsia"/>
        </w:rPr>
      </w:pPr>
      <w:r>
        <w:rPr>
          <w:rFonts w:hint="eastAsia"/>
        </w:rPr>
        <w:t>2、预算执行率</w:t>
      </w:r>
    </w:p>
    <w:p w14:paraId="438B3F46">
      <w:pPr>
        <w:spacing w:line="580" w:lineRule="exact"/>
        <w:ind w:firstLine="750" w:firstLineChars="250"/>
        <w:rPr>
          <w:rFonts w:hint="eastAsia"/>
        </w:rPr>
      </w:pPr>
      <w:r>
        <w:rPr>
          <w:rFonts w:hint="eastAsia"/>
        </w:rPr>
        <w:t>年初预算数</w:t>
      </w:r>
      <w:r>
        <w:rPr>
          <w:rFonts w:hint="eastAsia"/>
          <w:lang w:val="en-US" w:eastAsia="zh-CN"/>
        </w:rPr>
        <w:t>284.11</w:t>
      </w:r>
      <w:r>
        <w:rPr>
          <w:rFonts w:hint="eastAsia"/>
        </w:rPr>
        <w:t>万元，全年预算数</w:t>
      </w:r>
      <w:r>
        <w:rPr>
          <w:rFonts w:hint="eastAsia"/>
          <w:lang w:val="en-US" w:eastAsia="zh-CN"/>
        </w:rPr>
        <w:t>284.11</w:t>
      </w:r>
      <w:r>
        <w:rPr>
          <w:rFonts w:hint="eastAsia"/>
        </w:rPr>
        <w:t>万元，全年执行数</w:t>
      </w:r>
      <w:r>
        <w:rPr>
          <w:rFonts w:hint="eastAsia"/>
          <w:lang w:val="en-US" w:eastAsia="zh-CN"/>
        </w:rPr>
        <w:t>284.11</w:t>
      </w:r>
      <w:r>
        <w:rPr>
          <w:rFonts w:hint="eastAsia"/>
        </w:rPr>
        <w:t>万元，预算执行率为</w:t>
      </w:r>
      <w:r>
        <w:rPr>
          <w:rFonts w:hint="eastAsia"/>
          <w:lang w:val="en-US" w:eastAsia="zh-CN"/>
        </w:rPr>
        <w:t>100</w:t>
      </w:r>
      <w:r>
        <w:rPr>
          <w:rFonts w:hint="eastAsia"/>
        </w:rPr>
        <w:t>%.</w:t>
      </w:r>
    </w:p>
    <w:p w14:paraId="688081EA">
      <w:pPr>
        <w:spacing w:line="580" w:lineRule="exact"/>
        <w:ind w:firstLine="750" w:firstLineChars="250"/>
        <w:rPr>
          <w:rFonts w:hint="eastAsia"/>
        </w:rPr>
      </w:pPr>
      <w:r>
        <w:rPr>
          <w:rFonts w:hint="eastAsia"/>
        </w:rPr>
        <w:t>3、资金使用合规性</w:t>
      </w:r>
    </w:p>
    <w:p w14:paraId="13F67461">
      <w:pPr>
        <w:spacing w:line="560" w:lineRule="exact"/>
        <w:ind w:firstLine="640" w:firstLineChars="200"/>
        <w:jc w:val="left"/>
        <w:rPr>
          <w:rFonts w:hint="eastAsia" w:ascii="仿宋_GB2312" w:hAnsi="仿宋" w:eastAsia="仿宋_GB2312" w:cs="宋体"/>
          <w:color w:val="333333"/>
          <w:sz w:val="32"/>
          <w:szCs w:val="32"/>
          <w:lang w:val="en-US" w:eastAsia="zh-CN"/>
        </w:rPr>
      </w:pPr>
      <w:r>
        <w:rPr>
          <w:rFonts w:hint="eastAsia" w:ascii="仿宋_GB2312" w:hAnsi="仿宋" w:eastAsia="仿宋_GB2312" w:cs="宋体"/>
          <w:color w:val="333333"/>
          <w:sz w:val="32"/>
          <w:szCs w:val="32"/>
          <w:lang w:val="en-US" w:eastAsia="zh-CN"/>
        </w:rPr>
        <w:t>项目严格按照预期绩效目标执行预算资金。制定了相关的制度和管理规定，对项目经费使用进行规范管理，财务制度健全、执行严格。资金的拨付有完整的审批程序和手续，在项目资金拨付和使用过程中，为确保项目资金的安全性，提高项目资金使用效率，严格遵循项目资金的拨付程序，认真审核项目实施各阶段的相关材料和手续，根据项目实施进展情况拨付资金。资金使用符合该项目的立项批复。资金不存在截留、挤占、挪用、虚列支出等情况对于“资金管理”，根据评分标准，实际得分12分，得分率100%；</w:t>
      </w:r>
    </w:p>
    <w:p w14:paraId="6B905515">
      <w:pPr>
        <w:spacing w:line="560" w:lineRule="exact"/>
        <w:ind w:firstLine="640" w:firstLineChars="200"/>
        <w:jc w:val="left"/>
        <w:rPr>
          <w:rFonts w:hint="eastAsia" w:ascii="仿宋_GB2312" w:hAnsi="仿宋" w:eastAsia="仿宋_GB2312" w:cs="宋体"/>
          <w:color w:val="333333"/>
          <w:sz w:val="32"/>
          <w:szCs w:val="32"/>
          <w:lang w:val="en-US" w:eastAsia="zh-CN"/>
        </w:rPr>
      </w:pPr>
      <w:r>
        <w:rPr>
          <w:rFonts w:hint="eastAsia" w:ascii="仿宋_GB2312" w:hAnsi="仿宋" w:eastAsia="仿宋_GB2312" w:cs="宋体"/>
          <w:color w:val="333333"/>
          <w:sz w:val="32"/>
          <w:szCs w:val="32"/>
          <w:lang w:val="en-US" w:eastAsia="zh-CN"/>
        </w:rPr>
        <w:t>4、管理制度健全性</w:t>
      </w:r>
    </w:p>
    <w:p w14:paraId="1532A1CE">
      <w:pPr>
        <w:spacing w:line="560" w:lineRule="exact"/>
        <w:ind w:firstLine="640" w:firstLineChars="200"/>
        <w:jc w:val="left"/>
        <w:rPr>
          <w:rFonts w:hint="eastAsia" w:ascii="仿宋_GB2312" w:hAnsi="仿宋" w:eastAsia="仿宋_GB2312" w:cs="宋体"/>
          <w:color w:val="333333"/>
          <w:sz w:val="32"/>
          <w:szCs w:val="32"/>
          <w:lang w:val="en-US" w:eastAsia="zh-CN"/>
        </w:rPr>
      </w:pPr>
      <w:r>
        <w:rPr>
          <w:rFonts w:hint="eastAsia" w:ascii="仿宋_GB2312" w:hAnsi="仿宋" w:eastAsia="仿宋_GB2312" w:cs="宋体"/>
          <w:color w:val="333333"/>
          <w:sz w:val="32"/>
          <w:szCs w:val="32"/>
          <w:lang w:val="en-US" w:eastAsia="zh-CN"/>
        </w:rPr>
        <w:t>制定了相关管理办法，对财政资金进行严格管理，做到专款专用，项目资金使用符合相关的财务管理制度规定，能够反映和考核项目资金的规范运行情况；项目实施单位的财务和业务管理制度健全，能够反映和考核财务和业务管理制度对项目顺利实施的保障情况。</w:t>
      </w:r>
    </w:p>
    <w:p w14:paraId="3AB7489C">
      <w:pPr>
        <w:spacing w:line="580" w:lineRule="exact"/>
        <w:ind w:firstLine="640" w:firstLineChars="200"/>
        <w:rPr>
          <w:rFonts w:ascii="仿宋" w:hAnsi="仿宋" w:eastAsia="仿宋" w:cs="仿宋"/>
          <w:sz w:val="32"/>
          <w:szCs w:val="32"/>
        </w:rPr>
      </w:pPr>
      <w:r>
        <w:rPr>
          <w:rFonts w:hint="eastAsia" w:ascii="仿宋" w:hAnsi="仿宋" w:eastAsia="仿宋" w:cs="仿宋"/>
          <w:sz w:val="32"/>
          <w:szCs w:val="32"/>
          <w:lang w:val="en-US" w:eastAsia="zh-CN"/>
        </w:rPr>
        <w:t>5、</w:t>
      </w:r>
      <w:r>
        <w:rPr>
          <w:rFonts w:hint="eastAsia" w:ascii="仿宋" w:hAnsi="仿宋" w:eastAsia="仿宋" w:cs="仿宋"/>
          <w:sz w:val="32"/>
          <w:szCs w:val="32"/>
        </w:rPr>
        <w:t>制度执行有效性</w:t>
      </w:r>
    </w:p>
    <w:p w14:paraId="3BF2101F">
      <w:pPr>
        <w:spacing w:line="560" w:lineRule="exact"/>
        <w:ind w:firstLine="640" w:firstLineChars="200"/>
        <w:jc w:val="left"/>
        <w:rPr>
          <w:rFonts w:ascii="仿宋_GB2312" w:hAnsi="仿宋" w:eastAsia="仿宋_GB2312" w:cs="宋体"/>
          <w:color w:val="333333"/>
          <w:sz w:val="32"/>
          <w:szCs w:val="32"/>
        </w:rPr>
      </w:pPr>
      <w:r>
        <w:rPr>
          <w:rFonts w:hint="eastAsia" w:ascii="仿宋_GB2312" w:hAnsi="仿宋" w:eastAsia="仿宋_GB2312" w:cs="宋体"/>
          <w:color w:val="333333"/>
          <w:sz w:val="32"/>
          <w:szCs w:val="32"/>
          <w:lang w:val="en-US" w:eastAsia="zh-CN"/>
        </w:rPr>
        <w:t>制定了相关管理办法，对财政资金进行严格管理，做到专款专用，项目资金使用符合相关的财务管理制度规定，能够反映和考核项目资金的规范运行情况；项目实施单位的财务和业务管理制度健全，能够反映和考核财务和业务管理制度对项目顺利实施的保障情</w:t>
      </w:r>
      <w:r>
        <w:rPr>
          <w:rFonts w:hint="eastAsia" w:ascii="Times New Roman" w:hAnsi="Times New Roman" w:cs="Times New Roman"/>
          <w:lang w:val="en-US" w:eastAsia="zh-CN"/>
        </w:rPr>
        <w:t>况。</w:t>
      </w:r>
      <w:r>
        <w:rPr>
          <w:rFonts w:hint="eastAsia" w:ascii="仿宋_GB2312" w:hAnsi="仿宋" w:eastAsia="仿宋_GB2312" w:cs="宋体"/>
          <w:color w:val="333333"/>
          <w:sz w:val="32"/>
          <w:szCs w:val="32"/>
        </w:rPr>
        <w:t>对于“组织实施”，根据评分标准，实际得分8分，实际得分率100%。</w:t>
      </w:r>
    </w:p>
    <w:p w14:paraId="118279C7">
      <w:pPr>
        <w:spacing w:line="360" w:lineRule="auto"/>
      </w:pPr>
    </w:p>
    <w:p w14:paraId="5BE133B2">
      <w:pPr>
        <w:pStyle w:val="3"/>
        <w:spacing w:line="360" w:lineRule="auto"/>
        <w:rPr>
          <w:rFonts w:ascii="仿宋_GB2312" w:eastAsia="仿宋_GB2312"/>
          <w:b w:val="0"/>
          <w:bCs w:val="0"/>
        </w:rPr>
      </w:pPr>
      <w:bookmarkStart w:id="13" w:name="_Toc68703840"/>
      <w:r>
        <w:rPr>
          <w:rFonts w:hint="eastAsia" w:ascii="仿宋_GB2312" w:eastAsia="仿宋_GB2312"/>
          <w:b w:val="0"/>
          <w:bCs w:val="0"/>
        </w:rPr>
        <w:t>（三）项目产出情况。</w:t>
      </w:r>
      <w:bookmarkEnd w:id="13"/>
    </w:p>
    <w:p w14:paraId="236B1E03">
      <w:pPr>
        <w:spacing w:line="560" w:lineRule="exact"/>
        <w:ind w:firstLine="640" w:firstLineChars="200"/>
        <w:jc w:val="left"/>
        <w:rPr>
          <w:rFonts w:hint="eastAsia" w:ascii="仿宋_GB2312" w:hAnsi="仿宋" w:eastAsia="仿宋_GB2312" w:cs="宋体"/>
          <w:color w:val="333333"/>
          <w:sz w:val="32"/>
          <w:szCs w:val="32"/>
          <w:lang w:val="en-US" w:eastAsia="zh-CN"/>
        </w:rPr>
      </w:pPr>
      <w:r>
        <w:rPr>
          <w:rFonts w:hint="eastAsia" w:ascii="仿宋_GB2312" w:hAnsi="仿宋" w:eastAsia="仿宋_GB2312" w:cs="宋体"/>
          <w:color w:val="333333"/>
          <w:sz w:val="32"/>
          <w:szCs w:val="32"/>
          <w:lang w:val="en-US" w:eastAsia="zh-CN"/>
        </w:rPr>
        <w:t>数量指标完成情况：指标1：退耕还林补偿发放次数，指标值：1次，实际完成值1次，指标完成率100%，无偏差；</w:t>
      </w:r>
    </w:p>
    <w:p w14:paraId="6E67A538">
      <w:pPr>
        <w:spacing w:line="560" w:lineRule="exact"/>
        <w:ind w:firstLine="640" w:firstLineChars="200"/>
        <w:jc w:val="left"/>
        <w:rPr>
          <w:rFonts w:hint="default" w:ascii="仿宋_GB2312" w:hAnsi="仿宋" w:eastAsia="仿宋_GB2312" w:cs="宋体"/>
          <w:color w:val="333333"/>
          <w:sz w:val="32"/>
          <w:szCs w:val="32"/>
          <w:lang w:val="en-US" w:eastAsia="zh-CN"/>
        </w:rPr>
      </w:pPr>
      <w:r>
        <w:rPr>
          <w:rFonts w:hint="eastAsia" w:ascii="仿宋_GB2312" w:hAnsi="仿宋" w:eastAsia="仿宋_GB2312" w:cs="宋体"/>
          <w:color w:val="333333"/>
          <w:sz w:val="32"/>
          <w:szCs w:val="32"/>
          <w:lang w:val="en-US" w:eastAsia="zh-CN"/>
        </w:rPr>
        <w:t>指标2：退耕还林补偿面积，指标值：=7580.40亩，实际完成值=7580.40亩，指标完成率100%，无偏差。</w:t>
      </w:r>
    </w:p>
    <w:p w14:paraId="262B32F1">
      <w:pPr>
        <w:spacing w:line="560" w:lineRule="exact"/>
        <w:ind w:firstLine="640" w:firstLineChars="200"/>
        <w:jc w:val="left"/>
        <w:rPr>
          <w:rFonts w:hint="eastAsia" w:ascii="仿宋_GB2312" w:hAnsi="仿宋" w:eastAsia="仿宋_GB2312" w:cs="宋体"/>
          <w:color w:val="333333"/>
          <w:sz w:val="32"/>
          <w:szCs w:val="32"/>
          <w:lang w:val="en-US" w:eastAsia="zh-CN"/>
        </w:rPr>
      </w:pPr>
      <w:r>
        <w:rPr>
          <w:rFonts w:hint="eastAsia" w:ascii="仿宋_GB2312" w:hAnsi="仿宋" w:eastAsia="仿宋_GB2312" w:cs="宋体"/>
          <w:color w:val="333333"/>
          <w:sz w:val="32"/>
          <w:szCs w:val="32"/>
          <w:lang w:val="en-US" w:eastAsia="zh-CN"/>
        </w:rPr>
        <w:t>质量指标完成情况：指标1：退耕还林合格率，指标值：100%，实际完成值100%，指标完成率100%，无偏差。</w:t>
      </w:r>
    </w:p>
    <w:p w14:paraId="2E3DEBA8">
      <w:pPr>
        <w:spacing w:line="560" w:lineRule="exact"/>
        <w:ind w:firstLine="640" w:firstLineChars="200"/>
        <w:jc w:val="left"/>
        <w:rPr>
          <w:rFonts w:hint="eastAsia" w:ascii="仿宋_GB2312" w:hAnsi="仿宋" w:eastAsia="仿宋_GB2312" w:cs="宋体"/>
          <w:color w:val="333333"/>
          <w:sz w:val="32"/>
          <w:szCs w:val="32"/>
          <w:lang w:val="en-US" w:eastAsia="zh-CN"/>
        </w:rPr>
      </w:pPr>
      <w:r>
        <w:rPr>
          <w:rFonts w:hint="eastAsia" w:ascii="仿宋_GB2312" w:hAnsi="仿宋" w:eastAsia="仿宋_GB2312" w:cs="宋体"/>
          <w:color w:val="333333"/>
          <w:sz w:val="32"/>
          <w:szCs w:val="32"/>
          <w:lang w:val="en-US" w:eastAsia="zh-CN"/>
        </w:rPr>
        <w:t>时效指标完成情况：指标1：退耕还林补偿及时率，指标值：100%，实际完成值100%，指标完成率100%，无偏差。</w:t>
      </w:r>
    </w:p>
    <w:p w14:paraId="4D36A724">
      <w:pPr>
        <w:spacing w:line="560" w:lineRule="exact"/>
        <w:ind w:firstLine="640" w:firstLineChars="200"/>
        <w:jc w:val="left"/>
        <w:rPr>
          <w:rFonts w:hint="eastAsia" w:ascii="仿宋_GB2312" w:hAnsi="仿宋" w:eastAsia="仿宋_GB2312" w:cs="宋体"/>
          <w:color w:val="333333"/>
          <w:sz w:val="32"/>
          <w:szCs w:val="32"/>
          <w:lang w:val="en-US" w:eastAsia="zh-CN"/>
        </w:rPr>
      </w:pPr>
      <w:r>
        <w:rPr>
          <w:rFonts w:hint="eastAsia" w:ascii="仿宋_GB2312" w:hAnsi="仿宋" w:eastAsia="仿宋_GB2312" w:cs="宋体"/>
          <w:color w:val="333333"/>
          <w:sz w:val="32"/>
          <w:szCs w:val="32"/>
          <w:lang w:val="en-US" w:eastAsia="zh-CN"/>
        </w:rPr>
        <w:t>4.经济成本指标完成情况：指标1：预算控制率，指标值：100%，实际完成值100%，指标完成率100%，无偏差；</w:t>
      </w:r>
    </w:p>
    <w:p w14:paraId="67B0E460">
      <w:pPr>
        <w:spacing w:line="560" w:lineRule="exact"/>
        <w:ind w:firstLine="640" w:firstLineChars="200"/>
        <w:jc w:val="left"/>
        <w:rPr>
          <w:rFonts w:hint="eastAsia" w:ascii="仿宋_GB2312" w:hAnsi="仿宋" w:eastAsia="仿宋_GB2312" w:cs="宋体"/>
          <w:color w:val="333333"/>
          <w:sz w:val="32"/>
          <w:szCs w:val="32"/>
          <w:lang w:val="en-US" w:eastAsia="zh-CN"/>
        </w:rPr>
      </w:pPr>
      <w:r>
        <w:rPr>
          <w:rFonts w:hint="eastAsia" w:ascii="仿宋_GB2312" w:hAnsi="仿宋" w:eastAsia="仿宋_GB2312" w:cs="宋体"/>
          <w:color w:val="333333"/>
          <w:sz w:val="32"/>
          <w:szCs w:val="32"/>
          <w:lang w:val="en-US" w:eastAsia="zh-CN"/>
        </w:rPr>
        <w:t>（四）项目效益情况。</w:t>
      </w:r>
    </w:p>
    <w:p w14:paraId="4B645197">
      <w:pPr>
        <w:spacing w:line="560" w:lineRule="exact"/>
        <w:ind w:firstLine="640" w:firstLineChars="200"/>
        <w:jc w:val="left"/>
        <w:rPr>
          <w:rFonts w:hint="eastAsia" w:ascii="仿宋_GB2312" w:hAnsi="仿宋" w:eastAsia="仿宋_GB2312" w:cs="宋体"/>
          <w:color w:val="333333"/>
          <w:sz w:val="32"/>
          <w:szCs w:val="32"/>
          <w:lang w:val="en-US" w:eastAsia="zh-CN"/>
        </w:rPr>
      </w:pPr>
      <w:r>
        <w:rPr>
          <w:rFonts w:hint="eastAsia" w:ascii="仿宋_GB2312" w:hAnsi="仿宋" w:eastAsia="仿宋_GB2312" w:cs="宋体"/>
          <w:color w:val="333333"/>
          <w:sz w:val="32"/>
          <w:szCs w:val="32"/>
          <w:lang w:val="en-US" w:eastAsia="zh-CN"/>
        </w:rPr>
        <w:t>1.社会效益指标完成情况：指标1：保障生态环境，指标值：有所保障，实际完成值达成目标，指标完成率100%，无偏差。</w:t>
      </w:r>
    </w:p>
    <w:p w14:paraId="40AEFC3F">
      <w:pPr>
        <w:spacing w:line="560" w:lineRule="exact"/>
        <w:ind w:firstLine="640" w:firstLineChars="200"/>
        <w:jc w:val="left"/>
        <w:rPr>
          <w:rFonts w:hint="eastAsia" w:ascii="仿宋_GB2312" w:hAnsi="仿宋" w:eastAsia="仿宋_GB2312" w:cs="宋体"/>
          <w:color w:val="333333"/>
          <w:sz w:val="32"/>
          <w:szCs w:val="32"/>
          <w:lang w:val="en-US" w:eastAsia="zh-CN"/>
        </w:rPr>
      </w:pPr>
    </w:p>
    <w:p w14:paraId="29A8F899">
      <w:pPr>
        <w:spacing w:line="560" w:lineRule="exact"/>
        <w:ind w:firstLine="640" w:firstLineChars="200"/>
        <w:jc w:val="left"/>
        <w:rPr>
          <w:rFonts w:hint="eastAsia" w:ascii="仿宋_GB2312" w:hAnsi="仿宋" w:eastAsia="仿宋_GB2312" w:cs="宋体"/>
          <w:color w:val="333333"/>
          <w:sz w:val="32"/>
          <w:szCs w:val="32"/>
          <w:lang w:val="en-US" w:eastAsia="zh-CN"/>
        </w:rPr>
      </w:pPr>
      <w:r>
        <w:rPr>
          <w:rFonts w:hint="eastAsia" w:ascii="仿宋_GB2312" w:hAnsi="仿宋" w:eastAsia="仿宋_GB2312" w:cs="宋体"/>
          <w:color w:val="333333"/>
          <w:sz w:val="32"/>
          <w:szCs w:val="32"/>
          <w:lang w:val="en-US" w:eastAsia="zh-CN"/>
        </w:rPr>
        <w:t>2.满意度指标完成情况分析：指标1：受益人员满意度，指标值：100%，实际完成值100%，指标完成率100%，无偏差。</w:t>
      </w:r>
    </w:p>
    <w:p w14:paraId="1D640631">
      <w:pPr>
        <w:spacing w:line="560" w:lineRule="exact"/>
        <w:ind w:firstLine="640" w:firstLineChars="200"/>
        <w:jc w:val="left"/>
        <w:rPr>
          <w:rFonts w:hint="eastAsia" w:ascii="仿宋_GB2312" w:hAnsi="仿宋" w:eastAsia="仿宋_GB2312" w:cs="宋体"/>
          <w:color w:val="333333"/>
          <w:sz w:val="32"/>
          <w:szCs w:val="32"/>
          <w:lang w:val="en-US" w:eastAsia="zh-Hans"/>
        </w:rPr>
      </w:pPr>
      <w:r>
        <w:rPr>
          <w:rFonts w:hint="eastAsia" w:ascii="仿宋_GB2312" w:hAnsi="仿宋" w:eastAsia="仿宋_GB2312" w:cs="宋体"/>
          <w:color w:val="333333"/>
          <w:sz w:val="32"/>
          <w:szCs w:val="32"/>
          <w:lang w:val="en-US" w:eastAsia="zh-Hans"/>
        </w:rPr>
        <w:t>五、预算执行进度与绩效指标总体完成率偏差</w:t>
      </w:r>
    </w:p>
    <w:p w14:paraId="1DAB5892">
      <w:pPr>
        <w:spacing w:line="560" w:lineRule="exact"/>
        <w:ind w:firstLine="640" w:firstLineChars="200"/>
        <w:jc w:val="left"/>
        <w:rPr>
          <w:rFonts w:hint="eastAsia" w:ascii="仿宋_GB2312" w:hAnsi="仿宋" w:eastAsia="仿宋_GB2312" w:cs="宋体"/>
          <w:color w:val="333333"/>
          <w:sz w:val="32"/>
          <w:szCs w:val="32"/>
          <w:lang w:val="en-US" w:eastAsia="zh-CN"/>
        </w:rPr>
      </w:pPr>
      <w:r>
        <w:rPr>
          <w:rFonts w:hint="eastAsia" w:ascii="仿宋_GB2312" w:hAnsi="仿宋" w:eastAsia="仿宋_GB2312" w:cs="宋体"/>
          <w:color w:val="333333"/>
          <w:sz w:val="32"/>
          <w:szCs w:val="32"/>
          <w:lang w:val="en-US" w:eastAsia="zh-CN"/>
        </w:rPr>
        <w:t>退耕还林延长补助资金项目年初预算284.11万元，全年预算284.11万元，实际支出284.11万元，预算执行率为100%，项目绩效指标总体完成率为100%，</w:t>
      </w:r>
      <w:r>
        <w:rPr>
          <w:rFonts w:hint="eastAsia" w:ascii="仿宋_GB2312" w:hAnsi="仿宋" w:eastAsia="仿宋_GB2312" w:cs="宋体"/>
          <w:color w:val="333333"/>
          <w:sz w:val="32"/>
          <w:szCs w:val="32"/>
          <w:lang w:val="en-US" w:eastAsia="zh-Hans"/>
        </w:rPr>
        <w:t>总体</w:t>
      </w:r>
      <w:r>
        <w:rPr>
          <w:rFonts w:hint="eastAsia" w:ascii="仿宋_GB2312" w:hAnsi="仿宋" w:eastAsia="仿宋_GB2312" w:cs="宋体"/>
          <w:color w:val="333333"/>
          <w:sz w:val="32"/>
          <w:szCs w:val="32"/>
          <w:lang w:val="en-US" w:eastAsia="zh-CN"/>
        </w:rPr>
        <w:t>偏差率为0%,</w:t>
      </w:r>
      <w:r>
        <w:rPr>
          <w:rFonts w:hint="eastAsia" w:ascii="仿宋_GB2312" w:hAnsi="仿宋" w:eastAsia="仿宋_GB2312" w:cs="宋体"/>
          <w:color w:val="333333"/>
          <w:sz w:val="32"/>
          <w:szCs w:val="32"/>
          <w:lang w:val="en-US" w:eastAsia="zh-Hans"/>
        </w:rPr>
        <w:t>偏差</w:t>
      </w:r>
      <w:r>
        <w:rPr>
          <w:rFonts w:hint="eastAsia" w:ascii="仿宋_GB2312" w:hAnsi="仿宋" w:eastAsia="仿宋_GB2312" w:cs="宋体"/>
          <w:color w:val="333333"/>
          <w:sz w:val="32"/>
          <w:szCs w:val="32"/>
          <w:lang w:val="en-US" w:eastAsia="zh-CN"/>
        </w:rPr>
        <w:t>原因无，</w:t>
      </w:r>
      <w:r>
        <w:rPr>
          <w:rFonts w:hint="eastAsia" w:ascii="仿宋_GB2312" w:hAnsi="仿宋" w:eastAsia="仿宋_GB2312" w:cs="宋体"/>
          <w:color w:val="333333"/>
          <w:sz w:val="32"/>
          <w:szCs w:val="32"/>
          <w:lang w:val="en-US" w:eastAsia="zh-Hans"/>
        </w:rPr>
        <w:t>改进</w:t>
      </w:r>
      <w:r>
        <w:rPr>
          <w:rFonts w:hint="eastAsia" w:ascii="仿宋_GB2312" w:hAnsi="仿宋" w:eastAsia="仿宋_GB2312" w:cs="宋体"/>
          <w:color w:val="333333"/>
          <w:sz w:val="32"/>
          <w:szCs w:val="32"/>
          <w:lang w:val="en-US" w:eastAsia="zh-CN"/>
        </w:rPr>
        <w:t>措施无。</w:t>
      </w:r>
    </w:p>
    <w:p w14:paraId="489ABB74">
      <w:pPr>
        <w:spacing w:line="560" w:lineRule="exact"/>
        <w:ind w:firstLine="640" w:firstLineChars="200"/>
        <w:jc w:val="left"/>
        <w:rPr>
          <w:rFonts w:hint="eastAsia" w:ascii="仿宋_GB2312" w:hAnsi="仿宋" w:eastAsia="仿宋_GB2312" w:cs="宋体"/>
          <w:color w:val="333333"/>
          <w:sz w:val="32"/>
          <w:szCs w:val="32"/>
          <w:lang w:val="en-US" w:eastAsia="zh-CN"/>
        </w:rPr>
      </w:pPr>
    </w:p>
    <w:p w14:paraId="73B337F8">
      <w:pPr>
        <w:pStyle w:val="2"/>
        <w:spacing w:line="360" w:lineRule="auto"/>
        <w:rPr>
          <w:rFonts w:ascii="宋体" w:hAnsi="宋体" w:eastAsia="宋体"/>
          <w:sz w:val="32"/>
          <w:szCs w:val="32"/>
        </w:rPr>
      </w:pPr>
      <w:bookmarkStart w:id="14" w:name="_Toc68703842"/>
      <w:r>
        <w:rPr>
          <w:rFonts w:hint="eastAsia" w:ascii="宋体" w:hAnsi="宋体" w:eastAsia="宋体"/>
          <w:sz w:val="32"/>
          <w:szCs w:val="32"/>
          <w:lang w:val="en-US" w:eastAsia="zh-CN"/>
        </w:rPr>
        <w:t>五</w:t>
      </w:r>
      <w:r>
        <w:rPr>
          <w:rFonts w:hint="eastAsia" w:ascii="宋体" w:hAnsi="宋体" w:eastAsia="宋体"/>
          <w:sz w:val="32"/>
          <w:szCs w:val="32"/>
        </w:rPr>
        <w:t>、主要经验及做法、存在的问题及原因分析</w:t>
      </w:r>
      <w:bookmarkEnd w:id="14"/>
    </w:p>
    <w:p w14:paraId="34D30B6F">
      <w:pPr>
        <w:pStyle w:val="3"/>
        <w:spacing w:line="360" w:lineRule="auto"/>
        <w:rPr>
          <w:rFonts w:ascii="仿宋_GB2312" w:eastAsia="仿宋_GB2312"/>
          <w:b w:val="0"/>
          <w:bCs w:val="0"/>
        </w:rPr>
      </w:pPr>
      <w:bookmarkStart w:id="15" w:name="_Toc68703843"/>
      <w:r>
        <w:rPr>
          <w:rFonts w:hint="eastAsia" w:ascii="仿宋_GB2312" w:eastAsia="仿宋_GB2312"/>
          <w:b w:val="0"/>
          <w:bCs w:val="0"/>
        </w:rPr>
        <w:t>（一）主要经验及做法</w:t>
      </w:r>
      <w:bookmarkEnd w:id="15"/>
    </w:p>
    <w:p w14:paraId="678A17B4">
      <w:pPr>
        <w:spacing w:line="560" w:lineRule="exact"/>
        <w:ind w:firstLine="600" w:firstLineChars="200"/>
        <w:rPr>
          <w:rFonts w:ascii="仿宋" w:hAnsi="仿宋" w:eastAsia="仿宋" w:cs="仿宋"/>
          <w:szCs w:val="32"/>
        </w:rPr>
      </w:pPr>
      <w:bookmarkStart w:id="16" w:name="_Toc68703844"/>
      <w:r>
        <w:rPr>
          <w:rFonts w:hint="eastAsia" w:ascii="仿宋" w:hAnsi="仿宋" w:eastAsia="仿宋" w:cs="仿宋"/>
          <w:szCs w:val="32"/>
        </w:rPr>
        <w:t>1、加强组织领导，层层抓落实  一是建立了以乡镇为主体，积极配合县自然资源局下派技术人员，领导群众有序地开展退耕还林工作。二是通过召开村民大会，在思想发动、组织动员上</w:t>
      </w:r>
      <w:bookmarkStart w:id="19" w:name="_GoBack"/>
      <w:bookmarkEnd w:id="19"/>
      <w:r>
        <w:rPr>
          <w:rFonts w:hint="eastAsia" w:ascii="仿宋" w:hAnsi="仿宋" w:eastAsia="仿宋" w:cs="仿宋"/>
          <w:szCs w:val="32"/>
          <w:lang w:eastAsia="zh-CN"/>
        </w:rPr>
        <w:t>下功夫</w:t>
      </w:r>
      <w:r>
        <w:rPr>
          <w:rFonts w:hint="eastAsia" w:ascii="仿宋" w:hAnsi="仿宋" w:eastAsia="仿宋" w:cs="仿宋"/>
          <w:szCs w:val="32"/>
        </w:rPr>
        <w:t>，积极引导群众正确认识新一轮退耕还林的意义。</w:t>
      </w:r>
    </w:p>
    <w:p w14:paraId="1D84CAC7">
      <w:pPr>
        <w:spacing w:line="560" w:lineRule="exact"/>
        <w:ind w:firstLine="600" w:firstLineChars="200"/>
        <w:rPr>
          <w:rFonts w:ascii="仿宋" w:hAnsi="仿宋" w:eastAsia="仿宋" w:cs="仿宋"/>
          <w:szCs w:val="32"/>
        </w:rPr>
      </w:pPr>
      <w:r>
        <w:rPr>
          <w:rFonts w:hint="eastAsia" w:ascii="仿宋" w:hAnsi="仿宋" w:eastAsia="仿宋" w:cs="仿宋"/>
          <w:szCs w:val="32"/>
        </w:rPr>
        <w:t>2、科学规划、指导，确保成活率  一是</w:t>
      </w:r>
      <w:r>
        <w:rPr>
          <w:rFonts w:hint="eastAsia" w:ascii="仿宋" w:hAnsi="仿宋" w:eastAsia="仿宋" w:cs="仿宋"/>
          <w:szCs w:val="32"/>
          <w:lang w:val="zh-CN"/>
        </w:rPr>
        <w:t>自然资源、生态环境、产业发展等不同情况，因地制宜，因势利导，</w:t>
      </w:r>
      <w:r>
        <w:rPr>
          <w:rFonts w:hint="eastAsia" w:ascii="仿宋" w:hAnsi="仿宋" w:eastAsia="仿宋" w:cs="仿宋"/>
          <w:szCs w:val="32"/>
        </w:rPr>
        <w:t>做到适地适树，</w:t>
      </w:r>
      <w:r>
        <w:rPr>
          <w:rFonts w:hint="eastAsia" w:ascii="仿宋" w:hAnsi="仿宋" w:eastAsia="仿宋" w:cs="仿宋"/>
          <w:szCs w:val="32"/>
          <w:lang w:val="zh-CN"/>
        </w:rPr>
        <w:t>积极营造结构合理、</w:t>
      </w:r>
      <w:r>
        <w:rPr>
          <w:rFonts w:hint="eastAsia" w:ascii="仿宋" w:hAnsi="仿宋" w:eastAsia="仿宋" w:cs="仿宋"/>
          <w:szCs w:val="32"/>
        </w:rPr>
        <w:t>二是县林草部门安排专业技术人员包联乡镇对退耕还林进行技术指导，严格执行相关技术标准，把好整地、苗木、浇水、抚育关，做到合理种植。保证了苗木成活率。</w:t>
      </w:r>
    </w:p>
    <w:p w14:paraId="50D2326D">
      <w:pPr>
        <w:spacing w:line="560" w:lineRule="exact"/>
        <w:ind w:firstLine="600" w:firstLineChars="200"/>
        <w:rPr>
          <w:rFonts w:ascii="仿宋" w:hAnsi="仿宋" w:eastAsia="仿宋" w:cs="仿宋"/>
          <w:szCs w:val="32"/>
        </w:rPr>
      </w:pPr>
      <w:r>
        <w:rPr>
          <w:rFonts w:hint="eastAsia" w:ascii="仿宋" w:hAnsi="仿宋" w:eastAsia="仿宋" w:cs="仿宋"/>
          <w:szCs w:val="32"/>
        </w:rPr>
        <w:t>3、加强宣传教育。以“绿水青山就是金山银山”的理念，通过入户走访、广播、宣传栏、横幅等多种途径，宣传退耕还林工程建设，提高农户保护退耕成果的意识，也使更多农户加入到退耕还林队伍中来推动退耕还林工作的发展。</w:t>
      </w:r>
    </w:p>
    <w:p w14:paraId="31A89EF1">
      <w:pPr>
        <w:spacing w:line="560" w:lineRule="exact"/>
        <w:ind w:firstLine="600" w:firstLineChars="200"/>
        <w:rPr>
          <w:rFonts w:ascii="仿宋" w:hAnsi="仿宋" w:eastAsia="仿宋" w:cs="仿宋"/>
          <w:szCs w:val="32"/>
        </w:rPr>
      </w:pPr>
      <w:r>
        <w:rPr>
          <w:rFonts w:hint="eastAsia" w:ascii="仿宋" w:hAnsi="仿宋" w:eastAsia="仿宋" w:cs="仿宋"/>
          <w:szCs w:val="32"/>
        </w:rPr>
        <w:t>4、加强养护管理  一是在林木病害易发阶段，积极与县林草部门沟通，对林木进行病害防治，二是加强对苗木的的浇水、施肥、除草以及修剪等日常管护，确保成活率达到65%以上。三是在入冬时节对苗木进行涂白做好防护防损工作。</w:t>
      </w:r>
    </w:p>
    <w:p w14:paraId="0AC75B32">
      <w:pPr>
        <w:spacing w:line="560" w:lineRule="exact"/>
        <w:ind w:firstLine="600" w:firstLineChars="200"/>
        <w:rPr>
          <w:rFonts w:ascii="仿宋" w:hAnsi="仿宋" w:eastAsia="仿宋" w:cs="仿宋"/>
          <w:szCs w:val="32"/>
        </w:rPr>
      </w:pPr>
      <w:r>
        <w:rPr>
          <w:rFonts w:hint="eastAsia" w:ascii="仿宋" w:hAnsi="仿宋" w:eastAsia="仿宋" w:cs="仿宋"/>
          <w:szCs w:val="32"/>
        </w:rPr>
        <w:t>5、完善制度，强化管护。乡镇场对本乡的实际情况，建立和完善个体管护、专人管护等多种形式相结合的管护机制，通过明确职能、细化责任，使管护责任真正落到实处，提高了成活率，确保造林成果。</w:t>
      </w:r>
    </w:p>
    <w:p w14:paraId="52AC74F4">
      <w:pPr>
        <w:pStyle w:val="3"/>
        <w:spacing w:line="360" w:lineRule="auto"/>
        <w:rPr>
          <w:rFonts w:ascii="仿宋_GB2312" w:eastAsia="仿宋_GB2312"/>
          <w:b w:val="0"/>
          <w:bCs w:val="0"/>
        </w:rPr>
      </w:pPr>
      <w:r>
        <w:rPr>
          <w:rFonts w:hint="eastAsia" w:ascii="仿宋_GB2312" w:eastAsia="仿宋_GB2312"/>
          <w:b w:val="0"/>
          <w:bCs w:val="0"/>
        </w:rPr>
        <w:t>（二）存在的问题及原因分析</w:t>
      </w:r>
      <w:bookmarkEnd w:id="16"/>
    </w:p>
    <w:p w14:paraId="30D41CDD">
      <w:pPr>
        <w:ind w:firstLine="640" w:firstLineChars="200"/>
        <w:contextualSpacing/>
        <w:rPr>
          <w:rFonts w:hint="eastAsia" w:ascii="仿宋_GB2312" w:hAnsi="仿宋" w:cs="宋体"/>
          <w:color w:val="333333"/>
          <w:sz w:val="32"/>
          <w:szCs w:val="32"/>
          <w:lang w:eastAsia="zh-CN"/>
        </w:rPr>
      </w:pPr>
      <w:bookmarkStart w:id="17" w:name="_Toc68703845"/>
      <w:r>
        <w:rPr>
          <w:rFonts w:hint="eastAsia" w:ascii="仿宋_GB2312" w:hAnsi="仿宋" w:cs="宋体"/>
          <w:color w:val="333333"/>
          <w:sz w:val="32"/>
          <w:szCs w:val="32"/>
          <w:lang w:val="en-US" w:eastAsia="zh-CN"/>
        </w:rPr>
        <w:t>存在的问题：</w:t>
      </w:r>
      <w:r>
        <w:rPr>
          <w:rFonts w:hint="eastAsia" w:ascii="仿宋_GB2312" w:hAnsi="仿宋" w:eastAsia="仿宋_GB2312" w:cs="宋体"/>
          <w:color w:val="333333"/>
          <w:sz w:val="32"/>
          <w:szCs w:val="32"/>
        </w:rPr>
        <w:t>参与绩效管理工作的人员经验不足，绩效管理水平有待提高，绩效管理意识进一步提高</w:t>
      </w:r>
      <w:r>
        <w:rPr>
          <w:rFonts w:hint="eastAsia" w:ascii="仿宋_GB2312" w:hAnsi="仿宋" w:cs="宋体"/>
          <w:color w:val="333333"/>
          <w:sz w:val="32"/>
          <w:szCs w:val="32"/>
          <w:lang w:eastAsia="zh-CN"/>
        </w:rPr>
        <w:t>。</w:t>
      </w:r>
    </w:p>
    <w:p w14:paraId="27B3D94A">
      <w:pPr>
        <w:ind w:firstLine="640" w:firstLineChars="200"/>
        <w:contextualSpacing/>
        <w:rPr>
          <w:rFonts w:ascii="仿宋_GB2312" w:hAnsi="仿宋" w:eastAsia="仿宋_GB2312" w:cs="宋体"/>
          <w:color w:val="333333"/>
          <w:sz w:val="32"/>
          <w:szCs w:val="32"/>
        </w:rPr>
      </w:pPr>
      <w:r>
        <w:rPr>
          <w:rFonts w:hint="eastAsia" w:ascii="仿宋_GB2312" w:hAnsi="仿宋" w:cs="宋体"/>
          <w:color w:val="333333"/>
          <w:sz w:val="32"/>
          <w:szCs w:val="32"/>
          <w:lang w:val="en-US" w:eastAsia="zh-CN"/>
        </w:rPr>
        <w:t>原因分析：</w:t>
      </w:r>
      <w:r>
        <w:rPr>
          <w:rFonts w:hint="eastAsia" w:ascii="仿宋_GB2312" w:hAnsi="仿宋" w:eastAsia="仿宋_GB2312" w:cs="宋体"/>
          <w:color w:val="333333"/>
          <w:sz w:val="32"/>
          <w:szCs w:val="32"/>
        </w:rPr>
        <w:t>按照财政支出绩效管理的要求，继续完善绩效评价的评价体系及工作流程，提高财政资金使用管理的水平和效率。</w:t>
      </w:r>
    </w:p>
    <w:p w14:paraId="3F757986">
      <w:pPr>
        <w:pStyle w:val="2"/>
        <w:spacing w:line="360" w:lineRule="auto"/>
        <w:rPr>
          <w:rFonts w:ascii="宋体" w:hAnsi="宋体" w:eastAsia="宋体"/>
          <w:sz w:val="32"/>
          <w:szCs w:val="32"/>
        </w:rPr>
      </w:pPr>
      <w:r>
        <w:rPr>
          <w:rFonts w:hint="eastAsia" w:ascii="宋体" w:hAnsi="宋体" w:eastAsia="宋体"/>
          <w:sz w:val="32"/>
          <w:szCs w:val="32"/>
        </w:rPr>
        <w:t>六、有关建议</w:t>
      </w:r>
      <w:bookmarkEnd w:id="17"/>
    </w:p>
    <w:p w14:paraId="4DE13D05">
      <w:pPr>
        <w:spacing w:line="560" w:lineRule="exact"/>
        <w:ind w:firstLine="640" w:firstLineChars="200"/>
        <w:jc w:val="left"/>
        <w:rPr>
          <w:rFonts w:hint="eastAsia" w:ascii="仿宋_GB2312" w:hAnsi="仿宋" w:eastAsia="仿宋_GB2312" w:cs="宋体"/>
          <w:color w:val="333333"/>
          <w:sz w:val="32"/>
          <w:szCs w:val="32"/>
          <w:lang w:val="en-US" w:eastAsia="zh-CN"/>
        </w:rPr>
      </w:pPr>
      <w:r>
        <w:rPr>
          <w:rFonts w:hint="eastAsia" w:ascii="仿宋_GB2312" w:hAnsi="仿宋" w:eastAsia="仿宋_GB2312" w:cs="宋体"/>
          <w:color w:val="333333"/>
          <w:sz w:val="32"/>
          <w:szCs w:val="32"/>
          <w:lang w:val="en-US" w:eastAsia="zh-CN"/>
        </w:rPr>
        <w:t>1.多进行有关绩效管理工作方面的培训。积极组织第三方开展绩效管理工作培训，进一步夯实业务基础，提高我单位绩效人员水平。</w:t>
      </w:r>
    </w:p>
    <w:p w14:paraId="17B854D3">
      <w:pPr>
        <w:spacing w:line="560" w:lineRule="exact"/>
        <w:ind w:firstLine="640" w:firstLineChars="200"/>
        <w:jc w:val="left"/>
        <w:rPr>
          <w:rFonts w:hint="eastAsia" w:ascii="仿宋_GB2312" w:hAnsi="仿宋" w:eastAsia="仿宋_GB2312" w:cs="宋体"/>
          <w:color w:val="333333"/>
          <w:sz w:val="32"/>
          <w:szCs w:val="32"/>
          <w:lang w:val="en-US" w:eastAsia="zh-CN"/>
        </w:rPr>
      </w:pPr>
      <w:r>
        <w:rPr>
          <w:rFonts w:hint="eastAsia" w:ascii="仿宋_GB2312" w:hAnsi="仿宋" w:eastAsia="仿宋_GB2312" w:cs="宋体"/>
          <w:color w:val="333333"/>
          <w:sz w:val="32"/>
          <w:szCs w:val="32"/>
          <w:lang w:val="en-US" w:eastAsia="zh-CN"/>
        </w:rPr>
        <w:t>2.专门设定对绩效工作人员定职、定岗、定责等相关制度措施，进一步提升我单位绩效管理工作业务水平，扎实做好绩效管理工作。</w:t>
      </w:r>
    </w:p>
    <w:p w14:paraId="4D5E56C3">
      <w:pPr>
        <w:spacing w:line="560" w:lineRule="exact"/>
        <w:ind w:firstLine="640" w:firstLineChars="200"/>
        <w:jc w:val="left"/>
        <w:rPr>
          <w:rFonts w:hint="eastAsia" w:ascii="仿宋_GB2312" w:hAnsi="仿宋" w:eastAsia="仿宋_GB2312" w:cs="宋体"/>
          <w:color w:val="333333"/>
          <w:sz w:val="32"/>
          <w:szCs w:val="32"/>
          <w:lang w:val="en-US" w:eastAsia="zh-CN"/>
        </w:rPr>
      </w:pPr>
      <w:r>
        <w:rPr>
          <w:rFonts w:hint="eastAsia" w:ascii="仿宋_GB2312" w:hAnsi="仿宋" w:eastAsia="仿宋_GB2312" w:cs="宋体"/>
          <w:color w:val="333333"/>
          <w:sz w:val="32"/>
          <w:szCs w:val="32"/>
          <w:lang w:val="en-US" w:eastAsia="zh-CN"/>
        </w:rPr>
        <w:t>3.进一步规范项目建设的程序。项目前期做好可行性研究报告，更加细化实施方案，严格执行资金管理办法和财政资金管理制度，严格按照项目实施方案、招投标管理办法等稳步推进工作，各部门单位根据自己项目的特点进行总结。</w:t>
      </w:r>
    </w:p>
    <w:p w14:paraId="68AF2418">
      <w:pPr>
        <w:spacing w:line="560" w:lineRule="exact"/>
        <w:ind w:firstLine="600" w:firstLineChars="200"/>
        <w:rPr>
          <w:rFonts w:ascii="仿宋_GB2312" w:hAnsi="仿宋_GB2312" w:cs="仿宋_GB2312"/>
          <w:color w:val="000000" w:themeColor="text1"/>
          <w:szCs w:val="32"/>
        </w:rPr>
      </w:pPr>
    </w:p>
    <w:p w14:paraId="1EB989F1"/>
    <w:p w14:paraId="2CC5BF4B">
      <w:pPr>
        <w:pStyle w:val="2"/>
        <w:spacing w:line="360" w:lineRule="auto"/>
        <w:rPr>
          <w:rFonts w:ascii="宋体" w:hAnsi="宋体" w:eastAsia="宋体"/>
          <w:sz w:val="32"/>
          <w:szCs w:val="32"/>
        </w:rPr>
      </w:pPr>
      <w:bookmarkStart w:id="18" w:name="_Toc68703846"/>
      <w:r>
        <w:rPr>
          <w:rFonts w:hint="eastAsia" w:ascii="宋体" w:hAnsi="宋体" w:eastAsia="宋体"/>
          <w:sz w:val="32"/>
          <w:szCs w:val="32"/>
        </w:rPr>
        <w:t>七、其他需要说明的问题</w:t>
      </w:r>
      <w:bookmarkEnd w:id="18"/>
    </w:p>
    <w:p w14:paraId="09E73449">
      <w:pPr>
        <w:spacing w:line="560" w:lineRule="exact"/>
        <w:ind w:firstLine="640" w:firstLineChars="200"/>
        <w:jc w:val="left"/>
        <w:rPr>
          <w:rFonts w:ascii="仿宋_GB2312" w:hAnsi="仿宋" w:eastAsia="仿宋_GB2312" w:cs="宋体"/>
          <w:color w:val="333333"/>
          <w:sz w:val="32"/>
          <w:szCs w:val="32"/>
        </w:rPr>
      </w:pPr>
      <w:r>
        <w:rPr>
          <w:rFonts w:hint="eastAsia" w:ascii="仿宋_GB2312" w:hAnsi="仿宋" w:eastAsia="仿宋_GB2312" w:cs="宋体"/>
          <w:color w:val="333333"/>
          <w:sz w:val="32"/>
          <w:szCs w:val="32"/>
        </w:rPr>
        <w:t>本次预算绩效评价所采集的数据因为采集时间、数据来源等诸多因素的影响，可能会出现一定的偏差，进而对评价结果存在影响。</w:t>
      </w:r>
    </w:p>
    <w:p w14:paraId="310FA5B6">
      <w:pPr>
        <w:ind w:firstLine="3900" w:firstLineChars="1300"/>
        <w:rPr>
          <w:rFonts w:ascii="仿宋_GB2312" w:hAnsi="仿宋_GB2312" w:cs="仿宋_GB2312"/>
          <w:color w:val="000000" w:themeColor="text1"/>
          <w:sz w:val="32"/>
          <w:szCs w:val="32"/>
        </w:rPr>
      </w:pPr>
      <w:r>
        <w:rPr>
          <w:rFonts w:hint="eastAsia" w:ascii="仿宋_GB2312" w:hAnsi="仿宋_GB2312" w:eastAsia="仿宋_GB2312" w:cs="仿宋_GB2312"/>
          <w:b w:val="0"/>
          <w:bCs w:val="0"/>
          <w:color w:val="000000" w:themeColor="text1"/>
          <w:kern w:val="2"/>
        </w:rPr>
        <w:t xml:space="preserve">             </w:t>
      </w:r>
    </w:p>
    <w:p w14:paraId="4FDA4DAA">
      <w:pPr>
        <w:spacing w:line="360" w:lineRule="auto"/>
      </w:pPr>
    </w:p>
    <w:p w14:paraId="2445D8AD"/>
    <w:sectPr>
      <w:pgSz w:w="11906" w:h="16838"/>
      <w:pgMar w:top="1928" w:right="1531" w:bottom="1701" w:left="1531" w:header="737" w:footer="851" w:gutter="0"/>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等线 Light">
    <w:altName w:val="宋体"/>
    <w:panose1 w:val="02010600030101010101"/>
    <w:charset w:val="86"/>
    <w:family w:val="auto"/>
    <w:pitch w:val="default"/>
    <w:sig w:usb0="00000000" w:usb1="00000000" w:usb2="00000016" w:usb3="00000000" w:csb0="0004000F" w:csb1="00000000"/>
  </w:font>
  <w:font w:name="等线">
    <w:altName w:val="微软雅黑"/>
    <w:panose1 w:val="02010600030101010101"/>
    <w:charset w:val="86"/>
    <w:family w:val="auto"/>
    <w:pitch w:val="default"/>
    <w:sig w:usb0="00000000" w:usb1="00000000" w:usb2="00000016" w:usb3="00000000" w:csb0="0004000F" w:csb1="00000000"/>
  </w:font>
  <w:font w:name="方正小标宋简体">
    <w:panose1 w:val="02000000000000000000"/>
    <w:charset w:val="86"/>
    <w:family w:val="script"/>
    <w:pitch w:val="default"/>
    <w:sig w:usb0="A00002BF" w:usb1="184F6CFA" w:usb2="00000012" w:usb3="00000000" w:csb0="00040001" w:csb1="00000000"/>
  </w:font>
  <w:font w:name="仿宋">
    <w:panose1 w:val="02010609060101010101"/>
    <w:charset w:val="86"/>
    <w:family w:val="modern"/>
    <w:pitch w:val="default"/>
    <w:sig w:usb0="800002BF" w:usb1="38CF7CFA" w:usb2="00000016" w:usb3="00000000" w:csb0="00040001" w:csb1="00000000"/>
  </w:font>
  <w:font w:name="方正仿宋_GBK">
    <w:panose1 w:val="02000000000000000000"/>
    <w:charset w:val="86"/>
    <w:family w:val="script"/>
    <w:pitch w:val="default"/>
    <w:sig w:usb0="A00002BF" w:usb1="38CF7CFA" w:usb2="00082016" w:usb3="00000000" w:csb0="00040001" w:csb1="00000000"/>
  </w:font>
  <w:font w:name="等线 Light">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等线">
    <w:altName w:val="微软雅黑"/>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YWViMzQ5M2ZlYTk3N2UxYjU3MDlmMDQwNmI3MjNiYWIifQ=="/>
  </w:docVars>
  <w:rsids>
    <w:rsidRoot w:val="007D49C5"/>
    <w:rsid w:val="0002560D"/>
    <w:rsid w:val="000B223C"/>
    <w:rsid w:val="000D2F80"/>
    <w:rsid w:val="00212B85"/>
    <w:rsid w:val="00217FBE"/>
    <w:rsid w:val="002313D5"/>
    <w:rsid w:val="00340054"/>
    <w:rsid w:val="00376D6A"/>
    <w:rsid w:val="004253F7"/>
    <w:rsid w:val="00472206"/>
    <w:rsid w:val="004850D4"/>
    <w:rsid w:val="00562FFC"/>
    <w:rsid w:val="00571796"/>
    <w:rsid w:val="005C5F90"/>
    <w:rsid w:val="00614288"/>
    <w:rsid w:val="0065042B"/>
    <w:rsid w:val="006A4CD9"/>
    <w:rsid w:val="007634A4"/>
    <w:rsid w:val="00770F0F"/>
    <w:rsid w:val="007D49C5"/>
    <w:rsid w:val="008032CD"/>
    <w:rsid w:val="008464B5"/>
    <w:rsid w:val="00890E39"/>
    <w:rsid w:val="00890E6C"/>
    <w:rsid w:val="008C631D"/>
    <w:rsid w:val="008E10F3"/>
    <w:rsid w:val="00977705"/>
    <w:rsid w:val="00987A38"/>
    <w:rsid w:val="00A7206A"/>
    <w:rsid w:val="00AE41A6"/>
    <w:rsid w:val="00B42AEA"/>
    <w:rsid w:val="00BA5133"/>
    <w:rsid w:val="00BA7845"/>
    <w:rsid w:val="00BB605A"/>
    <w:rsid w:val="00BC435C"/>
    <w:rsid w:val="00C25EE0"/>
    <w:rsid w:val="00C469AA"/>
    <w:rsid w:val="00C865BA"/>
    <w:rsid w:val="00CA4843"/>
    <w:rsid w:val="00CB56EC"/>
    <w:rsid w:val="00DA5CCF"/>
    <w:rsid w:val="00DE47B2"/>
    <w:rsid w:val="00E10C7D"/>
    <w:rsid w:val="00EF1FE3"/>
    <w:rsid w:val="00FD62B6"/>
    <w:rsid w:val="02DE71B0"/>
    <w:rsid w:val="04FF2DCA"/>
    <w:rsid w:val="058E3A28"/>
    <w:rsid w:val="0D7A364A"/>
    <w:rsid w:val="0DD759F4"/>
    <w:rsid w:val="10B93687"/>
    <w:rsid w:val="117E0FE2"/>
    <w:rsid w:val="15DA37C6"/>
    <w:rsid w:val="1B065E2C"/>
    <w:rsid w:val="1F78141A"/>
    <w:rsid w:val="207812B9"/>
    <w:rsid w:val="266D3BDD"/>
    <w:rsid w:val="2732278A"/>
    <w:rsid w:val="297963D7"/>
    <w:rsid w:val="3F3020FF"/>
    <w:rsid w:val="439717CE"/>
    <w:rsid w:val="47E524E0"/>
    <w:rsid w:val="48C23FA9"/>
    <w:rsid w:val="4BF5381C"/>
    <w:rsid w:val="57A04676"/>
    <w:rsid w:val="58674093"/>
    <w:rsid w:val="599D2D4D"/>
    <w:rsid w:val="5D9B1445"/>
    <w:rsid w:val="622575EA"/>
    <w:rsid w:val="63624ED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nhideWhenUsed="0" w:uiPriority="0" w:semiHidden="0" w:name="footnote text"/>
    <w:lsdException w:qFormat="1" w:unhideWhenUsed="0" w:uiPriority="0"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仿宋_GB2312" w:cs="Times New Roman"/>
      <w:kern w:val="2"/>
      <w:sz w:val="30"/>
      <w:szCs w:val="24"/>
      <w:lang w:val="en-US" w:eastAsia="zh-CN" w:bidi="ar-SA"/>
    </w:rPr>
  </w:style>
  <w:style w:type="paragraph" w:styleId="2">
    <w:name w:val="heading 1"/>
    <w:basedOn w:val="1"/>
    <w:next w:val="1"/>
    <w:link w:val="15"/>
    <w:autoRedefine/>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16"/>
    <w:autoRedefine/>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13">
    <w:name w:val="Default Paragraph Font"/>
    <w:autoRedefine/>
    <w:semiHidden/>
    <w:unhideWhenUsed/>
    <w:qFormat/>
    <w:uiPriority w:val="1"/>
  </w:style>
  <w:style w:type="table" w:default="1" w:styleId="12">
    <w:name w:val="Normal Table"/>
    <w:autoRedefine/>
    <w:semiHidden/>
    <w:unhideWhenUsed/>
    <w:qFormat/>
    <w:uiPriority w:val="99"/>
    <w:tblPr>
      <w:tblCellMar>
        <w:top w:w="0" w:type="dxa"/>
        <w:left w:w="108" w:type="dxa"/>
        <w:bottom w:w="0" w:type="dxa"/>
        <w:right w:w="108" w:type="dxa"/>
      </w:tblCellMar>
    </w:tblPr>
  </w:style>
  <w:style w:type="paragraph" w:styleId="4">
    <w:name w:val="annotation text"/>
    <w:basedOn w:val="1"/>
    <w:autoRedefine/>
    <w:qFormat/>
    <w:uiPriority w:val="0"/>
    <w:pPr>
      <w:jc w:val="left"/>
    </w:pPr>
  </w:style>
  <w:style w:type="paragraph" w:styleId="5">
    <w:name w:val="Balloon Text"/>
    <w:basedOn w:val="1"/>
    <w:link w:val="20"/>
    <w:autoRedefine/>
    <w:semiHidden/>
    <w:unhideWhenUsed/>
    <w:qFormat/>
    <w:uiPriority w:val="99"/>
    <w:rPr>
      <w:sz w:val="18"/>
      <w:szCs w:val="18"/>
    </w:rPr>
  </w:style>
  <w:style w:type="paragraph" w:styleId="6">
    <w:name w:val="footer"/>
    <w:basedOn w:val="1"/>
    <w:link w:val="19"/>
    <w:autoRedefine/>
    <w:unhideWhenUsed/>
    <w:qFormat/>
    <w:uiPriority w:val="99"/>
    <w:pPr>
      <w:tabs>
        <w:tab w:val="center" w:pos="4153"/>
        <w:tab w:val="right" w:pos="8306"/>
      </w:tabs>
      <w:snapToGrid w:val="0"/>
      <w:jc w:val="left"/>
    </w:pPr>
    <w:rPr>
      <w:sz w:val="18"/>
      <w:szCs w:val="18"/>
    </w:rPr>
  </w:style>
  <w:style w:type="paragraph" w:styleId="7">
    <w:name w:val="header"/>
    <w:basedOn w:val="1"/>
    <w:link w:val="18"/>
    <w:autoRedefine/>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toc 1"/>
    <w:basedOn w:val="1"/>
    <w:next w:val="1"/>
    <w:autoRedefine/>
    <w:unhideWhenUsed/>
    <w:qFormat/>
    <w:uiPriority w:val="39"/>
    <w:pPr>
      <w:widowControl/>
      <w:spacing w:after="100" w:line="259" w:lineRule="auto"/>
      <w:jc w:val="left"/>
    </w:pPr>
    <w:rPr>
      <w:rFonts w:asciiTheme="minorHAnsi" w:hAnsiTheme="minorHAnsi" w:eastAsiaTheme="minorEastAsia"/>
      <w:kern w:val="0"/>
      <w:sz w:val="22"/>
      <w:szCs w:val="22"/>
    </w:rPr>
  </w:style>
  <w:style w:type="paragraph" w:styleId="9">
    <w:name w:val="footnote text"/>
    <w:basedOn w:val="1"/>
    <w:autoRedefine/>
    <w:qFormat/>
    <w:uiPriority w:val="0"/>
    <w:pPr>
      <w:snapToGrid w:val="0"/>
      <w:jc w:val="left"/>
    </w:pPr>
    <w:rPr>
      <w:sz w:val="18"/>
      <w:szCs w:val="18"/>
    </w:rPr>
  </w:style>
  <w:style w:type="paragraph" w:styleId="10">
    <w:name w:val="toc 2"/>
    <w:basedOn w:val="1"/>
    <w:next w:val="1"/>
    <w:autoRedefine/>
    <w:unhideWhenUsed/>
    <w:qFormat/>
    <w:uiPriority w:val="39"/>
    <w:pPr>
      <w:widowControl/>
      <w:spacing w:after="100" w:line="259" w:lineRule="auto"/>
      <w:ind w:left="220"/>
      <w:jc w:val="left"/>
    </w:pPr>
    <w:rPr>
      <w:rFonts w:asciiTheme="minorHAnsi" w:hAnsiTheme="minorHAnsi" w:eastAsiaTheme="minorEastAsia"/>
      <w:kern w:val="0"/>
      <w:sz w:val="22"/>
      <w:szCs w:val="22"/>
    </w:rPr>
  </w:style>
  <w:style w:type="paragraph" w:styleId="11">
    <w:name w:val="Title"/>
    <w:basedOn w:val="1"/>
    <w:next w:val="1"/>
    <w:autoRedefine/>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4">
    <w:name w:val="Hyperlink"/>
    <w:basedOn w:val="13"/>
    <w:autoRedefine/>
    <w:unhideWhenUsed/>
    <w:qFormat/>
    <w:uiPriority w:val="99"/>
    <w:rPr>
      <w:color w:val="0563C1" w:themeColor="hyperlink"/>
      <w:u w:val="single"/>
    </w:rPr>
  </w:style>
  <w:style w:type="character" w:customStyle="1" w:styleId="15">
    <w:name w:val="标题 1 Char"/>
    <w:basedOn w:val="13"/>
    <w:link w:val="2"/>
    <w:autoRedefine/>
    <w:qFormat/>
    <w:uiPriority w:val="9"/>
    <w:rPr>
      <w:rFonts w:ascii="Times New Roman" w:hAnsi="Times New Roman" w:eastAsia="仿宋_GB2312" w:cs="Times New Roman"/>
      <w:b/>
      <w:bCs/>
      <w:kern w:val="44"/>
      <w:sz w:val="44"/>
      <w:szCs w:val="44"/>
    </w:rPr>
  </w:style>
  <w:style w:type="character" w:customStyle="1" w:styleId="16">
    <w:name w:val="标题 2 Char"/>
    <w:basedOn w:val="13"/>
    <w:link w:val="3"/>
    <w:autoRedefine/>
    <w:qFormat/>
    <w:uiPriority w:val="9"/>
    <w:rPr>
      <w:rFonts w:asciiTheme="majorHAnsi" w:hAnsiTheme="majorHAnsi" w:eastAsiaTheme="majorEastAsia" w:cstheme="majorBidi"/>
      <w:b/>
      <w:bCs/>
      <w:sz w:val="32"/>
      <w:szCs w:val="32"/>
    </w:rPr>
  </w:style>
  <w:style w:type="paragraph" w:customStyle="1" w:styleId="17">
    <w:name w:val="TOC 标题1"/>
    <w:basedOn w:val="2"/>
    <w:next w:val="1"/>
    <w:autoRedefine/>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2F5496" w:themeColor="accent1" w:themeShade="BF"/>
      <w:kern w:val="0"/>
      <w:sz w:val="32"/>
      <w:szCs w:val="32"/>
    </w:rPr>
  </w:style>
  <w:style w:type="character" w:customStyle="1" w:styleId="18">
    <w:name w:val="页眉 Char"/>
    <w:basedOn w:val="13"/>
    <w:link w:val="7"/>
    <w:autoRedefine/>
    <w:qFormat/>
    <w:uiPriority w:val="99"/>
    <w:rPr>
      <w:rFonts w:ascii="Times New Roman" w:hAnsi="Times New Roman" w:eastAsia="仿宋_GB2312" w:cs="Times New Roman"/>
      <w:sz w:val="18"/>
      <w:szCs w:val="18"/>
    </w:rPr>
  </w:style>
  <w:style w:type="character" w:customStyle="1" w:styleId="19">
    <w:name w:val="页脚 Char"/>
    <w:basedOn w:val="13"/>
    <w:link w:val="6"/>
    <w:autoRedefine/>
    <w:qFormat/>
    <w:uiPriority w:val="99"/>
    <w:rPr>
      <w:rFonts w:ascii="Times New Roman" w:hAnsi="Times New Roman" w:eastAsia="仿宋_GB2312" w:cs="Times New Roman"/>
      <w:sz w:val="18"/>
      <w:szCs w:val="18"/>
    </w:rPr>
  </w:style>
  <w:style w:type="character" w:customStyle="1" w:styleId="20">
    <w:name w:val="批注框文本 Char"/>
    <w:basedOn w:val="13"/>
    <w:link w:val="5"/>
    <w:autoRedefine/>
    <w:semiHidden/>
    <w:qFormat/>
    <w:uiPriority w:val="99"/>
    <w:rPr>
      <w:rFonts w:eastAsia="仿宋_GB2312"/>
      <w:kern w:val="2"/>
      <w:sz w:val="18"/>
      <w:szCs w:val="18"/>
    </w:rPr>
  </w:style>
  <w:style w:type="paragraph" w:customStyle="1" w:styleId="21">
    <w:name w:val="闻政-正文段落文字"/>
    <w:basedOn w:val="1"/>
    <w:autoRedefine/>
    <w:qFormat/>
    <w:uiPriority w:val="3"/>
    <w:pPr>
      <w:spacing w:line="500" w:lineRule="exact"/>
      <w:ind w:firstLine="200"/>
    </w:pPr>
    <w:rPr>
      <w:kern w:val="0"/>
      <w:szCs w:val="2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FE4E9B60-6F44-4CB7-807C-96F31074D881}">
  <ds:schemaRefs/>
</ds:datastoreItem>
</file>

<file path=docProps/app.xml><?xml version="1.0" encoding="utf-8"?>
<Properties xmlns="http://schemas.openxmlformats.org/officeDocument/2006/extended-properties" xmlns:vt="http://schemas.openxmlformats.org/officeDocument/2006/docPropsVTypes">
  <Template>Normal</Template>
  <Pages>18</Pages>
  <Words>1143</Words>
  <Characters>6516</Characters>
  <Lines>54</Lines>
  <Paragraphs>15</Paragraphs>
  <TotalTime>1</TotalTime>
  <ScaleCrop>false</ScaleCrop>
  <LinksUpToDate>false</LinksUpToDate>
  <CharactersWithSpaces>7644</CharactersWithSpaces>
  <Application>WPS Office_12.8.2.18205_F1E327BC-269C-435d-A152-05C5408002CA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2022-03-19T10:53:00Z</dcterms:created>
  <dc:creator>翘楚</dc:creator>
  <cp:lastModifiedBy>Administrator</cp:lastModifiedBy>
  <dcterms:modified xsi:type="dcterms:W3CDTF">2025-02-07T05:56:16Z</dcterms:modified>
  <cp:revision>24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2052-12.8.2.18205</vt:lpwstr>
  </property>
  <property fmtid="{D5CDD505-2E9C-101B-9397-08002B2CF9AE}" pid="3" name="ICV">
    <vt:lpwstr>C10A60A6D9144BF185A63F71A217C929_12</vt:lpwstr>
  </property>
</Properties>
</file>