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Arial"/>
          <w:b/>
          <w:bCs/>
          <w:sz w:val="48"/>
          <w:szCs w:val="48"/>
        </w:rPr>
      </w:pPr>
    </w:p>
    <w:p>
      <w:pPr>
        <w:jc w:val="center"/>
        <w:rPr>
          <w:rFonts w:ascii="宋体" w:hAnsi="宋体" w:eastAsia="宋体" w:cs="Arial"/>
          <w:b/>
          <w:bCs/>
          <w:sz w:val="48"/>
          <w:szCs w:val="48"/>
        </w:rPr>
      </w:pPr>
    </w:p>
    <w:p>
      <w:pPr>
        <w:jc w:val="center"/>
        <w:rPr>
          <w:rFonts w:ascii="宋体" w:hAnsi="宋体" w:eastAsia="宋体" w:cs="Arial"/>
          <w:b/>
          <w:bCs/>
          <w:sz w:val="48"/>
          <w:szCs w:val="48"/>
        </w:rPr>
      </w:pPr>
    </w:p>
    <w:p>
      <w:pPr>
        <w:jc w:val="center"/>
        <w:rPr>
          <w:rFonts w:ascii="宋体" w:hAnsi="宋体" w:eastAsia="宋体" w:cs="Arial"/>
          <w:b/>
          <w:bCs/>
          <w:sz w:val="52"/>
          <w:szCs w:val="52"/>
        </w:rPr>
      </w:pPr>
      <w:r>
        <w:rPr>
          <w:rFonts w:hint="eastAsia" w:ascii="宋体" w:hAnsi="宋体" w:eastAsia="宋体" w:cs="Arial"/>
          <w:b/>
          <w:bCs/>
          <w:sz w:val="52"/>
          <w:szCs w:val="52"/>
        </w:rPr>
        <w:t>项目支出绩效评价报告</w:t>
      </w:r>
    </w:p>
    <w:p>
      <w:pPr>
        <w:jc w:val="center"/>
        <w:rPr>
          <w:rFonts w:ascii="宋体" w:hAnsi="宋体" w:eastAsia="宋体" w:cs="Arial"/>
          <w:b/>
          <w:bCs/>
          <w:sz w:val="48"/>
          <w:szCs w:val="48"/>
        </w:rPr>
      </w:pPr>
    </w:p>
    <w:p>
      <w:pPr>
        <w:widowControl/>
        <w:spacing w:line="560" w:lineRule="exact"/>
        <w:jc w:val="center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（2</w:t>
      </w:r>
      <w:r>
        <w:rPr>
          <w:rFonts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02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年度）</w:t>
      </w:r>
    </w:p>
    <w:p>
      <w:pPr>
        <w:spacing w:line="480" w:lineRule="auto"/>
        <w:jc w:val="center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>
      <w:pPr>
        <w:spacing w:line="560" w:lineRule="exact"/>
        <w:ind w:firstLine="321" w:firstLineChars="100"/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项目名称：</w:t>
      </w:r>
      <w:r>
        <w:rPr>
          <w:rFonts w:ascii="宋体" w:hAnsi="宋体" w:eastAsia="宋体" w:cs="宋体"/>
          <w:kern w:val="0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kern w:val="0"/>
          <w:sz w:val="32"/>
          <w:szCs w:val="32"/>
          <w:lang w:eastAsia="zh-CN"/>
        </w:rPr>
        <w:t>全国第五次经济普查经费</w:t>
      </w:r>
    </w:p>
    <w:p>
      <w:pPr>
        <w:spacing w:line="560" w:lineRule="exact"/>
        <w:ind w:firstLine="321" w:firstLineChars="100"/>
        <w:rPr>
          <w:rFonts w:hint="eastAsia" w:ascii="宋体" w:hAnsi="宋体" w:eastAsia="宋体" w:cs="宋体"/>
          <w:kern w:val="0"/>
          <w:sz w:val="32"/>
          <w:szCs w:val="32"/>
          <w:lang w:eastAsia="zh-CN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实施单位（公章）：</w:t>
      </w:r>
      <w:r>
        <w:rPr>
          <w:rFonts w:ascii="宋体" w:hAnsi="宋体" w:eastAsia="宋体" w:cs="宋体"/>
          <w:kern w:val="0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kern w:val="0"/>
          <w:sz w:val="32"/>
          <w:szCs w:val="32"/>
          <w:lang w:eastAsia="zh-CN"/>
        </w:rPr>
        <w:t>焉耆县统计局</w:t>
      </w:r>
    </w:p>
    <w:p>
      <w:pPr>
        <w:spacing w:line="560" w:lineRule="exact"/>
        <w:ind w:firstLine="321" w:firstLineChars="100"/>
        <w:rPr>
          <w:rFonts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主管部门（公章）：</w:t>
      </w:r>
      <w:r>
        <w:rPr>
          <w:rFonts w:ascii="宋体" w:hAnsi="宋体" w:eastAsia="宋体" w:cs="宋体"/>
          <w:kern w:val="0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kern w:val="0"/>
          <w:sz w:val="32"/>
          <w:szCs w:val="32"/>
          <w:lang w:eastAsia="zh-CN"/>
        </w:rPr>
        <w:t>焉耆县统计局</w:t>
      </w:r>
    </w:p>
    <w:p>
      <w:pPr>
        <w:spacing w:line="560" w:lineRule="exact"/>
        <w:ind w:firstLine="321" w:firstLineChars="100"/>
        <w:rPr>
          <w:rFonts w:hint="eastAsia" w:ascii="宋体" w:hAnsi="宋体" w:eastAsia="宋体" w:cs="宋体"/>
          <w:kern w:val="0"/>
          <w:sz w:val="32"/>
          <w:szCs w:val="32"/>
          <w:lang w:eastAsia="zh-CN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项目负责人（签章）：</w:t>
      </w:r>
      <w:r>
        <w:rPr>
          <w:rFonts w:ascii="宋体" w:hAnsi="宋体" w:eastAsia="宋体" w:cs="宋体"/>
          <w:kern w:val="0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kern w:val="0"/>
          <w:sz w:val="32"/>
          <w:szCs w:val="32"/>
          <w:lang w:eastAsia="zh-CN"/>
        </w:rPr>
        <w:t>李建</w:t>
      </w:r>
    </w:p>
    <w:p>
      <w:pPr>
        <w:spacing w:line="560" w:lineRule="exact"/>
        <w:ind w:firstLine="321" w:firstLineChars="100"/>
        <w:rPr>
          <w:rFonts w:ascii="宋体" w:hAnsi="宋体" w:eastAsia="宋体" w:cs="仿宋_GB2312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填报时间：</w:t>
      </w:r>
      <w:r>
        <w:rPr>
          <w:rFonts w:hint="eastAsia" w:ascii="宋体" w:hAnsi="宋体" w:eastAsia="宋体" w:cs="仿宋_GB2312"/>
          <w:color w:val="000000"/>
          <w:kern w:val="0"/>
          <w:sz w:val="32"/>
          <w:szCs w:val="32"/>
        </w:rPr>
        <w:t>202</w:t>
      </w:r>
      <w:r>
        <w:rPr>
          <w:rFonts w:hint="eastAsia" w:ascii="宋体" w:hAnsi="宋体" w:eastAsia="宋体" w:cs="仿宋_GB2312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仿宋_GB2312"/>
          <w:color w:val="000000"/>
          <w:kern w:val="0"/>
          <w:sz w:val="32"/>
          <w:szCs w:val="32"/>
        </w:rPr>
        <w:t>年04月20日</w:t>
      </w:r>
    </w:p>
    <w:p>
      <w:pPr>
        <w:jc w:val="center"/>
        <w:rPr>
          <w:rFonts w:ascii="宋体" w:hAnsi="宋体" w:eastAsia="宋体" w:cs="Arial"/>
          <w:b/>
          <w:bCs/>
          <w:sz w:val="36"/>
          <w:szCs w:val="36"/>
        </w:rPr>
      </w:pPr>
    </w:p>
    <w:p>
      <w:pPr>
        <w:widowControl/>
        <w:jc w:val="left"/>
        <w:rPr>
          <w:rFonts w:ascii="宋体" w:hAnsi="宋体" w:eastAsia="宋体" w:cs="Arial"/>
          <w:b/>
          <w:bCs/>
          <w:sz w:val="36"/>
          <w:szCs w:val="36"/>
        </w:rPr>
      </w:pPr>
      <w:r>
        <w:rPr>
          <w:rFonts w:ascii="宋体" w:hAnsi="宋体" w:eastAsia="宋体" w:cs="Arial"/>
          <w:b/>
          <w:bCs/>
          <w:sz w:val="36"/>
          <w:szCs w:val="36"/>
        </w:rPr>
        <w:br w:type="page"/>
      </w:r>
    </w:p>
    <w:sdt>
      <w:sdtPr>
        <w:rPr>
          <w:rFonts w:ascii="Times New Roman" w:hAnsi="Times New Roman" w:eastAsia="仿宋_GB2312" w:cs="Times New Roman"/>
          <w:color w:val="auto"/>
          <w:kern w:val="2"/>
          <w:sz w:val="30"/>
          <w:szCs w:val="24"/>
          <w:lang w:val="zh-CN"/>
        </w:rPr>
        <w:id w:val="-514851075"/>
        <w:docPartObj>
          <w:docPartGallery w:val="Table of Contents"/>
          <w:docPartUnique/>
        </w:docPartObj>
      </w:sdtPr>
      <w:sdtEndPr>
        <w:rPr>
          <w:rFonts w:ascii="Times New Roman" w:hAnsi="Times New Roman" w:eastAsia="仿宋_GB2312" w:cs="Times New Roman"/>
          <w:b/>
          <w:bCs/>
          <w:color w:val="auto"/>
          <w:kern w:val="2"/>
          <w:sz w:val="30"/>
          <w:szCs w:val="24"/>
          <w:lang w:val="zh-CN"/>
        </w:rPr>
      </w:sdtEndPr>
      <w:sdtContent>
        <w:p>
          <w:pPr>
            <w:pStyle w:val="15"/>
            <w:jc w:val="center"/>
            <w:rPr>
              <w:rFonts w:ascii="宋体" w:hAnsi="宋体" w:eastAsia="宋体"/>
              <w:b/>
              <w:bCs/>
              <w:color w:val="auto"/>
              <w:lang w:val="zh-CN"/>
            </w:rPr>
          </w:pPr>
          <w:r>
            <w:rPr>
              <w:rFonts w:ascii="宋体" w:hAnsi="宋体" w:eastAsia="宋体"/>
              <w:b/>
              <w:bCs/>
              <w:color w:val="auto"/>
              <w:lang w:val="zh-CN"/>
            </w:rPr>
            <w:t>目录</w:t>
          </w:r>
        </w:p>
        <w:p>
          <w:pPr>
            <w:pStyle w:val="7"/>
            <w:tabs>
              <w:tab w:val="right" w:leader="dot" w:pos="8834"/>
            </w:tabs>
            <w:rPr>
              <w:rFonts w:cstheme="minorBidi"/>
              <w:kern w:val="2"/>
              <w:sz w:val="21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"_Toc68703827" </w:instrText>
          </w:r>
          <w:r>
            <w:fldChar w:fldCharType="separate"/>
          </w:r>
          <w:r>
            <w:rPr>
              <w:rStyle w:val="12"/>
              <w:rFonts w:ascii="宋体" w:hAnsi="宋体" w:eastAsia="宋体"/>
            </w:rPr>
            <w:t>一、基本情况</w:t>
          </w:r>
          <w:r>
            <w:tab/>
          </w:r>
          <w:r>
            <w:fldChar w:fldCharType="begin"/>
          </w:r>
          <w:r>
            <w:instrText xml:space="preserve"> PAGEREF _Toc68703827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9"/>
            <w:tabs>
              <w:tab w:val="right" w:leader="dot" w:pos="8834"/>
            </w:tabs>
            <w:rPr>
              <w:rFonts w:cstheme="minorBidi"/>
              <w:kern w:val="2"/>
              <w:sz w:val="21"/>
            </w:rPr>
          </w:pPr>
          <w:r>
            <w:fldChar w:fldCharType="begin"/>
          </w:r>
          <w:r>
            <w:instrText xml:space="preserve"> HYPERLINK \l "_Toc68703828" </w:instrText>
          </w:r>
          <w:r>
            <w:fldChar w:fldCharType="separate"/>
          </w:r>
          <w:r>
            <w:rPr>
              <w:rStyle w:val="12"/>
              <w:rFonts w:ascii="仿宋_GB2312" w:eastAsia="仿宋_GB2312"/>
            </w:rPr>
            <w:t>（一）项目概况。</w:t>
          </w:r>
          <w:r>
            <w:tab/>
          </w:r>
          <w:r>
            <w:fldChar w:fldCharType="begin"/>
          </w:r>
          <w:r>
            <w:instrText xml:space="preserve"> PAGEREF _Toc68703828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9"/>
            <w:tabs>
              <w:tab w:val="right" w:leader="dot" w:pos="8834"/>
            </w:tabs>
            <w:rPr>
              <w:rFonts w:cstheme="minorBidi"/>
              <w:kern w:val="2"/>
              <w:sz w:val="21"/>
            </w:rPr>
          </w:pPr>
          <w:r>
            <w:fldChar w:fldCharType="begin"/>
          </w:r>
          <w:r>
            <w:instrText xml:space="preserve"> HYPERLINK \l "_Toc68703829" </w:instrText>
          </w:r>
          <w:r>
            <w:fldChar w:fldCharType="separate"/>
          </w:r>
          <w:r>
            <w:rPr>
              <w:rStyle w:val="12"/>
              <w:rFonts w:ascii="仿宋_GB2312" w:eastAsia="仿宋_GB2312"/>
            </w:rPr>
            <w:t>（二）项目绩效目标。</w:t>
          </w:r>
          <w:r>
            <w:tab/>
          </w:r>
          <w:r>
            <w:fldChar w:fldCharType="begin"/>
          </w:r>
          <w:r>
            <w:instrText xml:space="preserve"> PAGEREF _Toc68703829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7"/>
            <w:tabs>
              <w:tab w:val="right" w:leader="dot" w:pos="8834"/>
            </w:tabs>
            <w:rPr>
              <w:rFonts w:cstheme="minorBidi"/>
              <w:kern w:val="2"/>
              <w:sz w:val="21"/>
            </w:rPr>
          </w:pPr>
          <w:r>
            <w:fldChar w:fldCharType="begin"/>
          </w:r>
          <w:r>
            <w:instrText xml:space="preserve"> HYPERLINK \l "_Toc68703830" </w:instrText>
          </w:r>
          <w:r>
            <w:fldChar w:fldCharType="separate"/>
          </w:r>
          <w:r>
            <w:rPr>
              <w:rStyle w:val="12"/>
              <w:rFonts w:ascii="宋体" w:hAnsi="宋体" w:eastAsia="宋体"/>
            </w:rPr>
            <w:t>二、绩效评价工作开展情况</w:t>
          </w:r>
          <w:r>
            <w:tab/>
          </w:r>
          <w:r>
            <w:fldChar w:fldCharType="begin"/>
          </w:r>
          <w:r>
            <w:instrText xml:space="preserve"> PAGEREF _Toc68703830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9"/>
            <w:tabs>
              <w:tab w:val="right" w:leader="dot" w:pos="8834"/>
            </w:tabs>
            <w:rPr>
              <w:rFonts w:cstheme="minorBidi"/>
              <w:kern w:val="2"/>
              <w:sz w:val="21"/>
            </w:rPr>
          </w:pPr>
          <w:r>
            <w:fldChar w:fldCharType="begin"/>
          </w:r>
          <w:r>
            <w:instrText xml:space="preserve"> HYPERLINK \l "_Toc68703831" </w:instrText>
          </w:r>
          <w:r>
            <w:fldChar w:fldCharType="separate"/>
          </w:r>
          <w:r>
            <w:rPr>
              <w:rStyle w:val="12"/>
              <w:rFonts w:ascii="仿宋_GB2312" w:eastAsia="仿宋_GB2312"/>
            </w:rPr>
            <w:t>（一）绩效评价目的、对象和范围。</w:t>
          </w:r>
          <w:r>
            <w:tab/>
          </w:r>
          <w:r>
            <w:fldChar w:fldCharType="begin"/>
          </w:r>
          <w:r>
            <w:instrText xml:space="preserve"> PAGEREF _Toc68703831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9"/>
            <w:tabs>
              <w:tab w:val="right" w:leader="dot" w:pos="8834"/>
            </w:tabs>
            <w:rPr>
              <w:rFonts w:cstheme="minorBidi"/>
              <w:kern w:val="2"/>
              <w:sz w:val="21"/>
            </w:rPr>
          </w:pPr>
          <w:r>
            <w:fldChar w:fldCharType="begin"/>
          </w:r>
          <w:r>
            <w:instrText xml:space="preserve"> HYPERLINK \l "_Toc68703832" </w:instrText>
          </w:r>
          <w:r>
            <w:fldChar w:fldCharType="separate"/>
          </w:r>
          <w:r>
            <w:rPr>
              <w:rStyle w:val="12"/>
              <w:rFonts w:ascii="仿宋_GB2312" w:eastAsia="仿宋_GB2312"/>
            </w:rPr>
            <w:t>（二）绩效评价原则、评价指标体系、评价方法、评价标准等。</w:t>
          </w:r>
          <w:r>
            <w:tab/>
          </w:r>
          <w:r>
            <w:fldChar w:fldCharType="begin"/>
          </w:r>
          <w:r>
            <w:instrText xml:space="preserve"> PAGEREF _Toc68703832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9"/>
            <w:tabs>
              <w:tab w:val="right" w:leader="dot" w:pos="8834"/>
            </w:tabs>
            <w:rPr>
              <w:rFonts w:cstheme="minorBidi"/>
              <w:kern w:val="2"/>
              <w:sz w:val="21"/>
            </w:rPr>
          </w:pPr>
          <w:r>
            <w:fldChar w:fldCharType="begin"/>
          </w:r>
          <w:r>
            <w:instrText xml:space="preserve"> HYPERLINK \l "_Toc68703833" </w:instrText>
          </w:r>
          <w:r>
            <w:fldChar w:fldCharType="separate"/>
          </w:r>
          <w:r>
            <w:rPr>
              <w:rStyle w:val="12"/>
              <w:rFonts w:ascii="仿宋_GB2312" w:eastAsia="仿宋_GB2312"/>
            </w:rPr>
            <w:t>（三）绩效评价工作过程。</w:t>
          </w:r>
          <w:r>
            <w:tab/>
          </w:r>
          <w:r>
            <w:fldChar w:fldCharType="begin"/>
          </w:r>
          <w:r>
            <w:instrText xml:space="preserve"> PAGEREF _Toc68703833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>
          <w:pPr>
            <w:pStyle w:val="7"/>
            <w:tabs>
              <w:tab w:val="right" w:leader="dot" w:pos="8834"/>
            </w:tabs>
            <w:rPr>
              <w:rFonts w:cstheme="minorBidi"/>
              <w:kern w:val="2"/>
              <w:sz w:val="21"/>
            </w:rPr>
          </w:pPr>
          <w:r>
            <w:fldChar w:fldCharType="begin"/>
          </w:r>
          <w:r>
            <w:instrText xml:space="preserve"> HYPERLINK \l "_Toc68703834" </w:instrText>
          </w:r>
          <w:r>
            <w:fldChar w:fldCharType="separate"/>
          </w:r>
          <w:r>
            <w:rPr>
              <w:rStyle w:val="12"/>
              <w:rFonts w:ascii="宋体" w:hAnsi="宋体" w:eastAsia="宋体"/>
            </w:rPr>
            <w:t>三、综合评价情况及评价结论</w:t>
          </w:r>
          <w:r>
            <w:tab/>
          </w:r>
          <w:r>
            <w:fldChar w:fldCharType="begin"/>
          </w:r>
          <w:r>
            <w:instrText xml:space="preserve"> PAGEREF _Toc68703834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>
          <w:pPr>
            <w:pStyle w:val="9"/>
            <w:tabs>
              <w:tab w:val="right" w:leader="dot" w:pos="8834"/>
            </w:tabs>
            <w:rPr>
              <w:rFonts w:cstheme="minorBidi"/>
              <w:kern w:val="2"/>
              <w:sz w:val="21"/>
            </w:rPr>
          </w:pPr>
          <w:r>
            <w:fldChar w:fldCharType="begin"/>
          </w:r>
          <w:r>
            <w:instrText xml:space="preserve"> HYPERLINK \l "_Toc68703835" </w:instrText>
          </w:r>
          <w:r>
            <w:fldChar w:fldCharType="separate"/>
          </w:r>
          <w:r>
            <w:rPr>
              <w:rStyle w:val="12"/>
              <w:rFonts w:ascii="仿宋_GB2312" w:eastAsia="仿宋_GB2312"/>
            </w:rPr>
            <w:t>（一）综合评价情况</w:t>
          </w:r>
          <w:r>
            <w:tab/>
          </w:r>
          <w:r>
            <w:fldChar w:fldCharType="begin"/>
          </w:r>
          <w:r>
            <w:instrText xml:space="preserve"> PAGEREF _Toc68703835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>
          <w:pPr>
            <w:pStyle w:val="9"/>
            <w:tabs>
              <w:tab w:val="right" w:leader="dot" w:pos="8834"/>
            </w:tabs>
            <w:rPr>
              <w:rFonts w:cstheme="minorBidi"/>
              <w:kern w:val="2"/>
              <w:sz w:val="21"/>
            </w:rPr>
          </w:pPr>
          <w:r>
            <w:fldChar w:fldCharType="begin"/>
          </w:r>
          <w:r>
            <w:instrText xml:space="preserve"> HYPERLINK \l "_Toc68703836" </w:instrText>
          </w:r>
          <w:r>
            <w:fldChar w:fldCharType="separate"/>
          </w:r>
          <w:r>
            <w:rPr>
              <w:rStyle w:val="12"/>
              <w:rFonts w:ascii="仿宋_GB2312" w:eastAsia="仿宋_GB2312"/>
            </w:rPr>
            <w:t>（二）评价结论</w:t>
          </w:r>
          <w:r>
            <w:tab/>
          </w:r>
          <w:r>
            <w:fldChar w:fldCharType="begin"/>
          </w:r>
          <w:r>
            <w:instrText xml:space="preserve"> PAGEREF _Toc68703836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fldChar w:fldCharType="end"/>
          </w:r>
        </w:p>
        <w:p>
          <w:pPr>
            <w:pStyle w:val="7"/>
            <w:tabs>
              <w:tab w:val="right" w:leader="dot" w:pos="8834"/>
            </w:tabs>
            <w:rPr>
              <w:rFonts w:cstheme="minorBidi"/>
              <w:kern w:val="2"/>
              <w:sz w:val="21"/>
            </w:rPr>
          </w:pPr>
          <w:r>
            <w:fldChar w:fldCharType="begin"/>
          </w:r>
          <w:r>
            <w:instrText xml:space="preserve"> HYPERLINK \l "_Toc68703837" </w:instrText>
          </w:r>
          <w:r>
            <w:fldChar w:fldCharType="separate"/>
          </w:r>
          <w:r>
            <w:rPr>
              <w:rStyle w:val="12"/>
              <w:rFonts w:ascii="宋体" w:hAnsi="宋体" w:eastAsia="宋体"/>
            </w:rPr>
            <w:t>四、绩效评价指标分析</w:t>
          </w:r>
          <w:r>
            <w:tab/>
          </w:r>
          <w:r>
            <w:fldChar w:fldCharType="begin"/>
          </w:r>
          <w:r>
            <w:instrText xml:space="preserve"> PAGEREF _Toc68703837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fldChar w:fldCharType="end"/>
          </w:r>
        </w:p>
        <w:p>
          <w:pPr>
            <w:pStyle w:val="9"/>
            <w:tabs>
              <w:tab w:val="right" w:leader="dot" w:pos="8834"/>
            </w:tabs>
            <w:rPr>
              <w:rFonts w:cstheme="minorBidi"/>
              <w:kern w:val="2"/>
              <w:sz w:val="21"/>
            </w:rPr>
          </w:pPr>
          <w:r>
            <w:fldChar w:fldCharType="begin"/>
          </w:r>
          <w:r>
            <w:instrText xml:space="preserve"> HYPERLINK \l "_Toc68703838" </w:instrText>
          </w:r>
          <w:r>
            <w:fldChar w:fldCharType="separate"/>
          </w:r>
          <w:r>
            <w:rPr>
              <w:rStyle w:val="12"/>
              <w:rFonts w:ascii="仿宋_GB2312" w:eastAsia="仿宋_GB2312"/>
            </w:rPr>
            <w:t>（一）项目决策情况。</w:t>
          </w:r>
          <w:r>
            <w:tab/>
          </w:r>
          <w:r>
            <w:fldChar w:fldCharType="begin"/>
          </w:r>
          <w:r>
            <w:instrText xml:space="preserve"> PAGEREF _Toc68703838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fldChar w:fldCharType="end"/>
          </w:r>
        </w:p>
        <w:p>
          <w:pPr>
            <w:pStyle w:val="9"/>
            <w:tabs>
              <w:tab w:val="right" w:leader="dot" w:pos="8834"/>
            </w:tabs>
            <w:rPr>
              <w:rFonts w:cstheme="minorBidi"/>
              <w:kern w:val="2"/>
              <w:sz w:val="21"/>
            </w:rPr>
          </w:pPr>
          <w:r>
            <w:fldChar w:fldCharType="begin"/>
          </w:r>
          <w:r>
            <w:instrText xml:space="preserve"> HYPERLINK \l "_Toc68703839" </w:instrText>
          </w:r>
          <w:r>
            <w:fldChar w:fldCharType="separate"/>
          </w:r>
          <w:r>
            <w:rPr>
              <w:rStyle w:val="12"/>
              <w:rFonts w:ascii="仿宋_GB2312" w:eastAsia="仿宋_GB2312"/>
            </w:rPr>
            <w:t>（二）项目过程情况。</w:t>
          </w:r>
          <w:r>
            <w:tab/>
          </w:r>
          <w:r>
            <w:fldChar w:fldCharType="begin"/>
          </w:r>
          <w:r>
            <w:instrText xml:space="preserve"> PAGEREF _Toc68703839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fldChar w:fldCharType="end"/>
          </w:r>
        </w:p>
        <w:p>
          <w:pPr>
            <w:pStyle w:val="9"/>
            <w:tabs>
              <w:tab w:val="right" w:leader="dot" w:pos="8834"/>
            </w:tabs>
            <w:rPr>
              <w:rFonts w:cstheme="minorBidi"/>
              <w:kern w:val="2"/>
              <w:sz w:val="21"/>
            </w:rPr>
          </w:pPr>
          <w:r>
            <w:fldChar w:fldCharType="begin"/>
          </w:r>
          <w:r>
            <w:instrText xml:space="preserve"> HYPERLINK \l "_Toc68703840" </w:instrText>
          </w:r>
          <w:r>
            <w:fldChar w:fldCharType="separate"/>
          </w:r>
          <w:r>
            <w:rPr>
              <w:rStyle w:val="12"/>
              <w:rFonts w:ascii="仿宋_GB2312" w:eastAsia="仿宋_GB2312"/>
            </w:rPr>
            <w:t>（三）项目产出情况。</w:t>
          </w:r>
          <w:r>
            <w:tab/>
          </w:r>
          <w:r>
            <w:fldChar w:fldCharType="begin"/>
          </w:r>
          <w:r>
            <w:instrText xml:space="preserve"> PAGEREF _Toc68703840 \h </w:instrText>
          </w:r>
          <w:r>
            <w:fldChar w:fldCharType="separate"/>
          </w:r>
          <w:r>
            <w:t>14</w:t>
          </w:r>
          <w:r>
            <w:fldChar w:fldCharType="end"/>
          </w:r>
          <w:r>
            <w:fldChar w:fldCharType="end"/>
          </w:r>
        </w:p>
        <w:p>
          <w:pPr>
            <w:pStyle w:val="9"/>
            <w:tabs>
              <w:tab w:val="right" w:leader="dot" w:pos="8834"/>
            </w:tabs>
            <w:rPr>
              <w:rFonts w:cstheme="minorBidi"/>
              <w:kern w:val="2"/>
              <w:sz w:val="21"/>
            </w:rPr>
          </w:pPr>
          <w:r>
            <w:fldChar w:fldCharType="begin"/>
          </w:r>
          <w:r>
            <w:instrText xml:space="preserve"> HYPERLINK \l "_Toc68703841" </w:instrText>
          </w:r>
          <w:r>
            <w:fldChar w:fldCharType="separate"/>
          </w:r>
          <w:r>
            <w:rPr>
              <w:rStyle w:val="12"/>
              <w:rFonts w:ascii="仿宋_GB2312" w:eastAsia="仿宋_GB2312"/>
            </w:rPr>
            <w:t>（四）项目效益情况。</w:t>
          </w:r>
          <w:r>
            <w:tab/>
          </w:r>
          <w:r>
            <w:fldChar w:fldCharType="begin"/>
          </w:r>
          <w:r>
            <w:instrText xml:space="preserve"> PAGEREF _Toc68703841 \h </w:instrText>
          </w:r>
          <w:r>
            <w:fldChar w:fldCharType="separate"/>
          </w:r>
          <w:r>
            <w:t>15</w:t>
          </w:r>
          <w:r>
            <w:fldChar w:fldCharType="end"/>
          </w:r>
          <w:r>
            <w:fldChar w:fldCharType="end"/>
          </w:r>
        </w:p>
        <w:p>
          <w:pPr>
            <w:pStyle w:val="7"/>
            <w:tabs>
              <w:tab w:val="right" w:leader="dot" w:pos="8834"/>
            </w:tabs>
            <w:rPr>
              <w:rFonts w:cstheme="minorBidi"/>
              <w:kern w:val="2"/>
              <w:sz w:val="21"/>
            </w:rPr>
          </w:pPr>
          <w:r>
            <w:fldChar w:fldCharType="begin"/>
          </w:r>
          <w:r>
            <w:instrText xml:space="preserve"> HYPERLINK \l "_Toc68703842" </w:instrText>
          </w:r>
          <w:r>
            <w:fldChar w:fldCharType="separate"/>
          </w:r>
          <w:r>
            <w:rPr>
              <w:rStyle w:val="12"/>
              <w:rFonts w:ascii="宋体" w:hAnsi="宋体" w:eastAsia="宋体"/>
            </w:rPr>
            <w:t>五、主要经验及做法、存在的问题及原因分析</w:t>
          </w:r>
          <w:r>
            <w:tab/>
          </w:r>
          <w:r>
            <w:fldChar w:fldCharType="begin"/>
          </w:r>
          <w:r>
            <w:instrText xml:space="preserve"> PAGEREF _Toc68703842 \h </w:instrText>
          </w:r>
          <w:r>
            <w:fldChar w:fldCharType="separate"/>
          </w:r>
          <w:r>
            <w:t>15</w:t>
          </w:r>
          <w:r>
            <w:fldChar w:fldCharType="end"/>
          </w:r>
          <w:r>
            <w:fldChar w:fldCharType="end"/>
          </w:r>
        </w:p>
        <w:p>
          <w:pPr>
            <w:pStyle w:val="9"/>
            <w:tabs>
              <w:tab w:val="right" w:leader="dot" w:pos="8834"/>
            </w:tabs>
            <w:rPr>
              <w:rFonts w:cstheme="minorBidi"/>
              <w:kern w:val="2"/>
              <w:sz w:val="21"/>
            </w:rPr>
          </w:pPr>
          <w:r>
            <w:fldChar w:fldCharType="begin"/>
          </w:r>
          <w:r>
            <w:instrText xml:space="preserve"> HYPERLINK \l "_Toc68703843" </w:instrText>
          </w:r>
          <w:r>
            <w:fldChar w:fldCharType="separate"/>
          </w:r>
          <w:r>
            <w:rPr>
              <w:rStyle w:val="12"/>
              <w:rFonts w:ascii="仿宋_GB2312" w:eastAsia="仿宋_GB2312"/>
            </w:rPr>
            <w:t>（一）主要经验及做法</w:t>
          </w:r>
          <w:r>
            <w:tab/>
          </w:r>
          <w:r>
            <w:fldChar w:fldCharType="begin"/>
          </w:r>
          <w:r>
            <w:instrText xml:space="preserve"> PAGEREF _Toc68703843 \h </w:instrText>
          </w:r>
          <w:r>
            <w:fldChar w:fldCharType="separate"/>
          </w:r>
          <w:r>
            <w:t>15</w:t>
          </w:r>
          <w:r>
            <w:fldChar w:fldCharType="end"/>
          </w:r>
          <w:r>
            <w:fldChar w:fldCharType="end"/>
          </w:r>
        </w:p>
        <w:p>
          <w:pPr>
            <w:pStyle w:val="9"/>
            <w:tabs>
              <w:tab w:val="right" w:leader="dot" w:pos="8834"/>
            </w:tabs>
            <w:rPr>
              <w:rFonts w:cstheme="minorBidi"/>
              <w:kern w:val="2"/>
              <w:sz w:val="21"/>
            </w:rPr>
          </w:pPr>
          <w:r>
            <w:fldChar w:fldCharType="begin"/>
          </w:r>
          <w:r>
            <w:instrText xml:space="preserve"> HYPERLINK \l "_Toc68703844" </w:instrText>
          </w:r>
          <w:r>
            <w:fldChar w:fldCharType="separate"/>
          </w:r>
          <w:r>
            <w:rPr>
              <w:rStyle w:val="12"/>
              <w:rFonts w:ascii="仿宋_GB2312" w:eastAsia="仿宋_GB2312"/>
            </w:rPr>
            <w:t>（二）存在的问题及原因分析</w:t>
          </w:r>
          <w:r>
            <w:tab/>
          </w:r>
          <w:r>
            <w:fldChar w:fldCharType="begin"/>
          </w:r>
          <w:r>
            <w:instrText xml:space="preserve"> PAGEREF _Toc68703844 \h </w:instrText>
          </w:r>
          <w:r>
            <w:fldChar w:fldCharType="separate"/>
          </w:r>
          <w:r>
            <w:t>15</w:t>
          </w:r>
          <w:r>
            <w:fldChar w:fldCharType="end"/>
          </w:r>
          <w:r>
            <w:fldChar w:fldCharType="end"/>
          </w:r>
        </w:p>
        <w:p>
          <w:pPr>
            <w:pStyle w:val="7"/>
            <w:tabs>
              <w:tab w:val="right" w:leader="dot" w:pos="8834"/>
            </w:tabs>
            <w:rPr>
              <w:rFonts w:cstheme="minorBidi"/>
              <w:kern w:val="2"/>
              <w:sz w:val="21"/>
            </w:rPr>
          </w:pPr>
          <w:r>
            <w:fldChar w:fldCharType="begin"/>
          </w:r>
          <w:r>
            <w:instrText xml:space="preserve"> HYPERLINK \l "_Toc68703845" </w:instrText>
          </w:r>
          <w:r>
            <w:fldChar w:fldCharType="separate"/>
          </w:r>
          <w:r>
            <w:rPr>
              <w:rStyle w:val="12"/>
              <w:rFonts w:ascii="宋体" w:hAnsi="宋体" w:eastAsia="宋体"/>
            </w:rPr>
            <w:t>六、有关建议</w:t>
          </w:r>
          <w:r>
            <w:tab/>
          </w:r>
          <w:r>
            <w:fldChar w:fldCharType="begin"/>
          </w:r>
          <w:r>
            <w:instrText xml:space="preserve"> PAGEREF _Toc68703845 \h </w:instrText>
          </w:r>
          <w:r>
            <w:fldChar w:fldCharType="separate"/>
          </w:r>
          <w:r>
            <w:t>16</w:t>
          </w:r>
          <w:r>
            <w:fldChar w:fldCharType="end"/>
          </w:r>
          <w:r>
            <w:fldChar w:fldCharType="end"/>
          </w:r>
        </w:p>
        <w:p>
          <w:pPr>
            <w:pStyle w:val="7"/>
            <w:tabs>
              <w:tab w:val="right" w:leader="dot" w:pos="8834"/>
            </w:tabs>
            <w:rPr>
              <w:rFonts w:cstheme="minorBidi"/>
              <w:kern w:val="2"/>
              <w:sz w:val="21"/>
            </w:rPr>
          </w:pPr>
          <w:r>
            <w:fldChar w:fldCharType="begin"/>
          </w:r>
          <w:r>
            <w:instrText xml:space="preserve"> HYPERLINK \l "_Toc68703846" </w:instrText>
          </w:r>
          <w:r>
            <w:fldChar w:fldCharType="separate"/>
          </w:r>
          <w:r>
            <w:rPr>
              <w:rStyle w:val="12"/>
              <w:rFonts w:ascii="宋体" w:hAnsi="宋体" w:eastAsia="宋体"/>
            </w:rPr>
            <w:t>七、其他需要说明的问题</w:t>
          </w:r>
          <w:r>
            <w:tab/>
          </w:r>
          <w:r>
            <w:fldChar w:fldCharType="begin"/>
          </w:r>
          <w:r>
            <w:instrText xml:space="preserve"> PAGEREF _Toc68703846 \h </w:instrText>
          </w:r>
          <w:r>
            <w:fldChar w:fldCharType="separate"/>
          </w:r>
          <w:r>
            <w:t>16</w:t>
          </w:r>
          <w:r>
            <w:fldChar w:fldCharType="end"/>
          </w:r>
          <w:r>
            <w:fldChar w:fldCharType="end"/>
          </w:r>
        </w:p>
        <w:p>
          <w:r>
            <w:rPr>
              <w:b/>
              <w:bCs/>
              <w:lang w:val="zh-CN"/>
            </w:rPr>
            <w:fldChar w:fldCharType="end"/>
          </w:r>
        </w:p>
      </w:sdtContent>
    </w:sdt>
    <w:p>
      <w:pPr>
        <w:widowControl/>
        <w:jc w:val="left"/>
        <w:rPr>
          <w:rFonts w:ascii="宋体" w:hAnsi="宋体" w:eastAsia="宋体" w:cs="Arial"/>
          <w:b/>
          <w:bCs/>
          <w:sz w:val="36"/>
          <w:szCs w:val="36"/>
        </w:rPr>
      </w:pPr>
      <w:r>
        <w:rPr>
          <w:rFonts w:ascii="宋体" w:hAnsi="宋体" w:eastAsia="宋体" w:cs="Arial"/>
          <w:b/>
          <w:bCs/>
          <w:sz w:val="36"/>
          <w:szCs w:val="36"/>
        </w:rPr>
        <w:br w:type="page"/>
      </w:r>
    </w:p>
    <w:p>
      <w:pPr>
        <w:jc w:val="center"/>
        <w:rPr>
          <w:rFonts w:ascii="Arial" w:hAnsi="Arial" w:eastAsia="宋体" w:cs="Arial"/>
          <w:b/>
          <w:bCs/>
          <w:sz w:val="36"/>
          <w:szCs w:val="36"/>
        </w:rPr>
      </w:pPr>
      <w:r>
        <w:rPr>
          <w:rFonts w:hint="eastAsia" w:ascii="宋体" w:hAnsi="宋体" w:eastAsia="宋体" w:cs="Arial"/>
          <w:b/>
          <w:bCs/>
          <w:sz w:val="36"/>
          <w:szCs w:val="36"/>
        </w:rPr>
        <w:t>项目支出</w:t>
      </w:r>
      <w:r>
        <w:rPr>
          <w:rFonts w:ascii="宋体" w:hAnsi="宋体" w:eastAsia="宋体" w:cs="Arial"/>
          <w:b/>
          <w:bCs/>
          <w:sz w:val="36"/>
          <w:szCs w:val="36"/>
        </w:rPr>
        <w:t>绩效</w:t>
      </w:r>
      <w:r>
        <w:rPr>
          <w:rFonts w:hint="eastAsia" w:ascii="宋体" w:hAnsi="宋体" w:eastAsia="宋体" w:cs="Arial"/>
          <w:b/>
          <w:bCs/>
          <w:sz w:val="36"/>
          <w:szCs w:val="36"/>
        </w:rPr>
        <w:t>评价报告</w:t>
      </w:r>
    </w:p>
    <w:p>
      <w:pPr>
        <w:jc w:val="center"/>
        <w:rPr>
          <w:rFonts w:ascii="仿宋_GB2312"/>
        </w:rPr>
      </w:pPr>
      <w:r>
        <w:rPr>
          <w:rFonts w:hint="eastAsia" w:ascii="仿宋_GB2312"/>
        </w:rPr>
        <w:t>（参考提纲）</w:t>
      </w:r>
    </w:p>
    <w:p>
      <w:pPr>
        <w:jc w:val="center"/>
        <w:rPr>
          <w:rFonts w:ascii="仿宋_GB2312"/>
          <w:szCs w:val="30"/>
        </w:rPr>
      </w:pPr>
    </w:p>
    <w:p>
      <w:pPr>
        <w:pStyle w:val="3"/>
        <w:spacing w:line="360" w:lineRule="auto"/>
        <w:rPr>
          <w:rFonts w:ascii="宋体" w:hAnsi="宋体" w:eastAsia="宋体"/>
          <w:sz w:val="32"/>
          <w:szCs w:val="32"/>
        </w:rPr>
      </w:pPr>
      <w:bookmarkStart w:id="0" w:name="_Toc68703827"/>
      <w:r>
        <w:rPr>
          <w:rFonts w:hint="eastAsia" w:ascii="宋体" w:hAnsi="宋体" w:eastAsia="宋体"/>
          <w:sz w:val="32"/>
          <w:szCs w:val="32"/>
        </w:rPr>
        <w:t>一、基本情况</w:t>
      </w:r>
      <w:bookmarkEnd w:id="0"/>
    </w:p>
    <w:p>
      <w:pPr>
        <w:pStyle w:val="4"/>
        <w:spacing w:line="360" w:lineRule="auto"/>
        <w:rPr>
          <w:rFonts w:ascii="仿宋_GB2312" w:eastAsia="仿宋_GB2312"/>
          <w:b w:val="0"/>
          <w:bCs w:val="0"/>
        </w:rPr>
      </w:pPr>
      <w:bookmarkStart w:id="1" w:name="_Toc68703828"/>
      <w:r>
        <w:rPr>
          <w:rFonts w:hint="eastAsia" w:ascii="仿宋_GB2312" w:eastAsia="仿宋_GB2312"/>
          <w:b w:val="0"/>
          <w:bCs w:val="0"/>
        </w:rPr>
        <w:t>（一）项目概况。</w:t>
      </w:r>
      <w:bookmarkEnd w:id="1"/>
    </w:p>
    <w:p>
      <w:pPr>
        <w:numPr>
          <w:ilvl w:val="0"/>
          <w:numId w:val="1"/>
        </w:numPr>
        <w:spacing w:line="360" w:lineRule="auto"/>
        <w:ind w:firstLine="600" w:firstLineChars="200"/>
        <w:rPr>
          <w:rFonts w:hint="eastAsia" w:ascii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/>
        </w:rPr>
        <w:t>项目背景</w:t>
      </w:r>
      <w:r>
        <w:rPr>
          <w:rFonts w:hint="eastAsia" w:ascii="仿宋_GB2312"/>
          <w:lang w:eastAsia="zh-CN"/>
        </w:rPr>
        <w:t>：</w:t>
      </w:r>
      <w:r>
        <w:rPr>
          <w:rFonts w:hint="eastAsia" w:ascii="仿宋_GB2312"/>
          <w:bCs/>
          <w:color w:val="auto"/>
          <w:sz w:val="32"/>
          <w:szCs w:val="32"/>
          <w:lang w:val="en-US" w:eastAsia="zh-CN"/>
        </w:rPr>
        <w:t>五经普项目旨在通过广泛的宣传和推广，提升大众对五经文化的认知度和兴趣度，进而促进传统文化的传承与发展。本项目宣传经费支出绩效评价报告，旨在全面分析宣传经费的使用情况，评估宣传效果，为未来的经费分配和项目优化提供科学依据。</w:t>
      </w:r>
    </w:p>
    <w:p>
      <w:pPr>
        <w:spacing w:line="360" w:lineRule="auto"/>
        <w:ind w:firstLine="600" w:firstLineChars="200"/>
        <w:rPr>
          <w:rFonts w:ascii="仿宋_GB2312"/>
        </w:rPr>
      </w:pPr>
      <w:r>
        <w:rPr>
          <w:rFonts w:hint="eastAsia" w:ascii="仿宋_GB2312"/>
        </w:rPr>
        <w:t>2、主要内容</w:t>
      </w:r>
      <w:r>
        <w:rPr>
          <w:rFonts w:hint="eastAsia"/>
        </w:rPr>
        <w:t>及</w:t>
      </w:r>
      <w:r>
        <w:rPr>
          <w:rFonts w:hint="eastAsia" w:ascii="仿宋_GB2312"/>
        </w:rPr>
        <w:t>实施情况</w:t>
      </w:r>
    </w:p>
    <w:p>
      <w:pPr>
        <w:spacing w:line="360" w:lineRule="auto"/>
        <w:ind w:firstLine="600" w:firstLineChars="200"/>
        <w:rPr>
          <w:rFonts w:hint="eastAsia" w:ascii="仿宋_GB2312" w:eastAsia="仿宋_GB2312" w:hAnsiTheme="majorHAnsi" w:cstheme="majorBidi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/>
        </w:rPr>
        <w:t>主要内容：</w:t>
      </w:r>
      <w:r>
        <w:rPr>
          <w:rFonts w:hint="eastAsia" w:ascii="仿宋_GB2312"/>
          <w:bCs/>
          <w:color w:val="auto"/>
          <w:sz w:val="32"/>
          <w:szCs w:val="32"/>
          <w:lang w:val="en-US" w:eastAsia="zh-CN"/>
        </w:rPr>
        <w:t>通过五经普项目旨在通过广泛的宣传和推广，提升了大众对五经文化的认知度和兴趣度</w:t>
      </w:r>
      <w:r>
        <w:rPr>
          <w:rFonts w:hint="eastAsia" w:ascii="仿宋_GB2312" w:eastAsia="仿宋_GB2312" w:hAnsiTheme="majorHAnsi" w:cstheme="majorBidi"/>
          <w:b w:val="0"/>
          <w:bCs w:val="0"/>
          <w:kern w:val="2"/>
          <w:sz w:val="32"/>
          <w:szCs w:val="32"/>
          <w:lang w:val="en-US" w:eastAsia="zh-CN" w:bidi="ar-SA"/>
        </w:rPr>
        <w:t>。</w:t>
      </w:r>
    </w:p>
    <w:p>
      <w:pPr>
        <w:spacing w:line="360" w:lineRule="auto"/>
        <w:ind w:firstLine="600" w:firstLineChars="200"/>
        <w:rPr>
          <w:rFonts w:hint="default" w:ascii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/>
        </w:rPr>
        <w:t>实施情况：</w:t>
      </w:r>
      <w:r>
        <w:rPr>
          <w:rFonts w:hint="eastAsia" w:ascii="仿宋_GB2312"/>
          <w:bCs/>
          <w:color w:val="auto"/>
          <w:sz w:val="32"/>
          <w:szCs w:val="32"/>
          <w:lang w:val="en-US" w:eastAsia="zh-CN"/>
        </w:rPr>
        <w:t>宣传册，海报，视频等宣传材料的制作完成，共计支出2万元。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color w:val="FF0000"/>
          <w:lang w:val="en-US" w:eastAsia="zh-CN"/>
        </w:rPr>
      </w:pPr>
    </w:p>
    <w:p>
      <w:pPr>
        <w:spacing w:line="360" w:lineRule="auto"/>
        <w:ind w:firstLine="600" w:firstLineChars="200"/>
        <w:rPr>
          <w:rFonts w:ascii="仿宋_GB2312"/>
        </w:rPr>
      </w:pPr>
      <w:r>
        <w:rPr>
          <w:rFonts w:ascii="仿宋_GB2312"/>
        </w:rPr>
        <w:t>4</w:t>
      </w:r>
      <w:r>
        <w:rPr>
          <w:rFonts w:hint="eastAsia" w:ascii="仿宋_GB2312"/>
        </w:rPr>
        <w:t>、资金投入和使用情况</w:t>
      </w:r>
    </w:p>
    <w:p>
      <w:pPr>
        <w:spacing w:line="360" w:lineRule="auto"/>
        <w:ind w:firstLine="640" w:firstLineChars="200"/>
        <w:jc w:val="left"/>
        <w:rPr>
          <w:rFonts w:hint="eastAsia" w:ascii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/>
          <w:bCs/>
          <w:color w:val="auto"/>
          <w:sz w:val="32"/>
          <w:szCs w:val="32"/>
          <w:lang w:val="en-US" w:eastAsia="zh-CN"/>
        </w:rPr>
        <w:t>资金投入情况：该项目年初预算数0万元，全年预算数</w:t>
      </w:r>
      <w:r>
        <w:rPr>
          <w:rFonts w:hint="default" w:ascii="仿宋_GB2312"/>
          <w:bCs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/>
          <w:bCs/>
          <w:color w:val="auto"/>
          <w:sz w:val="32"/>
          <w:szCs w:val="32"/>
          <w:lang w:val="en-US" w:eastAsia="zh-CN"/>
        </w:rPr>
        <w:t>万元实际总投入</w:t>
      </w:r>
      <w:r>
        <w:rPr>
          <w:rFonts w:hint="default" w:ascii="仿宋_GB2312"/>
          <w:bCs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/>
          <w:bCs/>
          <w:color w:val="auto"/>
          <w:sz w:val="32"/>
          <w:szCs w:val="32"/>
          <w:lang w:val="en-US" w:eastAsia="zh-CN"/>
        </w:rPr>
        <w:t>万元，该项目资金已全部落实到位资金来源为财政拨款 。</w:t>
      </w:r>
    </w:p>
    <w:p>
      <w:pPr>
        <w:spacing w:line="360" w:lineRule="auto"/>
        <w:ind w:firstLine="640" w:firstLineChars="200"/>
        <w:jc w:val="left"/>
        <w:rPr>
          <w:rFonts w:hint="eastAsia" w:ascii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/>
          <w:bCs/>
          <w:color w:val="auto"/>
          <w:sz w:val="32"/>
          <w:szCs w:val="32"/>
          <w:lang w:val="en-US" w:eastAsia="zh-CN"/>
        </w:rPr>
        <w:t>资金使用情况：该项目年初预算数0万元，全年预算数2万元,全年执行数2万元，预算执行率为100%。</w:t>
      </w:r>
    </w:p>
    <w:p>
      <w:pPr>
        <w:pStyle w:val="4"/>
        <w:spacing w:line="360" w:lineRule="auto"/>
        <w:ind w:firstLine="640" w:firstLineChars="200"/>
        <w:rPr>
          <w:rFonts w:ascii="仿宋_GB2312" w:eastAsia="仿宋_GB2312"/>
          <w:b w:val="0"/>
          <w:bCs w:val="0"/>
        </w:rPr>
      </w:pPr>
      <w:bookmarkStart w:id="2" w:name="_Toc68703829"/>
      <w:r>
        <w:rPr>
          <w:rFonts w:hint="eastAsia" w:ascii="仿宋_GB2312" w:eastAsia="仿宋_GB2312"/>
          <w:b w:val="0"/>
          <w:bCs w:val="0"/>
        </w:rPr>
        <w:t>（二）项目绩效目标。</w:t>
      </w:r>
      <w:bookmarkEnd w:id="2"/>
    </w:p>
    <w:p>
      <w:pPr>
        <w:spacing w:line="360" w:lineRule="auto"/>
        <w:ind w:firstLine="600" w:firstLineChars="200"/>
        <w:rPr>
          <w:rFonts w:hint="eastAsia" w:eastAsia="仿宋_GB2312"/>
          <w:color w:val="FF0000"/>
          <w:lang w:eastAsia="zh-CN"/>
        </w:rPr>
      </w:pPr>
      <w:r>
        <w:rPr>
          <w:rFonts w:hint="eastAsia"/>
        </w:rPr>
        <w:t>1、总体目标：</w:t>
      </w:r>
    </w:p>
    <w:p>
      <w:pPr>
        <w:spacing w:line="360" w:lineRule="auto"/>
        <w:ind w:firstLine="640" w:firstLineChars="200"/>
        <w:jc w:val="left"/>
        <w:rPr>
          <w:rFonts w:hint="eastAsia" w:ascii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/>
          <w:bCs/>
          <w:color w:val="auto"/>
          <w:sz w:val="32"/>
          <w:szCs w:val="32"/>
          <w:lang w:val="en-US" w:eastAsia="zh-CN"/>
        </w:rPr>
        <w:t>提升大众对五经普工作的认知度，增强五经普的社会影响力，提高公众的认知度和关注度。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jc w:val="left"/>
        <w:rPr>
          <w:rFonts w:hint="eastAsia" w:ascii="仿宋_GB2312"/>
          <w:bCs/>
          <w:color w:val="auto"/>
          <w:sz w:val="32"/>
          <w:szCs w:val="32"/>
        </w:rPr>
      </w:pPr>
      <w:r>
        <w:rPr>
          <w:rFonts w:hint="eastAsia" w:ascii="仿宋_GB2312"/>
          <w:bCs/>
          <w:color w:val="auto"/>
          <w:sz w:val="32"/>
          <w:szCs w:val="32"/>
        </w:rPr>
        <w:t>阶段性目标：</w:t>
      </w:r>
    </w:p>
    <w:p>
      <w:pPr>
        <w:spacing w:line="360" w:lineRule="auto"/>
        <w:ind w:firstLine="640" w:firstLineChars="200"/>
        <w:jc w:val="left"/>
        <w:rPr>
          <w:rFonts w:hint="default" w:ascii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/>
          <w:bCs/>
          <w:color w:val="auto"/>
          <w:sz w:val="32"/>
          <w:szCs w:val="32"/>
          <w:lang w:val="en-US" w:eastAsia="zh-CN"/>
        </w:rPr>
        <w:t>为加大全国第五次经济普查工作顺利开展，制作2批次宣传品。</w:t>
      </w:r>
    </w:p>
    <w:p>
      <w:pPr>
        <w:pStyle w:val="3"/>
        <w:spacing w:line="360" w:lineRule="auto"/>
        <w:rPr>
          <w:rFonts w:ascii="宋体" w:hAnsi="宋体" w:eastAsia="宋体"/>
          <w:sz w:val="32"/>
          <w:szCs w:val="32"/>
        </w:rPr>
      </w:pPr>
      <w:bookmarkStart w:id="3" w:name="_Toc68703830"/>
      <w:r>
        <w:rPr>
          <w:rFonts w:hint="eastAsia" w:ascii="宋体" w:hAnsi="宋体" w:eastAsia="宋体"/>
          <w:sz w:val="32"/>
          <w:szCs w:val="32"/>
        </w:rPr>
        <w:t>二、绩效评价工作开展情况</w:t>
      </w:r>
      <w:bookmarkEnd w:id="3"/>
    </w:p>
    <w:p>
      <w:pPr>
        <w:pStyle w:val="4"/>
        <w:spacing w:line="360" w:lineRule="auto"/>
        <w:rPr>
          <w:rFonts w:ascii="仿宋_GB2312" w:eastAsia="仿宋_GB2312"/>
          <w:b w:val="0"/>
          <w:bCs w:val="0"/>
        </w:rPr>
      </w:pPr>
      <w:bookmarkStart w:id="4" w:name="_Toc68703831"/>
      <w:r>
        <w:rPr>
          <w:rFonts w:hint="eastAsia" w:ascii="仿宋_GB2312" w:eastAsia="仿宋_GB2312"/>
          <w:b w:val="0"/>
          <w:bCs w:val="0"/>
        </w:rPr>
        <w:t>（一）绩效评价目的、对象和范围。</w:t>
      </w:r>
      <w:bookmarkEnd w:id="4"/>
    </w:p>
    <w:p>
      <w:pPr>
        <w:spacing w:line="360" w:lineRule="auto"/>
      </w:pPr>
      <w:r>
        <w:rPr>
          <w:rFonts w:hint="eastAsia"/>
        </w:rPr>
        <w:t>1、绩效评价目的：</w:t>
      </w:r>
    </w:p>
    <w:p>
      <w:pPr>
        <w:spacing w:line="360" w:lineRule="auto"/>
        <w:ind w:firstLine="640" w:firstLineChars="200"/>
        <w:jc w:val="left"/>
        <w:rPr>
          <w:rFonts w:ascii="仿宋_GB2312"/>
          <w:bCs/>
          <w:color w:val="auto"/>
          <w:sz w:val="32"/>
          <w:szCs w:val="32"/>
        </w:rPr>
      </w:pPr>
      <w:r>
        <w:rPr>
          <w:rFonts w:hint="eastAsia" w:ascii="仿宋_GB2312"/>
          <w:bCs/>
          <w:color w:val="auto"/>
          <w:sz w:val="32"/>
          <w:szCs w:val="32"/>
        </w:rPr>
        <w:t>通过绩效评价，客观地评判项目的管理绩效，了解和掌握</w:t>
      </w:r>
      <w:r>
        <w:rPr>
          <w:rFonts w:hint="eastAsia" w:ascii="仿宋_GB2312"/>
          <w:bCs/>
          <w:color w:val="auto"/>
          <w:sz w:val="32"/>
          <w:szCs w:val="32"/>
          <w:lang w:eastAsia="zh-CN"/>
        </w:rPr>
        <w:t>全国第五次经济普查宣传</w:t>
      </w:r>
      <w:r>
        <w:rPr>
          <w:rFonts w:hint="eastAsia" w:ascii="仿宋_GB2312"/>
          <w:bCs/>
          <w:color w:val="auto"/>
          <w:sz w:val="32"/>
          <w:szCs w:val="32"/>
        </w:rPr>
        <w:t>（可填项目名称）经费的具体情况，评价该项目资金安排的科学性、合理性、规范性和资金的使用成效，及时总结项目管理经验，完善项目管理办法，提高项目管理水平和资金使用效益。促使我局根据绩效评价中发现的问题，认真加以整改，及时调整和完善单位的工作计划和绩效目标并加强项目管理，提高管理水平，同时</w:t>
      </w:r>
      <w:r>
        <w:rPr>
          <w:rFonts w:hint="eastAsia" w:ascii="仿宋_GB2312"/>
          <w:bCs/>
          <w:color w:val="auto"/>
          <w:sz w:val="32"/>
          <w:szCs w:val="32"/>
          <w:lang w:val="en-US" w:eastAsia="zh-CN"/>
        </w:rPr>
        <w:t>为项</w:t>
      </w:r>
      <w:r>
        <w:rPr>
          <w:rFonts w:hint="eastAsia" w:ascii="仿宋_GB2312"/>
          <w:bCs/>
          <w:color w:val="auto"/>
          <w:sz w:val="32"/>
          <w:szCs w:val="32"/>
        </w:rPr>
        <w:t>目后续资金投入、分配和管理提供决策依据。</w:t>
      </w:r>
    </w:p>
    <w:p>
      <w:pPr>
        <w:spacing w:line="360" w:lineRule="auto"/>
        <w:ind w:firstLine="600" w:firstLineChars="200"/>
        <w:jc w:val="left"/>
      </w:pPr>
      <w:r>
        <w:rPr>
          <w:rFonts w:hint="eastAsia"/>
        </w:rPr>
        <w:t>2、绩效评价对象：</w:t>
      </w:r>
    </w:p>
    <w:p>
      <w:pPr>
        <w:spacing w:line="360" w:lineRule="auto"/>
        <w:ind w:firstLine="640" w:firstLineChars="200"/>
        <w:jc w:val="left"/>
        <w:rPr>
          <w:rFonts w:hint="eastAsia" w:ascii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/>
          <w:bCs/>
          <w:color w:val="auto"/>
          <w:sz w:val="32"/>
          <w:szCs w:val="32"/>
          <w:lang w:val="en-US" w:eastAsia="zh-CN"/>
        </w:rPr>
        <w:t>全国第五次经济普查宣传经费</w:t>
      </w:r>
    </w:p>
    <w:p>
      <w:pPr>
        <w:spacing w:line="360" w:lineRule="auto"/>
        <w:ind w:firstLine="600" w:firstLineChars="200"/>
      </w:pPr>
      <w:r>
        <w:rPr>
          <w:rFonts w:hint="eastAsia"/>
        </w:rPr>
        <w:t>3、绩效评价范围：</w:t>
      </w:r>
    </w:p>
    <w:p>
      <w:pPr>
        <w:spacing w:line="360" w:lineRule="auto"/>
        <w:ind w:firstLine="640" w:firstLineChars="200"/>
        <w:jc w:val="left"/>
        <w:rPr>
          <w:rFonts w:hint="eastAsia" w:ascii="仿宋_GB2312" w:hAnsi="Times New Roman" w:cs="Times New Roman"/>
          <w:bCs/>
          <w:color w:val="auto"/>
          <w:sz w:val="32"/>
          <w:szCs w:val="32"/>
        </w:rPr>
      </w:pPr>
      <w:r>
        <w:rPr>
          <w:rFonts w:hint="eastAsia" w:ascii="仿宋_GB2312" w:hAnsi="Times New Roman" w:cs="Times New Roman"/>
          <w:bCs/>
          <w:color w:val="auto"/>
          <w:sz w:val="32"/>
          <w:szCs w:val="32"/>
        </w:rPr>
        <w:t>本次评价从项目决策（包括绩效目标、决策过程）、项目管理（包括项目资金、项目实施）、项目产出（包括项目产出数量、产出质量、产出时效和产出成本）项目效益四个维度进行</w:t>
      </w:r>
      <w:r>
        <w:rPr>
          <w:rFonts w:hint="eastAsia" w:ascii="仿宋_GB2312" w:hAnsi="Times New Roman" w:cs="Times New Roman"/>
          <w:bCs/>
          <w:color w:val="auto"/>
          <w:sz w:val="32"/>
          <w:szCs w:val="32"/>
          <w:lang w:eastAsia="zh-CN"/>
        </w:rPr>
        <w:t>全国第五次经济普查经费</w:t>
      </w:r>
      <w:r>
        <w:rPr>
          <w:rFonts w:hint="eastAsia" w:ascii="仿宋_GB2312" w:hAnsi="Times New Roman" w:cs="Times New Roman"/>
          <w:bCs/>
          <w:color w:val="auto"/>
          <w:sz w:val="32"/>
          <w:szCs w:val="32"/>
        </w:rPr>
        <w:t>（可填项目名称）评价，评价核心为专项资金的支出完成情况和效果。</w:t>
      </w:r>
    </w:p>
    <w:p>
      <w:pPr>
        <w:pStyle w:val="4"/>
        <w:spacing w:line="360" w:lineRule="auto"/>
        <w:rPr>
          <w:rFonts w:ascii="仿宋_GB2312" w:eastAsia="仿宋_GB2312"/>
          <w:b w:val="0"/>
          <w:bCs w:val="0"/>
        </w:rPr>
      </w:pPr>
      <w:bookmarkStart w:id="5" w:name="_Toc68703832"/>
      <w:r>
        <w:rPr>
          <w:rFonts w:hint="eastAsia" w:ascii="仿宋_GB2312" w:eastAsia="仿宋_GB2312"/>
          <w:b w:val="0"/>
          <w:bCs w:val="0"/>
        </w:rPr>
        <w:t>（二）绩效评价原则、评价指标体系、评价方法、评价标准等。</w:t>
      </w:r>
      <w:bookmarkEnd w:id="5"/>
    </w:p>
    <w:p>
      <w:pPr>
        <w:spacing w:line="360" w:lineRule="auto"/>
      </w:pPr>
      <w:r>
        <w:rPr>
          <w:rFonts w:hint="eastAsia"/>
        </w:rPr>
        <w:t>1、绩效评价原则</w:t>
      </w:r>
    </w:p>
    <w:p>
      <w:pPr>
        <w:spacing w:line="600" w:lineRule="exact"/>
        <w:ind w:firstLine="640"/>
        <w:rPr>
          <w:rFonts w:ascii="仿宋_GB2312"/>
          <w:bCs/>
          <w:color w:val="auto"/>
          <w:sz w:val="32"/>
          <w:szCs w:val="32"/>
        </w:rPr>
      </w:pPr>
      <w:r>
        <w:rPr>
          <w:rFonts w:hint="eastAsia" w:ascii="仿宋_GB2312"/>
          <w:bCs/>
          <w:color w:val="auto"/>
          <w:sz w:val="32"/>
          <w:szCs w:val="32"/>
        </w:rPr>
        <w:t>（一）科学公正。绩效评价应当运用科学合理的方法，按照规范的程序，对项目绩效进行客观、公正的反映。</w:t>
      </w:r>
    </w:p>
    <w:p>
      <w:pPr>
        <w:spacing w:line="600" w:lineRule="exact"/>
        <w:ind w:firstLine="640"/>
        <w:rPr>
          <w:rFonts w:ascii="仿宋_GB2312"/>
          <w:bCs/>
          <w:color w:val="auto"/>
          <w:sz w:val="32"/>
          <w:szCs w:val="32"/>
        </w:rPr>
      </w:pPr>
      <w:r>
        <w:rPr>
          <w:rFonts w:hint="eastAsia" w:ascii="仿宋_GB2312"/>
          <w:bCs/>
          <w:color w:val="auto"/>
          <w:sz w:val="32"/>
          <w:szCs w:val="32"/>
        </w:rPr>
        <w:t>（二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</w:p>
    <w:p>
      <w:pPr>
        <w:spacing w:line="600" w:lineRule="exact"/>
        <w:ind w:firstLine="640"/>
        <w:rPr>
          <w:rFonts w:ascii="仿宋_GB2312"/>
          <w:bCs/>
          <w:color w:val="auto"/>
          <w:sz w:val="32"/>
          <w:szCs w:val="32"/>
        </w:rPr>
      </w:pPr>
      <w:r>
        <w:rPr>
          <w:rFonts w:hint="eastAsia" w:ascii="仿宋_GB2312"/>
          <w:bCs/>
          <w:color w:val="auto"/>
          <w:sz w:val="32"/>
          <w:szCs w:val="32"/>
        </w:rPr>
        <w:t>（三）激励约束。绩效评价结果应与预算安排、政策调整、改进管理实质性挂钩，体现奖优罚劣和激励相容导向，有效要安排、低效要压减、无效要问责。</w:t>
      </w:r>
    </w:p>
    <w:p>
      <w:pPr>
        <w:spacing w:line="360" w:lineRule="auto"/>
      </w:pPr>
      <w:r>
        <w:rPr>
          <w:rFonts w:hint="eastAsia" w:ascii="仿宋_GB2312"/>
          <w:bCs/>
          <w:color w:val="auto"/>
          <w:sz w:val="32"/>
          <w:szCs w:val="32"/>
        </w:rPr>
        <w:t>（四）公开透明。我单位绩效评价结束以后，将根据《政府信息公开条例》规定，自评结果在</w:t>
      </w:r>
      <w:r>
        <w:rPr>
          <w:rFonts w:hint="eastAsia" w:ascii="仿宋_GB2312"/>
          <w:bCs/>
          <w:color w:val="auto"/>
          <w:sz w:val="32"/>
          <w:szCs w:val="32"/>
          <w:lang w:val="en-US" w:eastAsia="zh-CN"/>
        </w:rPr>
        <w:t>焉耆县</w:t>
      </w:r>
      <w:r>
        <w:rPr>
          <w:rFonts w:hint="eastAsia" w:ascii="仿宋_GB2312"/>
          <w:bCs/>
          <w:color w:val="auto"/>
          <w:sz w:val="32"/>
          <w:szCs w:val="32"/>
        </w:rPr>
        <w:t>政府网站进行公开，广泛接受人民群众监督，接受社会各界监督，让公众全面了解政府绩效评价过程和评价结果。</w:t>
      </w:r>
    </w:p>
    <w:p>
      <w:pPr>
        <w:spacing w:line="360" w:lineRule="auto"/>
      </w:pPr>
      <w:r>
        <w:rPr>
          <w:rFonts w:hint="eastAsia"/>
        </w:rPr>
        <w:t>2、评价指标体系（附表说明）</w:t>
      </w:r>
    </w:p>
    <w:p>
      <w:pPr>
        <w:pStyle w:val="4"/>
        <w:spacing w:before="0" w:after="0" w:line="240" w:lineRule="auto"/>
        <w:jc w:val="center"/>
        <w:rPr>
          <w:rFonts w:ascii="Times New Roman" w:hAnsi="Times New Roman" w:eastAsia="仿宋_GB2312" w:cs="Times New Roman"/>
          <w:b w:val="0"/>
          <w:bCs w:val="0"/>
          <w:sz w:val="30"/>
          <w:szCs w:val="24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0"/>
          <w:szCs w:val="24"/>
          <w:lang w:eastAsia="zh-CN"/>
        </w:rPr>
        <w:t>全国第五次经济普查经费</w:t>
      </w:r>
      <w:r>
        <w:rPr>
          <w:rFonts w:hint="eastAsia" w:ascii="Times New Roman" w:hAnsi="Times New Roman" w:eastAsia="仿宋_GB2312" w:cs="Times New Roman"/>
          <w:b w:val="0"/>
          <w:bCs w:val="0"/>
          <w:sz w:val="30"/>
          <w:szCs w:val="24"/>
        </w:rPr>
        <w:t>项目支出绩效评价指标体系</w:t>
      </w:r>
    </w:p>
    <w:p/>
    <w:tbl>
      <w:tblPr>
        <w:tblStyle w:val="10"/>
        <w:tblW w:w="9859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1478"/>
        <w:gridCol w:w="1875"/>
        <w:gridCol w:w="3885"/>
        <w:gridCol w:w="990"/>
        <w:gridCol w:w="87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tblHeader/>
          <w:jc w:val="center"/>
        </w:trPr>
        <w:tc>
          <w:tcPr>
            <w:tcW w:w="757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一级指标</w:t>
            </w:r>
          </w:p>
        </w:tc>
        <w:tc>
          <w:tcPr>
            <w:tcW w:w="1478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二级指标</w:t>
            </w:r>
          </w:p>
        </w:tc>
        <w:tc>
          <w:tcPr>
            <w:tcW w:w="1875" w:type="dxa"/>
            <w:tcBorders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三级指标</w:t>
            </w:r>
          </w:p>
        </w:tc>
        <w:tc>
          <w:tcPr>
            <w:tcW w:w="3885" w:type="dxa"/>
            <w:tcBorders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/>
              <w:spacing w:line="60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指标解释</w:t>
            </w:r>
          </w:p>
        </w:tc>
        <w:tc>
          <w:tcPr>
            <w:tcW w:w="990" w:type="dxa"/>
            <w:tcBorders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/>
              <w:spacing w:line="60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874" w:type="dxa"/>
            <w:shd w:val="clear" w:color="auto" w:fill="FFFFFF"/>
            <w:vAlign w:val="top"/>
          </w:tcPr>
          <w:p>
            <w:pPr>
              <w:widowControl/>
              <w:spacing w:line="60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得分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757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决策</w:t>
            </w:r>
          </w:p>
        </w:tc>
        <w:tc>
          <w:tcPr>
            <w:tcW w:w="1478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项目立项　</w:t>
            </w:r>
          </w:p>
        </w:tc>
        <w:tc>
          <w:tcPr>
            <w:tcW w:w="1875" w:type="dxa"/>
            <w:tcBorders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立项依据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充分性</w:t>
            </w:r>
          </w:p>
        </w:tc>
        <w:tc>
          <w:tcPr>
            <w:tcW w:w="3885" w:type="dxa"/>
            <w:tcBorders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项目立项是否符合法律法规、相关政策、发展规划以及部门职责，用以反映和考核项目立项依据情况。</w:t>
            </w:r>
          </w:p>
        </w:tc>
        <w:tc>
          <w:tcPr>
            <w:tcW w:w="990" w:type="dxa"/>
            <w:tcBorders>
              <w:left w:val="single" w:color="auto" w:sz="4" w:space="0"/>
            </w:tcBorders>
            <w:shd w:val="clear" w:color="auto" w:fill="FFFFFF"/>
            <w:vAlign w:val="top"/>
          </w:tcPr>
          <w:p>
            <w:pPr>
              <w:spacing w:line="600" w:lineRule="auto"/>
              <w:jc w:val="center"/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874" w:type="dxa"/>
            <w:tcBorders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spacing w:line="600" w:lineRule="auto"/>
              <w:jc w:val="center"/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757" w:type="dxa"/>
            <w:vMerge w:val="continue"/>
            <w:shd w:val="clear" w:color="auto" w:fill="FFFFFF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78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75" w:type="dxa"/>
            <w:tcBorders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立项程序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规范性</w:t>
            </w:r>
          </w:p>
        </w:tc>
        <w:tc>
          <w:tcPr>
            <w:tcW w:w="3885" w:type="dxa"/>
            <w:tcBorders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项目申请、设立过程是否符合相关要求，用以反映和考核项目立项的规范情况</w:t>
            </w:r>
          </w:p>
        </w:tc>
        <w:tc>
          <w:tcPr>
            <w:tcW w:w="990" w:type="dxa"/>
            <w:tcBorders>
              <w:left w:val="single" w:color="auto" w:sz="4" w:space="0"/>
            </w:tcBorders>
            <w:shd w:val="clear" w:color="auto" w:fill="FFFFFF"/>
            <w:vAlign w:val="top"/>
          </w:tcPr>
          <w:p>
            <w:pPr>
              <w:spacing w:line="600" w:lineRule="auto"/>
              <w:jc w:val="center"/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874" w:type="dxa"/>
            <w:shd w:val="clear" w:color="auto" w:fill="FFFFFF"/>
            <w:vAlign w:val="top"/>
          </w:tcPr>
          <w:p>
            <w:pPr>
              <w:spacing w:line="600" w:lineRule="auto"/>
              <w:jc w:val="center"/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757" w:type="dxa"/>
            <w:vMerge w:val="continue"/>
            <w:shd w:val="clear" w:color="auto" w:fill="FFFFFF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78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绩效目标</w:t>
            </w:r>
          </w:p>
        </w:tc>
        <w:tc>
          <w:tcPr>
            <w:tcW w:w="1875" w:type="dxa"/>
            <w:tcBorders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绩效目标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合理性</w:t>
            </w:r>
          </w:p>
        </w:tc>
        <w:tc>
          <w:tcPr>
            <w:tcW w:w="3885" w:type="dxa"/>
            <w:tcBorders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项目所设定的绩效目标是否依据充分，是否符合客观实际，用以反映和考核项目绩效目标与项目实施的相符情况。</w:t>
            </w:r>
          </w:p>
        </w:tc>
        <w:tc>
          <w:tcPr>
            <w:tcW w:w="990" w:type="dxa"/>
            <w:tcBorders>
              <w:left w:val="single" w:color="auto" w:sz="4" w:space="0"/>
            </w:tcBorders>
            <w:shd w:val="clear" w:color="000000" w:fill="FFFFFF"/>
            <w:vAlign w:val="top"/>
          </w:tcPr>
          <w:p>
            <w:pPr>
              <w:spacing w:line="600" w:lineRule="auto"/>
              <w:jc w:val="center"/>
            </w:pPr>
            <w:r>
              <w:rPr>
                <w:rFonts w:hint="eastAsia"/>
                <w:lang w:val="en-US" w:eastAsia="zh-CN"/>
              </w:rPr>
              <w:t>2.5</w:t>
            </w:r>
          </w:p>
        </w:tc>
        <w:tc>
          <w:tcPr>
            <w:tcW w:w="874" w:type="dxa"/>
            <w:shd w:val="clear" w:color="000000" w:fill="FFFFFF"/>
            <w:vAlign w:val="top"/>
          </w:tcPr>
          <w:p>
            <w:pPr>
              <w:spacing w:line="600" w:lineRule="auto"/>
              <w:jc w:val="center"/>
            </w:pPr>
            <w:r>
              <w:rPr>
                <w:rFonts w:hint="eastAsia"/>
                <w:lang w:val="en-US" w:eastAsia="zh-CN"/>
              </w:rPr>
              <w:t>2.5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757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78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75" w:type="dxa"/>
            <w:tcBorders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绩效指标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明确性</w:t>
            </w:r>
          </w:p>
        </w:tc>
        <w:tc>
          <w:tcPr>
            <w:tcW w:w="3885" w:type="dxa"/>
            <w:tcBorders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依据绩效目标设定的绩效指标是否清晰、细化、可衡量等，用以反映和考核项目绩效目标的明细化情况。</w:t>
            </w:r>
          </w:p>
        </w:tc>
        <w:tc>
          <w:tcPr>
            <w:tcW w:w="990" w:type="dxa"/>
            <w:tcBorders>
              <w:left w:val="single" w:color="auto" w:sz="4" w:space="0"/>
            </w:tcBorders>
            <w:shd w:val="clear" w:color="000000" w:fill="FFFFFF"/>
            <w:vAlign w:val="top"/>
          </w:tcPr>
          <w:p>
            <w:pPr>
              <w:spacing w:line="600" w:lineRule="auto"/>
              <w:jc w:val="center"/>
            </w:pPr>
            <w:r>
              <w:rPr>
                <w:rFonts w:hint="eastAsia"/>
                <w:lang w:val="en-US" w:eastAsia="zh-CN"/>
              </w:rPr>
              <w:t>2.5</w:t>
            </w:r>
          </w:p>
        </w:tc>
        <w:tc>
          <w:tcPr>
            <w:tcW w:w="874" w:type="dxa"/>
            <w:tcBorders>
              <w:bottom w:val="single" w:color="auto" w:sz="4" w:space="0"/>
            </w:tcBorders>
            <w:shd w:val="clear" w:color="000000" w:fill="FFFFFF"/>
            <w:vAlign w:val="top"/>
          </w:tcPr>
          <w:p>
            <w:pPr>
              <w:spacing w:line="600" w:lineRule="auto"/>
              <w:jc w:val="center"/>
            </w:pPr>
            <w:r>
              <w:rPr>
                <w:rFonts w:hint="eastAsia"/>
                <w:lang w:val="en-US" w:eastAsia="zh-CN"/>
              </w:rPr>
              <w:t>2.5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57" w:type="dxa"/>
            <w:vMerge w:val="continue"/>
            <w:shd w:val="clear" w:color="auto" w:fill="FFFFFF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78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资金投入</w:t>
            </w:r>
          </w:p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875" w:type="dxa"/>
            <w:tcBorders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预算编制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科学性</w:t>
            </w:r>
          </w:p>
        </w:tc>
        <w:tc>
          <w:tcPr>
            <w:tcW w:w="3885" w:type="dxa"/>
            <w:tcBorders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项目预算编制是否经过科学论证、有明确标准，资金额度与年度目标是否相适应，用以反映和考核项目预算编制的科学性、合理性情况。</w:t>
            </w:r>
          </w:p>
        </w:tc>
        <w:tc>
          <w:tcPr>
            <w:tcW w:w="990" w:type="dxa"/>
            <w:tcBorders>
              <w:left w:val="single" w:color="auto" w:sz="4" w:space="0"/>
            </w:tcBorders>
            <w:shd w:val="clear" w:color="auto" w:fill="FFFFFF"/>
            <w:vAlign w:val="top"/>
          </w:tcPr>
          <w:p>
            <w:pPr>
              <w:spacing w:line="600" w:lineRule="auto"/>
              <w:jc w:val="center"/>
            </w:pPr>
            <w:r>
              <w:rPr>
                <w:rFonts w:hint="eastAsia"/>
                <w:lang w:val="en-US" w:eastAsia="zh-CN"/>
              </w:rPr>
              <w:t>2.5</w:t>
            </w:r>
          </w:p>
        </w:tc>
        <w:tc>
          <w:tcPr>
            <w:tcW w:w="874" w:type="dxa"/>
            <w:tcBorders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spacing w:line="600" w:lineRule="auto"/>
              <w:jc w:val="center"/>
            </w:pPr>
            <w:r>
              <w:rPr>
                <w:rFonts w:hint="eastAsia"/>
                <w:lang w:val="en-US" w:eastAsia="zh-CN"/>
              </w:rPr>
              <w:t>2.5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57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78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75" w:type="dxa"/>
            <w:tcBorders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资金分配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合理性</w:t>
            </w:r>
          </w:p>
        </w:tc>
        <w:tc>
          <w:tcPr>
            <w:tcW w:w="3885" w:type="dxa"/>
            <w:tcBorders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项目预算资金分配是否有测算依据，与补助单位或地方实际是否相适应，用以反映和考核项目预算资金分配的科学性、合理性情况。</w:t>
            </w:r>
          </w:p>
        </w:tc>
        <w:tc>
          <w:tcPr>
            <w:tcW w:w="990" w:type="dxa"/>
            <w:tcBorders>
              <w:left w:val="single" w:color="auto" w:sz="4" w:space="0"/>
            </w:tcBorders>
            <w:shd w:val="clear" w:color="auto" w:fill="FFFFFF"/>
            <w:vAlign w:val="top"/>
          </w:tcPr>
          <w:p>
            <w:pPr>
              <w:spacing w:line="600" w:lineRule="auto"/>
              <w:jc w:val="center"/>
            </w:pPr>
            <w:r>
              <w:rPr>
                <w:rFonts w:hint="eastAsia"/>
                <w:lang w:val="en-US" w:eastAsia="zh-CN"/>
              </w:rPr>
              <w:t>2.5</w:t>
            </w:r>
          </w:p>
        </w:tc>
        <w:tc>
          <w:tcPr>
            <w:tcW w:w="874" w:type="dxa"/>
            <w:shd w:val="clear" w:color="auto" w:fill="FFFFFF"/>
            <w:vAlign w:val="top"/>
          </w:tcPr>
          <w:p>
            <w:pPr>
              <w:spacing w:line="600" w:lineRule="auto"/>
              <w:jc w:val="center"/>
            </w:pPr>
            <w:r>
              <w:rPr>
                <w:rFonts w:hint="eastAsia"/>
                <w:lang w:val="en-US" w:eastAsia="zh-CN"/>
              </w:rPr>
              <w:t>2.5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757" w:type="dxa"/>
            <w:vMerge w:val="restart"/>
            <w:shd w:val="clear" w:color="auto" w:fill="FFFFFF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过程</w:t>
            </w:r>
          </w:p>
        </w:tc>
        <w:tc>
          <w:tcPr>
            <w:tcW w:w="1478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资金管理</w:t>
            </w:r>
          </w:p>
        </w:tc>
        <w:tc>
          <w:tcPr>
            <w:tcW w:w="1875" w:type="dxa"/>
            <w:tcBorders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资金到位率</w:t>
            </w:r>
          </w:p>
        </w:tc>
        <w:tc>
          <w:tcPr>
            <w:tcW w:w="3885" w:type="dxa"/>
            <w:tcBorders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实际到位资金与预算资金的比率，用以反映和考核资金落实情况对项目实施的总体保障程度。</w:t>
            </w:r>
          </w:p>
        </w:tc>
        <w:tc>
          <w:tcPr>
            <w:tcW w:w="990" w:type="dxa"/>
            <w:tcBorders>
              <w:left w:val="single" w:color="auto" w:sz="4" w:space="0"/>
            </w:tcBorders>
            <w:shd w:val="clear" w:color="000000" w:fill="FFFFFF"/>
            <w:vAlign w:val="top"/>
          </w:tcPr>
          <w:p>
            <w:pPr>
              <w:spacing w:line="600" w:lineRule="auto"/>
              <w:jc w:val="center"/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874" w:type="dxa"/>
            <w:tcBorders>
              <w:bottom w:val="single" w:color="auto" w:sz="4" w:space="0"/>
            </w:tcBorders>
            <w:shd w:val="clear" w:color="000000" w:fill="FFFFFF"/>
            <w:vAlign w:val="top"/>
          </w:tcPr>
          <w:p>
            <w:pPr>
              <w:spacing w:line="600" w:lineRule="auto"/>
              <w:jc w:val="center"/>
            </w:pPr>
            <w:r>
              <w:rPr>
                <w:rFonts w:hint="eastAsia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757" w:type="dxa"/>
            <w:vMerge w:val="continue"/>
            <w:shd w:val="clear" w:color="auto" w:fill="FFFFFF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78" w:type="dxa"/>
            <w:vMerge w:val="continue"/>
            <w:shd w:val="clear" w:color="auto" w:fill="FFFFFF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75" w:type="dxa"/>
            <w:tcBorders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预算执行率</w:t>
            </w:r>
          </w:p>
        </w:tc>
        <w:tc>
          <w:tcPr>
            <w:tcW w:w="3885" w:type="dxa"/>
            <w:tcBorders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项目预算资金是否按照计划执行，用以反映或考核项目预算执行情况</w:t>
            </w:r>
          </w:p>
        </w:tc>
        <w:tc>
          <w:tcPr>
            <w:tcW w:w="990" w:type="dxa"/>
            <w:tcBorders>
              <w:left w:val="single" w:color="auto" w:sz="4" w:space="0"/>
            </w:tcBorders>
            <w:shd w:val="clear" w:color="auto" w:fill="FFFFFF"/>
            <w:vAlign w:val="top"/>
          </w:tcPr>
          <w:p>
            <w:pPr>
              <w:spacing w:line="600" w:lineRule="auto"/>
              <w:jc w:val="center"/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874" w:type="dxa"/>
            <w:tcBorders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spacing w:line="600" w:lineRule="auto"/>
              <w:jc w:val="center"/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1.5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757" w:type="dxa"/>
            <w:vMerge w:val="continue"/>
            <w:shd w:val="clear" w:color="auto" w:fill="FFFFFF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78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资金管理</w:t>
            </w:r>
          </w:p>
        </w:tc>
        <w:tc>
          <w:tcPr>
            <w:tcW w:w="1875" w:type="dxa"/>
            <w:tcBorders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资金使用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合规性</w:t>
            </w:r>
          </w:p>
        </w:tc>
        <w:tc>
          <w:tcPr>
            <w:tcW w:w="3885" w:type="dxa"/>
            <w:tcBorders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项目资金使用是否符合相关的财务管理制度规定，用以反映和考核项目资金的规范运行情况。</w:t>
            </w:r>
          </w:p>
        </w:tc>
        <w:tc>
          <w:tcPr>
            <w:tcW w:w="990" w:type="dxa"/>
            <w:tcBorders>
              <w:left w:val="single" w:color="auto" w:sz="4" w:space="0"/>
            </w:tcBorders>
            <w:shd w:val="clear" w:color="000000" w:fill="FFFFFF"/>
            <w:vAlign w:val="top"/>
          </w:tcPr>
          <w:p>
            <w:pPr>
              <w:spacing w:line="600" w:lineRule="auto"/>
              <w:jc w:val="center"/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874" w:type="dxa"/>
            <w:tcBorders>
              <w:bottom w:val="single" w:color="auto" w:sz="4" w:space="0"/>
            </w:tcBorders>
            <w:shd w:val="clear" w:color="000000" w:fill="FFFFFF"/>
            <w:vAlign w:val="top"/>
          </w:tcPr>
          <w:p>
            <w:pPr>
              <w:spacing w:line="600" w:lineRule="auto"/>
              <w:jc w:val="center"/>
            </w:pPr>
            <w:r>
              <w:rPr>
                <w:rFonts w:hint="eastAsia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757" w:type="dxa"/>
            <w:vMerge w:val="continue"/>
            <w:shd w:val="clear" w:color="auto" w:fill="FFFFFF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78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组织实施</w:t>
            </w:r>
          </w:p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875" w:type="dxa"/>
            <w:tcBorders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管理制度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健全性</w:t>
            </w:r>
          </w:p>
        </w:tc>
        <w:tc>
          <w:tcPr>
            <w:tcW w:w="3885" w:type="dxa"/>
            <w:tcBorders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项目实施单位的财务和业务管理制度是否健全，用以反映和考核财务和业务管理制度对项目顺利实施的保障情况。</w:t>
            </w:r>
          </w:p>
        </w:tc>
        <w:tc>
          <w:tcPr>
            <w:tcW w:w="990" w:type="dxa"/>
            <w:tcBorders>
              <w:left w:val="single" w:color="auto" w:sz="4" w:space="0"/>
            </w:tcBorders>
            <w:shd w:val="clear" w:color="000000" w:fill="FFFFFF"/>
            <w:vAlign w:val="top"/>
          </w:tcPr>
          <w:p>
            <w:pPr>
              <w:spacing w:line="600" w:lineRule="auto"/>
              <w:jc w:val="center"/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874" w:type="dxa"/>
            <w:tcBorders>
              <w:bottom w:val="single" w:color="auto" w:sz="4" w:space="0"/>
            </w:tcBorders>
            <w:shd w:val="clear" w:color="000000" w:fill="FFFFFF"/>
            <w:vAlign w:val="top"/>
          </w:tcPr>
          <w:p>
            <w:pPr>
              <w:spacing w:line="600" w:lineRule="auto"/>
              <w:jc w:val="center"/>
            </w:pPr>
            <w:r>
              <w:rPr>
                <w:rFonts w:hint="eastAsia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757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78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75" w:type="dxa"/>
            <w:tcBorders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制度执行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有效性</w:t>
            </w:r>
          </w:p>
        </w:tc>
        <w:tc>
          <w:tcPr>
            <w:tcW w:w="3885" w:type="dxa"/>
            <w:tcBorders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项目实施是否符合相关管理规定，用以反映和考核相关管理制度的有效执行情况。</w:t>
            </w:r>
          </w:p>
        </w:tc>
        <w:tc>
          <w:tcPr>
            <w:tcW w:w="990" w:type="dxa"/>
            <w:tcBorders>
              <w:left w:val="single" w:color="auto" w:sz="4" w:space="0"/>
            </w:tcBorders>
            <w:shd w:val="clear" w:color="000000" w:fill="FFFFFF"/>
            <w:vAlign w:val="top"/>
          </w:tcPr>
          <w:p>
            <w:pPr>
              <w:spacing w:line="600" w:lineRule="auto"/>
              <w:jc w:val="center"/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874" w:type="dxa"/>
            <w:tcBorders>
              <w:bottom w:val="single" w:color="auto" w:sz="4" w:space="0"/>
            </w:tcBorders>
            <w:shd w:val="clear" w:color="000000" w:fill="FFFFFF"/>
            <w:vAlign w:val="top"/>
          </w:tcPr>
          <w:p>
            <w:pPr>
              <w:spacing w:line="600" w:lineRule="auto"/>
              <w:jc w:val="center"/>
            </w:pPr>
            <w:r>
              <w:rPr>
                <w:rFonts w:hint="eastAsia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757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产出</w:t>
            </w:r>
          </w:p>
        </w:tc>
        <w:tc>
          <w:tcPr>
            <w:tcW w:w="1478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产出数量</w:t>
            </w:r>
          </w:p>
        </w:tc>
        <w:tc>
          <w:tcPr>
            <w:tcW w:w="1875" w:type="dxa"/>
            <w:tcBorders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实际完成率</w:t>
            </w:r>
          </w:p>
        </w:tc>
        <w:tc>
          <w:tcPr>
            <w:tcW w:w="3885" w:type="dxa"/>
            <w:tcBorders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项目实施的实际产出数与计划产出数的比率，用以反映和考核项目产出数量目标的实现程度。</w:t>
            </w:r>
          </w:p>
        </w:tc>
        <w:tc>
          <w:tcPr>
            <w:tcW w:w="990" w:type="dxa"/>
            <w:tcBorders>
              <w:left w:val="single" w:color="auto" w:sz="4" w:space="0"/>
            </w:tcBorders>
            <w:shd w:val="clear" w:color="000000" w:fill="FFFFFF"/>
            <w:vAlign w:val="top"/>
          </w:tcPr>
          <w:p>
            <w:pPr>
              <w:spacing w:line="600" w:lineRule="auto"/>
              <w:jc w:val="center"/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874" w:type="dxa"/>
            <w:shd w:val="clear" w:color="000000" w:fill="FFFFFF"/>
            <w:vAlign w:val="top"/>
          </w:tcPr>
          <w:p>
            <w:pPr>
              <w:spacing w:line="600" w:lineRule="auto"/>
              <w:jc w:val="center"/>
            </w:pPr>
            <w:r>
              <w:rPr>
                <w:rFonts w:hint="eastAsia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57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78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产出质量</w:t>
            </w:r>
          </w:p>
        </w:tc>
        <w:tc>
          <w:tcPr>
            <w:tcW w:w="1875" w:type="dxa"/>
            <w:tcBorders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质量达标率</w:t>
            </w:r>
          </w:p>
        </w:tc>
        <w:tc>
          <w:tcPr>
            <w:tcW w:w="3885" w:type="dxa"/>
            <w:tcBorders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项目完成的质量达标产出数与实际产出数的比率，用以反映和考核项目产出质量目标的实现程度。</w:t>
            </w:r>
          </w:p>
        </w:tc>
        <w:tc>
          <w:tcPr>
            <w:tcW w:w="990" w:type="dxa"/>
            <w:tcBorders>
              <w:left w:val="single" w:color="auto" w:sz="4" w:space="0"/>
            </w:tcBorders>
            <w:shd w:val="clear" w:color="000000" w:fill="FFFFFF"/>
            <w:vAlign w:val="top"/>
          </w:tcPr>
          <w:p>
            <w:pPr>
              <w:spacing w:line="600" w:lineRule="auto"/>
              <w:jc w:val="center"/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874" w:type="dxa"/>
            <w:shd w:val="clear" w:color="000000" w:fill="FFFFFF"/>
            <w:vAlign w:val="top"/>
          </w:tcPr>
          <w:p>
            <w:pPr>
              <w:spacing w:line="600" w:lineRule="auto"/>
              <w:jc w:val="center"/>
            </w:pPr>
            <w:r>
              <w:rPr>
                <w:rFonts w:hint="eastAsia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757" w:type="dxa"/>
            <w:vMerge w:val="continue"/>
            <w:shd w:val="clear" w:color="auto" w:fill="FFFFFF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78" w:type="dxa"/>
            <w:shd w:val="clear" w:color="auto" w:fill="FFFFFF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产出时效</w:t>
            </w:r>
          </w:p>
        </w:tc>
        <w:tc>
          <w:tcPr>
            <w:tcW w:w="1875" w:type="dxa"/>
            <w:tcBorders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完成及时性</w:t>
            </w:r>
          </w:p>
        </w:tc>
        <w:tc>
          <w:tcPr>
            <w:tcW w:w="3885" w:type="dxa"/>
            <w:tcBorders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项目实际完成时间与计划完成时间的比较，用以反映和考核项目产出时效目标的实现程度。</w:t>
            </w:r>
          </w:p>
        </w:tc>
        <w:tc>
          <w:tcPr>
            <w:tcW w:w="990" w:type="dxa"/>
            <w:tcBorders>
              <w:left w:val="single" w:color="auto" w:sz="4" w:space="0"/>
            </w:tcBorders>
            <w:shd w:val="clear" w:color="000000" w:fill="FFFFFF"/>
            <w:vAlign w:val="top"/>
          </w:tcPr>
          <w:p>
            <w:pPr>
              <w:spacing w:line="600" w:lineRule="auto"/>
              <w:jc w:val="center"/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874" w:type="dxa"/>
            <w:shd w:val="clear" w:color="000000" w:fill="FFFFFF"/>
            <w:vAlign w:val="top"/>
          </w:tcPr>
          <w:p>
            <w:pPr>
              <w:spacing w:line="600" w:lineRule="auto"/>
              <w:jc w:val="center"/>
            </w:pPr>
            <w:r>
              <w:rPr>
                <w:rFonts w:hint="eastAsia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757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78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产出成本</w:t>
            </w:r>
          </w:p>
        </w:tc>
        <w:tc>
          <w:tcPr>
            <w:tcW w:w="1875" w:type="dxa"/>
            <w:tcBorders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成本节约率</w:t>
            </w:r>
          </w:p>
        </w:tc>
        <w:tc>
          <w:tcPr>
            <w:tcW w:w="3885" w:type="dxa"/>
            <w:tcBorders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完成项目计划工作目标的实际节约成本与计划成本的比率，用以反映和考核项目的成本节约程度。</w:t>
            </w:r>
          </w:p>
        </w:tc>
        <w:tc>
          <w:tcPr>
            <w:tcW w:w="990" w:type="dxa"/>
            <w:tcBorders>
              <w:left w:val="single" w:color="auto" w:sz="4" w:space="0"/>
            </w:tcBorders>
            <w:shd w:val="clear" w:color="auto" w:fill="FFFFFF"/>
            <w:vAlign w:val="top"/>
          </w:tcPr>
          <w:p>
            <w:pPr>
              <w:spacing w:line="600" w:lineRule="auto"/>
              <w:jc w:val="center"/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874" w:type="dxa"/>
            <w:shd w:val="clear" w:color="auto" w:fill="FFFFFF"/>
            <w:vAlign w:val="top"/>
          </w:tcPr>
          <w:p>
            <w:pPr>
              <w:spacing w:line="600" w:lineRule="auto"/>
              <w:jc w:val="center"/>
            </w:pPr>
            <w:r>
              <w:rPr>
                <w:rFonts w:hint="eastAsia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757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效益　</w:t>
            </w:r>
          </w:p>
        </w:tc>
        <w:tc>
          <w:tcPr>
            <w:tcW w:w="1478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项目效益　</w:t>
            </w:r>
          </w:p>
        </w:tc>
        <w:tc>
          <w:tcPr>
            <w:tcW w:w="1875" w:type="dxa"/>
            <w:tcBorders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实施效益</w:t>
            </w:r>
          </w:p>
        </w:tc>
        <w:tc>
          <w:tcPr>
            <w:tcW w:w="3885" w:type="dxa"/>
            <w:tcBorders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项目实施所产生的效益。</w:t>
            </w:r>
          </w:p>
        </w:tc>
        <w:tc>
          <w:tcPr>
            <w:tcW w:w="990" w:type="dxa"/>
            <w:tcBorders>
              <w:left w:val="single" w:color="auto" w:sz="4" w:space="0"/>
            </w:tcBorders>
            <w:shd w:val="clear" w:color="auto" w:fill="FFFFFF"/>
            <w:vAlign w:val="top"/>
          </w:tcPr>
          <w:p>
            <w:pPr>
              <w:spacing w:line="600" w:lineRule="auto"/>
              <w:jc w:val="center"/>
            </w:pPr>
            <w:r>
              <w:rPr>
                <w:rFonts w:hint="eastAsia"/>
                <w:lang w:val="en-US" w:eastAsia="zh-CN"/>
              </w:rPr>
              <w:t>15</w:t>
            </w:r>
          </w:p>
        </w:tc>
        <w:tc>
          <w:tcPr>
            <w:tcW w:w="874" w:type="dxa"/>
            <w:shd w:val="clear" w:color="auto" w:fill="FFFFFF"/>
            <w:vAlign w:val="top"/>
          </w:tcPr>
          <w:p>
            <w:pPr>
              <w:spacing w:line="600" w:lineRule="auto"/>
              <w:jc w:val="center"/>
            </w:pPr>
            <w:r>
              <w:rPr>
                <w:rFonts w:hint="eastAsia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757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78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75" w:type="dxa"/>
            <w:tcBorders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满意度</w:t>
            </w:r>
          </w:p>
        </w:tc>
        <w:tc>
          <w:tcPr>
            <w:tcW w:w="3885" w:type="dxa"/>
            <w:tcBorders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社会公众或服务对象对项目实施效果的满意程度。</w:t>
            </w:r>
          </w:p>
        </w:tc>
        <w:tc>
          <w:tcPr>
            <w:tcW w:w="990" w:type="dxa"/>
            <w:tcBorders>
              <w:left w:val="single" w:color="auto" w:sz="4" w:space="0"/>
            </w:tcBorders>
            <w:shd w:val="clear" w:color="000000" w:fill="FFFFFF"/>
            <w:vAlign w:val="top"/>
          </w:tcPr>
          <w:p>
            <w:pPr>
              <w:spacing w:line="600" w:lineRule="auto"/>
              <w:jc w:val="center"/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874" w:type="dxa"/>
            <w:shd w:val="clear" w:color="000000" w:fill="FFFFFF"/>
            <w:vAlign w:val="top"/>
          </w:tcPr>
          <w:p>
            <w:pPr>
              <w:spacing w:line="600" w:lineRule="auto"/>
              <w:jc w:val="center"/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4110" w:type="dxa"/>
            <w:gridSpan w:val="3"/>
            <w:tcBorders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3885" w:type="dxa"/>
            <w:tcBorders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90" w:type="dxa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100</w:t>
            </w:r>
          </w:p>
        </w:tc>
        <w:tc>
          <w:tcPr>
            <w:tcW w:w="874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100</w:t>
            </w:r>
          </w:p>
        </w:tc>
      </w:tr>
    </w:tbl>
    <w:p>
      <w:pPr>
        <w:pStyle w:val="2"/>
        <w:jc w:val="both"/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360" w:lineRule="auto"/>
      </w:pPr>
      <w:r>
        <w:rPr>
          <w:rFonts w:hint="eastAsia"/>
        </w:rPr>
        <w:t>3、评价方法</w:t>
      </w:r>
    </w:p>
    <w:p>
      <w:pPr>
        <w:spacing w:line="600" w:lineRule="exact"/>
        <w:ind w:firstLine="640"/>
        <w:rPr>
          <w:rFonts w:hint="eastAsia" w:ascii="仿宋_GB2312"/>
          <w:bCs/>
          <w:color w:val="auto"/>
          <w:sz w:val="32"/>
          <w:szCs w:val="32"/>
        </w:rPr>
      </w:pPr>
      <w:r>
        <w:rPr>
          <w:rFonts w:hint="eastAsia" w:ascii="仿宋_GB2312"/>
          <w:bCs/>
          <w:color w:val="auto"/>
          <w:sz w:val="32"/>
          <w:szCs w:val="32"/>
        </w:rPr>
        <w:t>本次项目支出绩效自评采用因素分析法，按照财政项目支出绩效自评工作的要求，结合我单位实际情况，组织相关人员根据项目绩效表指标内容，对所有项目内容进行核实和考评。项目评价内容主要围绕：数量指标、质量指标、时效指标、成本指标、社会效益指标、满意度指标等开展。原因是：本项目通过综合分析</w:t>
      </w:r>
      <w:r>
        <w:rPr>
          <w:rFonts w:hint="eastAsia" w:ascii="仿宋_GB2312"/>
          <w:bCs/>
          <w:color w:val="auto"/>
          <w:sz w:val="32"/>
          <w:szCs w:val="32"/>
          <w:lang w:val="en-US" w:eastAsia="zh-CN"/>
        </w:rPr>
        <w:t>影响</w:t>
      </w:r>
      <w:r>
        <w:rPr>
          <w:rFonts w:hint="eastAsia" w:ascii="仿宋_GB2312"/>
          <w:bCs/>
          <w:color w:val="auto"/>
          <w:sz w:val="32"/>
          <w:szCs w:val="32"/>
        </w:rPr>
        <w:t>项目立项依据、绩效目标、资金投入、使用、产出及效益等方面</w:t>
      </w:r>
      <w:r>
        <w:rPr>
          <w:rFonts w:hint="eastAsia" w:ascii="仿宋_GB2312"/>
          <w:bCs/>
          <w:color w:val="auto"/>
          <w:sz w:val="32"/>
          <w:szCs w:val="32"/>
          <w:lang w:eastAsia="zh-CN"/>
        </w:rPr>
        <w:t>的</w:t>
      </w:r>
      <w:r>
        <w:rPr>
          <w:rFonts w:hint="eastAsia" w:ascii="仿宋_GB2312"/>
          <w:bCs/>
          <w:color w:val="auto"/>
          <w:sz w:val="32"/>
          <w:szCs w:val="32"/>
          <w:lang w:val="en-US" w:eastAsia="zh-CN"/>
        </w:rPr>
        <w:t>因素</w:t>
      </w:r>
      <w:r>
        <w:rPr>
          <w:rFonts w:hint="eastAsia" w:ascii="仿宋_GB2312"/>
          <w:bCs/>
          <w:color w:val="auto"/>
          <w:sz w:val="32"/>
          <w:szCs w:val="32"/>
        </w:rPr>
        <w:t>，</w:t>
      </w:r>
      <w:r>
        <w:rPr>
          <w:rFonts w:hint="eastAsia" w:ascii="仿宋_GB2312"/>
          <w:bCs/>
          <w:color w:val="auto"/>
          <w:sz w:val="32"/>
          <w:szCs w:val="32"/>
          <w:lang w:val="en-US" w:eastAsia="zh-CN"/>
        </w:rPr>
        <w:t>判断</w:t>
      </w:r>
      <w:r>
        <w:rPr>
          <w:rFonts w:hint="eastAsia" w:ascii="仿宋_GB2312"/>
          <w:bCs/>
          <w:color w:val="auto"/>
          <w:sz w:val="32"/>
          <w:szCs w:val="32"/>
        </w:rPr>
        <w:t>项目实施情况，并在此基础上进行评价。</w:t>
      </w:r>
    </w:p>
    <w:p>
      <w:pPr>
        <w:spacing w:line="360" w:lineRule="auto"/>
      </w:pPr>
      <w:r>
        <w:rPr>
          <w:rFonts w:hint="eastAsia"/>
        </w:rPr>
        <w:t>4、评价标准</w:t>
      </w:r>
    </w:p>
    <w:p>
      <w:pPr>
        <w:spacing w:line="600" w:lineRule="exact"/>
        <w:ind w:firstLine="640"/>
        <w:rPr>
          <w:rFonts w:hint="eastAsia"/>
          <w:bCs/>
          <w:color w:val="FF0000"/>
          <w:sz w:val="32"/>
          <w:szCs w:val="32"/>
        </w:rPr>
      </w:pPr>
      <w:r>
        <w:rPr>
          <w:rFonts w:hint="eastAsia" w:ascii="仿宋_GB2312"/>
          <w:bCs/>
          <w:color w:val="auto"/>
          <w:sz w:val="32"/>
          <w:szCs w:val="32"/>
          <w:lang w:val="en-US" w:eastAsia="zh-CN"/>
        </w:rPr>
        <w:t>本次项目支出绩效自评采用计划标准。原因是：本项目通过项目实施方案及</w:t>
      </w:r>
      <w:r>
        <w:rPr>
          <w:rFonts w:hint="eastAsia" w:ascii="仿宋_GB2312"/>
          <w:bCs/>
          <w:color w:val="auto"/>
          <w:sz w:val="32"/>
          <w:szCs w:val="32"/>
        </w:rPr>
        <w:t>退耕还林延长补助</w:t>
      </w:r>
      <w:r>
        <w:rPr>
          <w:rFonts w:hint="eastAsia" w:ascii="仿宋_GB2312"/>
          <w:bCs/>
          <w:color w:val="auto"/>
          <w:sz w:val="32"/>
          <w:szCs w:val="32"/>
          <w:lang w:val="en-US" w:eastAsia="zh-CN"/>
        </w:rPr>
        <w:t>项目指标数据确定三级指标进行自评，使评价结果更加科学真实。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</w:rPr>
      </w:pPr>
      <w:bookmarkStart w:id="6" w:name="_Toc68703833"/>
      <w:r>
        <w:rPr>
          <w:rFonts w:hint="eastAsia" w:ascii="仿宋_GB2312" w:eastAsia="仿宋_GB2312"/>
          <w:b w:val="0"/>
          <w:bCs w:val="0"/>
        </w:rPr>
        <w:t>（三）绩效评价工作过程。</w:t>
      </w:r>
      <w:bookmarkEnd w:id="6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eastAsia="仿宋_GB2312"/>
          <w:bCs/>
          <w:color w:val="auto"/>
          <w:sz w:val="32"/>
          <w:szCs w:val="32"/>
        </w:rPr>
      </w:pPr>
      <w:r>
        <w:rPr>
          <w:rFonts w:hint="eastAsia" w:eastAsia="仿宋_GB2312"/>
          <w:bCs/>
          <w:color w:val="auto"/>
          <w:sz w:val="32"/>
          <w:szCs w:val="32"/>
          <w:lang w:val="en-US" w:eastAsia="zh-CN"/>
        </w:rPr>
        <w:t>1.</w:t>
      </w:r>
      <w:r>
        <w:rPr>
          <w:rFonts w:hint="eastAsia" w:eastAsia="仿宋_GB2312"/>
          <w:bCs/>
          <w:color w:val="auto"/>
          <w:sz w:val="32"/>
          <w:szCs w:val="32"/>
        </w:rPr>
        <w:t>前期准备。首先成立评价工作组，开展前期调研；其次明确项目绩效目标，设计绩效评价指标体系并确定绩效评价方法；接着确定现场和非现场评价范围，设计资料清单；最后制定评价实施方案并进行论证。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eastAsia="仿宋_GB2312"/>
          <w:bCs/>
          <w:color w:val="auto"/>
          <w:sz w:val="32"/>
          <w:szCs w:val="32"/>
        </w:rPr>
      </w:pPr>
      <w:r>
        <w:rPr>
          <w:rFonts w:hint="eastAsia" w:eastAsia="仿宋_GB2312"/>
          <w:bCs/>
          <w:color w:val="auto"/>
          <w:sz w:val="32"/>
          <w:szCs w:val="32"/>
          <w:lang w:val="en-US" w:eastAsia="zh-CN"/>
        </w:rPr>
        <w:t>2.</w:t>
      </w:r>
      <w:r>
        <w:rPr>
          <w:rFonts w:hint="eastAsia" w:eastAsia="仿宋_GB2312"/>
          <w:bCs/>
          <w:color w:val="auto"/>
          <w:sz w:val="32"/>
          <w:szCs w:val="32"/>
        </w:rPr>
        <w:t>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eastAsia="仿宋_GB2312"/>
          <w:bCs/>
          <w:color w:val="auto"/>
          <w:sz w:val="32"/>
          <w:szCs w:val="32"/>
        </w:rPr>
      </w:pPr>
      <w:r>
        <w:rPr>
          <w:rFonts w:hint="eastAsia" w:eastAsia="仿宋_GB2312"/>
          <w:bCs/>
          <w:color w:val="auto"/>
          <w:sz w:val="32"/>
          <w:szCs w:val="32"/>
          <w:lang w:val="en-US" w:eastAsia="zh-CN"/>
        </w:rPr>
        <w:t>3.</w:t>
      </w:r>
      <w:r>
        <w:rPr>
          <w:rFonts w:hint="eastAsia" w:eastAsia="仿宋_GB2312"/>
          <w:bCs/>
          <w:color w:val="auto"/>
          <w:sz w:val="32"/>
          <w:szCs w:val="32"/>
        </w:rPr>
        <w:t>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  <w:bookmarkStart w:id="7" w:name="_Toc68703834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三、综合评价情况及评价结论</w:t>
      </w:r>
      <w:bookmarkEnd w:id="7"/>
    </w:p>
    <w:p>
      <w:pPr>
        <w:pStyle w:val="4"/>
        <w:spacing w:line="360" w:lineRule="auto"/>
        <w:rPr>
          <w:rFonts w:ascii="仿宋_GB2312" w:eastAsia="仿宋_GB2312"/>
          <w:b w:val="0"/>
          <w:bCs w:val="0"/>
        </w:rPr>
      </w:pPr>
      <w:bookmarkStart w:id="8" w:name="_Toc68703835"/>
      <w:r>
        <w:rPr>
          <w:rFonts w:hint="eastAsia" w:ascii="仿宋_GB2312" w:eastAsia="仿宋_GB2312"/>
          <w:b w:val="0"/>
          <w:bCs w:val="0"/>
        </w:rPr>
        <w:t>（一）综合评价情况</w:t>
      </w:r>
      <w:bookmarkEnd w:id="8"/>
      <w:bookmarkStart w:id="21" w:name="_GoBack"/>
      <w:bookmarkEnd w:id="21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eastAsia="仿宋_GB2312"/>
          <w:bCs/>
          <w:color w:val="auto"/>
          <w:sz w:val="32"/>
          <w:szCs w:val="32"/>
          <w:lang w:val="en-US" w:eastAsia="zh-CN"/>
        </w:rPr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eastAsia="仿宋_GB2312"/>
          <w:bCs/>
          <w:color w:val="auto"/>
          <w:sz w:val="32"/>
          <w:szCs w:val="32"/>
        </w:rPr>
      </w:pPr>
      <w:r>
        <w:rPr>
          <w:rFonts w:hint="eastAsia" w:eastAsia="仿宋_GB2312"/>
          <w:bCs/>
          <w:color w:val="auto"/>
          <w:sz w:val="32"/>
          <w:szCs w:val="32"/>
        </w:rPr>
        <w:t>本项目严格按照科学公正、统筹兼顾、激励约束、公开透明绩效评价原则，采用因素分析法，坚持计划标准对本项目的立项、项绩效目标、资金投入、资金管理、组织实施、产出数量、产出质量、产出时效、产出成本、项目效益进行了综合评价。</w:t>
      </w:r>
    </w:p>
    <w:p>
      <w:pPr>
        <w:spacing w:line="360" w:lineRule="auto"/>
        <w:ind w:firstLine="600" w:firstLineChars="200"/>
        <w:jc w:val="center"/>
        <w:rPr>
          <w:color w:val="auto"/>
        </w:rPr>
      </w:pPr>
      <w:r>
        <w:rPr>
          <w:rFonts w:hint="eastAsia"/>
          <w:color w:val="auto"/>
          <w:lang w:eastAsia="zh-CN"/>
        </w:rPr>
        <w:t>第五次全国经济普查</w:t>
      </w:r>
      <w:r>
        <w:rPr>
          <w:rFonts w:hint="eastAsia"/>
          <w:color w:val="auto"/>
        </w:rPr>
        <w:t>项目评价得分情况</w:t>
      </w:r>
    </w:p>
    <w:tbl>
      <w:tblPr>
        <w:tblStyle w:val="10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/>
                <w:b/>
                <w:bCs/>
                <w:color w:val="000000"/>
                <w:sz w:val="22"/>
              </w:rPr>
            </w:pPr>
            <w:r>
              <w:rPr>
                <w:rFonts w:hint="eastAsia" w:cs="宋体"/>
                <w:b/>
                <w:bCs/>
                <w:color w:val="000000"/>
                <w:sz w:val="22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仿宋_GB2312"/>
                <w:b/>
                <w:bCs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2"/>
                <w:lang w:val="en-US" w:eastAsia="zh-CN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仿宋_GB2312"/>
                <w:b/>
                <w:bCs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2"/>
                <w:lang w:val="en-US" w:eastAsia="zh-CN"/>
              </w:rPr>
              <w:t>100</w:t>
            </w:r>
          </w:p>
        </w:tc>
      </w:tr>
    </w:tbl>
    <w:p>
      <w:pPr>
        <w:pStyle w:val="4"/>
        <w:spacing w:line="360" w:lineRule="auto"/>
        <w:rPr>
          <w:rFonts w:ascii="仿宋_GB2312" w:eastAsia="仿宋_GB2312"/>
          <w:b w:val="0"/>
          <w:bCs w:val="0"/>
        </w:rPr>
      </w:pPr>
      <w:bookmarkStart w:id="9" w:name="_Toc68703836"/>
      <w:r>
        <w:rPr>
          <w:rFonts w:hint="eastAsia" w:ascii="仿宋_GB2312" w:eastAsia="仿宋_GB2312"/>
          <w:b w:val="0"/>
          <w:bCs w:val="0"/>
        </w:rPr>
        <w:t>（二）评价结论</w:t>
      </w:r>
      <w:bookmarkEnd w:id="9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eastAsia="仿宋_GB2312"/>
          <w:bCs/>
          <w:color w:val="auto"/>
          <w:sz w:val="32"/>
          <w:szCs w:val="32"/>
          <w:lang w:val="en-US" w:eastAsia="zh-CN"/>
        </w:rPr>
      </w:pPr>
      <w:bookmarkStart w:id="10" w:name="_Toc68703837"/>
      <w:r>
        <w:rPr>
          <w:rFonts w:hint="eastAsia" w:eastAsia="仿宋_GB2312"/>
          <w:bCs/>
          <w:color w:val="auto"/>
          <w:sz w:val="32"/>
          <w:szCs w:val="32"/>
          <w:lang w:val="en-US" w:eastAsia="zh-CN"/>
        </w:rPr>
        <w:t>本项目的项目决策、项目过程、项目产出、项目效益均达到了预期要求，最终得分为100分，项目达成年度指标。</w:t>
      </w:r>
    </w:p>
    <w:p>
      <w:pPr>
        <w:pStyle w:val="3"/>
        <w:spacing w:line="360" w:lineRule="auto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四、绩效评价指标分析</w:t>
      </w:r>
      <w:bookmarkEnd w:id="10"/>
    </w:p>
    <w:p>
      <w:pPr>
        <w:pStyle w:val="4"/>
        <w:spacing w:line="360" w:lineRule="auto"/>
        <w:rPr>
          <w:rFonts w:hint="eastAsia" w:ascii="仿宋_GB2312" w:eastAsia="仿宋_GB2312"/>
          <w:b w:val="0"/>
          <w:bCs w:val="0"/>
        </w:rPr>
      </w:pPr>
      <w:bookmarkStart w:id="11" w:name="_Toc68703838"/>
      <w:r>
        <w:rPr>
          <w:rFonts w:hint="eastAsia" w:ascii="仿宋_GB2312" w:eastAsia="仿宋_GB2312"/>
          <w:b w:val="0"/>
          <w:bCs w:val="0"/>
        </w:rPr>
        <w:t>（一）项目决策情况。</w:t>
      </w:r>
      <w:bookmarkEnd w:id="11"/>
    </w:p>
    <w:p>
      <w:pPr>
        <w:spacing w:line="560" w:lineRule="exact"/>
        <w:ind w:firstLine="640" w:firstLineChars="200"/>
        <w:contextualSpacing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（一）项目决策情况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eastAsia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eastAsia="仿宋_GB2312"/>
          <w:bCs/>
          <w:color w:val="auto"/>
          <w:sz w:val="32"/>
          <w:szCs w:val="32"/>
          <w:lang w:val="en-US" w:eastAsia="zh-CN"/>
        </w:rPr>
        <w:t>项目决策指标从项目立项、绩效目标和资金投入3个方面对项目的立项决策目标完成情况进行考察，项目决策类指标分值20分，实际得分20分，得分率100%。项目决策指标得分情况如表所示。</w:t>
      </w:r>
    </w:p>
    <w:tbl>
      <w:tblPr>
        <w:tblStyle w:val="10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7"/>
        <w:gridCol w:w="2269"/>
        <w:gridCol w:w="1986"/>
        <w:gridCol w:w="17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22" w:type="dxa"/>
            <w:gridSpan w:val="4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2880" w:firstLineChars="900"/>
              <w:jc w:val="left"/>
              <w:rPr>
                <w:rFonts w:ascii="仿宋_GB2312" w:hAnsi="仿宋" w:eastAsia="仿宋_GB2312" w:cs="宋体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" w:eastAsia="仿宋_GB2312" w:cs="宋体"/>
                <w:color w:val="333333"/>
                <w:sz w:val="32"/>
                <w:szCs w:val="32"/>
              </w:rPr>
              <w:t>项目决策指标得分情况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5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A6A6A6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0"/>
                <w:szCs w:val="30"/>
              </w:rPr>
              <w:t>二级指标</w:t>
            </w:r>
          </w:p>
        </w:tc>
        <w:tc>
          <w:tcPr>
            <w:tcW w:w="22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A6A6A6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0"/>
                <w:szCs w:val="30"/>
              </w:rPr>
              <w:t>权重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A6A6A6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0"/>
                <w:szCs w:val="30"/>
              </w:rPr>
              <w:t>得分率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A6A6A6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0"/>
                <w:szCs w:val="30"/>
              </w:rPr>
              <w:t>实际得分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5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  <w:t>项目立项</w:t>
            </w:r>
          </w:p>
        </w:tc>
        <w:tc>
          <w:tcPr>
            <w:tcW w:w="22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  <w:t>10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100%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5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  <w:t>绩效目标</w:t>
            </w:r>
          </w:p>
        </w:tc>
        <w:tc>
          <w:tcPr>
            <w:tcW w:w="22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  <w:t>5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100%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5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  <w:t>资金投入</w:t>
            </w:r>
          </w:p>
        </w:tc>
        <w:tc>
          <w:tcPr>
            <w:tcW w:w="22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  <w:t>5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100%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5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  <w:t>合  计</w:t>
            </w:r>
          </w:p>
        </w:tc>
        <w:tc>
          <w:tcPr>
            <w:tcW w:w="226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0"/>
                <w:szCs w:val="30"/>
              </w:rPr>
              <w:t>20</w:t>
            </w:r>
          </w:p>
        </w:tc>
        <w:tc>
          <w:tcPr>
            <w:tcW w:w="19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100%</w:t>
            </w:r>
          </w:p>
        </w:tc>
        <w:tc>
          <w:tcPr>
            <w:tcW w:w="17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  <w:t>20</w:t>
            </w:r>
          </w:p>
        </w:tc>
      </w:tr>
    </w:tbl>
    <w:p>
      <w:pPr>
        <w:spacing w:line="560" w:lineRule="exact"/>
        <w:ind w:firstLine="800" w:firstLineChars="250"/>
        <w:jc w:val="left"/>
        <w:rPr>
          <w:rFonts w:ascii="仿宋_GB2312" w:hAnsi="仿宋" w:eastAsia="仿宋_GB2312" w:cs="宋体"/>
          <w:color w:val="333333"/>
          <w:sz w:val="32"/>
          <w:szCs w:val="32"/>
        </w:rPr>
      </w:pPr>
      <w:r>
        <w:rPr>
          <w:rFonts w:hint="eastAsia" w:ascii="仿宋_GB2312" w:hAnsi="仿宋" w:eastAsia="仿宋_GB2312" w:cs="宋体"/>
          <w:color w:val="333333"/>
          <w:sz w:val="32"/>
          <w:szCs w:val="32"/>
        </w:rPr>
        <w:t>1</w:t>
      </w:r>
      <w:r>
        <w:rPr>
          <w:rFonts w:ascii="仿宋_GB2312" w:hAnsi="仿宋" w:eastAsia="仿宋_GB2312" w:cs="宋体"/>
          <w:color w:val="333333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</w:rPr>
        <w:t>项目立项</w:t>
      </w:r>
    </w:p>
    <w:p/>
    <w:p>
      <w:pPr>
        <w:spacing w:line="360" w:lineRule="auto"/>
      </w:pPr>
      <w:r>
        <w:rPr>
          <w:rFonts w:hint="eastAsia"/>
        </w:rPr>
        <w:t>1、立项依据充分性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eastAsia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eastAsia="仿宋_GB2312"/>
          <w:bCs/>
          <w:color w:val="auto"/>
          <w:sz w:val="32"/>
          <w:szCs w:val="32"/>
          <w:lang w:val="en-US" w:eastAsia="zh-CN"/>
        </w:rPr>
        <w:t>项目立项符合行业发展规划和政策要求，与部门职责范围相符，属于部门履职所需；项目属于公共财政支持范围，符合中央、地方事权支出责任划分原则；不存在与相关部门同类项目或部门内部相关项目重复。</w:t>
      </w:r>
    </w:p>
    <w:p>
      <w:pPr>
        <w:spacing w:line="360" w:lineRule="auto"/>
      </w:pPr>
      <w:r>
        <w:rPr>
          <w:rFonts w:hint="eastAsia"/>
        </w:rPr>
        <w:t>2、立项程序规范性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eastAsia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eastAsia="仿宋_GB2312"/>
          <w:bCs/>
          <w:color w:val="auto"/>
          <w:sz w:val="32"/>
          <w:szCs w:val="32"/>
          <w:lang w:val="en-US" w:eastAsia="zh-CN"/>
        </w:rPr>
        <w:t>项目预算批复等材料符合相关要求，事前已经过必要的可行性研究、风险评估、绩效评估、集体决策。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eastAsia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eastAsia="仿宋_GB2312"/>
          <w:bCs/>
          <w:color w:val="auto"/>
          <w:sz w:val="32"/>
          <w:szCs w:val="32"/>
          <w:lang w:val="en-US" w:eastAsia="zh-CN"/>
        </w:rPr>
        <w:t>对于“项目立项”，根据评分标准，实际得分10分，得分率为100%</w:t>
      </w:r>
      <w:r>
        <w:rPr>
          <w:rFonts w:hint="eastAsia"/>
          <w:bCs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</w:pPr>
      <w:r>
        <w:rPr>
          <w:rFonts w:hint="eastAsia"/>
          <w:lang w:val="en-US" w:eastAsia="zh-CN"/>
        </w:rPr>
        <w:t>3、</w:t>
      </w:r>
      <w:r>
        <w:rPr>
          <w:rFonts w:hint="eastAsia"/>
        </w:rPr>
        <w:t>绩效目标合理性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eastAsia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eastAsia="仿宋_GB2312"/>
          <w:bCs/>
          <w:color w:val="auto"/>
          <w:sz w:val="32"/>
          <w:szCs w:val="32"/>
          <w:lang w:val="en-US" w:eastAsia="zh-CN"/>
        </w:rPr>
        <w:t>项目绩效目标与实际工作内容有相关，项目预期产出效益和效果符合正常的业绩水平；与预算确定的项目投资额或资金量相匹配。</w:t>
      </w:r>
    </w:p>
    <w:p>
      <w:pPr>
        <w:spacing w:line="360" w:lineRule="auto"/>
      </w:pPr>
      <w:r>
        <w:rPr>
          <w:rFonts w:hint="eastAsia"/>
        </w:rPr>
        <w:t>4、绩效指标明确性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eastAsia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eastAsia="仿宋_GB2312"/>
          <w:bCs/>
          <w:color w:val="auto"/>
          <w:sz w:val="32"/>
          <w:szCs w:val="32"/>
          <w:lang w:val="en-US" w:eastAsia="zh-CN"/>
        </w:rPr>
        <w:t>项目绩效目标已细化分解为具体的绩效指标，通过清晰、可衡量的指标值予以体现，与项目目标任务数或计划数相对应。共性指标下设决策与过程2个一级指标，其中：项目决策下项目立项、绩效目标、资金投入3个二级指标；过程下设资金管理和组织实施2个二级指标。个性指标下设产出和效益2个一级指标，其中产出下设产出数量、产出质量、产出时效、产出成本4个2级指标，效益下设项目效益2个二级指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eastAsia="仿宋_GB2312"/>
          <w:bCs/>
          <w:color w:val="auto"/>
          <w:sz w:val="32"/>
          <w:szCs w:val="32"/>
          <w:lang w:val="en-US" w:eastAsia="zh-CN"/>
        </w:rPr>
        <w:t>对于“绩效目标”，根据评分标准，实际得分5分，得分率100%。</w:t>
      </w:r>
    </w:p>
    <w:p>
      <w:pPr>
        <w:spacing w:line="360" w:lineRule="auto"/>
      </w:pPr>
      <w:r>
        <w:rPr>
          <w:rFonts w:hint="eastAsia"/>
        </w:rPr>
        <w:t>5、预算编制科学性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eastAsia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eastAsia="仿宋_GB2312"/>
          <w:bCs/>
          <w:color w:val="auto"/>
          <w:sz w:val="32"/>
          <w:szCs w:val="32"/>
          <w:lang w:val="en-US" w:eastAsia="zh-CN"/>
        </w:rPr>
        <w:t>预算编制经过科学论证，预算内容与项目内容相匹配，预算额度测算依据充分且按照标准编制，预算确定的项目资金量与工作任务相匹配。</w:t>
      </w:r>
    </w:p>
    <w:p>
      <w:pPr>
        <w:spacing w:line="360" w:lineRule="auto"/>
      </w:pPr>
      <w:r>
        <w:rPr>
          <w:rFonts w:hint="eastAsia"/>
        </w:rPr>
        <w:t>6、资金分配合理性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eastAsia="仿宋_GB2312"/>
          <w:bCs/>
          <w:color w:val="auto"/>
          <w:sz w:val="32"/>
          <w:szCs w:val="32"/>
          <w:lang w:val="en-US" w:eastAsia="zh-CN"/>
        </w:rPr>
      </w:pPr>
      <w:bookmarkStart w:id="12" w:name="_Toc68703839"/>
      <w:r>
        <w:rPr>
          <w:rFonts w:hint="eastAsia" w:eastAsia="仿宋_GB2312"/>
          <w:bCs/>
          <w:color w:val="auto"/>
          <w:sz w:val="32"/>
          <w:szCs w:val="32"/>
          <w:lang w:val="en-US" w:eastAsia="zh-CN"/>
        </w:rPr>
        <w:t>预算资金分配依据充分；资金分配额度合理，与项目单位相适应，对于“资金投入”，根据评分标准，实际得分5分，得分率100%。</w:t>
      </w:r>
    </w:p>
    <w:p>
      <w:pPr>
        <w:pStyle w:val="4"/>
        <w:spacing w:line="360" w:lineRule="auto"/>
        <w:rPr>
          <w:rFonts w:ascii="仿宋_GB2312" w:eastAsia="仿宋_GB2312"/>
          <w:b w:val="0"/>
          <w:bCs w:val="0"/>
        </w:rPr>
      </w:pPr>
      <w:r>
        <w:rPr>
          <w:rFonts w:hint="eastAsia" w:ascii="仿宋_GB2312" w:eastAsia="仿宋_GB2312"/>
          <w:b w:val="0"/>
          <w:bCs w:val="0"/>
        </w:rPr>
        <w:t>（二）项目过程情况。</w:t>
      </w:r>
      <w:bookmarkEnd w:id="12"/>
    </w:p>
    <w:p>
      <w:pPr>
        <w:spacing w:line="360" w:lineRule="auto"/>
      </w:pPr>
      <w:r>
        <w:rPr>
          <w:rFonts w:hint="eastAsia"/>
        </w:rPr>
        <w:t>1、资金到位率：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eastAsia="仿宋_GB2312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bCs/>
          <w:color w:val="auto"/>
          <w:sz w:val="32"/>
          <w:szCs w:val="32"/>
          <w:highlight w:val="none"/>
          <w:lang w:val="en-US" w:eastAsia="zh-CN"/>
        </w:rPr>
        <w:t>年初预算数</w:t>
      </w:r>
      <w:r>
        <w:rPr>
          <w:rFonts w:hint="eastAsia"/>
          <w:bCs/>
          <w:color w:val="auto"/>
          <w:sz w:val="32"/>
          <w:szCs w:val="32"/>
          <w:highlight w:val="none"/>
          <w:lang w:val="en-US" w:eastAsia="zh-CN"/>
        </w:rPr>
        <w:t>0</w:t>
      </w:r>
      <w:r>
        <w:rPr>
          <w:rFonts w:hint="eastAsia" w:eastAsia="仿宋_GB2312"/>
          <w:bCs/>
          <w:color w:val="auto"/>
          <w:sz w:val="32"/>
          <w:szCs w:val="32"/>
          <w:highlight w:val="none"/>
          <w:lang w:val="en-US" w:eastAsia="zh-CN"/>
        </w:rPr>
        <w:t>万元，全年预算数</w:t>
      </w:r>
      <w:r>
        <w:rPr>
          <w:rFonts w:hint="eastAsia"/>
          <w:bCs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eastAsia="仿宋_GB2312"/>
          <w:bCs/>
          <w:color w:val="auto"/>
          <w:sz w:val="32"/>
          <w:szCs w:val="32"/>
          <w:highlight w:val="none"/>
          <w:lang w:val="en-US" w:eastAsia="zh-CN"/>
        </w:rPr>
        <w:t>万元，全年执行数</w:t>
      </w:r>
      <w:r>
        <w:rPr>
          <w:rFonts w:hint="eastAsia"/>
          <w:bCs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eastAsia="仿宋_GB2312"/>
          <w:bCs/>
          <w:color w:val="auto"/>
          <w:sz w:val="32"/>
          <w:szCs w:val="32"/>
          <w:highlight w:val="none"/>
          <w:lang w:val="en-US" w:eastAsia="zh-CN"/>
        </w:rPr>
        <w:t>万元，预算执行率为100%.</w:t>
      </w:r>
    </w:p>
    <w:p>
      <w:pPr>
        <w:spacing w:line="360" w:lineRule="auto"/>
        <w:rPr>
          <w:highlight w:val="none"/>
        </w:rPr>
      </w:pPr>
      <w:r>
        <w:rPr>
          <w:rFonts w:hint="eastAsia"/>
          <w:highlight w:val="none"/>
        </w:rPr>
        <w:t>2、预算执行率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eastAsia="仿宋_GB2312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bCs/>
          <w:color w:val="auto"/>
          <w:sz w:val="32"/>
          <w:szCs w:val="32"/>
          <w:highlight w:val="none"/>
          <w:lang w:val="en-US" w:eastAsia="zh-CN"/>
        </w:rPr>
        <w:t>年初预算数</w:t>
      </w:r>
      <w:r>
        <w:rPr>
          <w:rFonts w:hint="eastAsia"/>
          <w:bCs/>
          <w:color w:val="auto"/>
          <w:sz w:val="32"/>
          <w:szCs w:val="32"/>
          <w:highlight w:val="none"/>
          <w:lang w:val="en-US" w:eastAsia="zh-CN"/>
        </w:rPr>
        <w:t>0</w:t>
      </w:r>
      <w:r>
        <w:rPr>
          <w:rFonts w:hint="eastAsia" w:eastAsia="仿宋_GB2312"/>
          <w:bCs/>
          <w:color w:val="auto"/>
          <w:sz w:val="32"/>
          <w:szCs w:val="32"/>
          <w:highlight w:val="none"/>
          <w:lang w:val="en-US" w:eastAsia="zh-CN"/>
        </w:rPr>
        <w:t>万元，全年预算数</w:t>
      </w:r>
      <w:r>
        <w:rPr>
          <w:rFonts w:hint="eastAsia"/>
          <w:bCs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eastAsia="仿宋_GB2312"/>
          <w:bCs/>
          <w:color w:val="auto"/>
          <w:sz w:val="32"/>
          <w:szCs w:val="32"/>
          <w:highlight w:val="none"/>
          <w:lang w:val="en-US" w:eastAsia="zh-CN"/>
        </w:rPr>
        <w:t>万元，全年执行数</w:t>
      </w:r>
      <w:r>
        <w:rPr>
          <w:rFonts w:hint="eastAsia"/>
          <w:bCs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eastAsia="仿宋_GB2312"/>
          <w:bCs/>
          <w:color w:val="auto"/>
          <w:sz w:val="32"/>
          <w:szCs w:val="32"/>
          <w:highlight w:val="none"/>
          <w:lang w:val="en-US" w:eastAsia="zh-CN"/>
        </w:rPr>
        <w:t>万元，预算执行率为100%.</w:t>
      </w:r>
    </w:p>
    <w:p>
      <w:pPr>
        <w:spacing w:line="360" w:lineRule="auto"/>
      </w:pPr>
      <w:r>
        <w:rPr>
          <w:rFonts w:hint="eastAsia"/>
        </w:rPr>
        <w:t>3、资金使用合规性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eastAsia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eastAsia="仿宋_GB2312"/>
          <w:bCs/>
          <w:color w:val="auto"/>
          <w:sz w:val="32"/>
          <w:szCs w:val="32"/>
          <w:lang w:val="en-US" w:eastAsia="zh-CN"/>
        </w:rPr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对于“资金管理”，根据评分标准，实际得分12分，得分率100%；</w:t>
      </w:r>
    </w:p>
    <w:p>
      <w:pPr>
        <w:spacing w:line="360" w:lineRule="auto"/>
      </w:pPr>
      <w:r>
        <w:rPr>
          <w:rFonts w:hint="eastAsia"/>
        </w:rPr>
        <w:t>4、管理制度健全性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eastAsia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eastAsia="仿宋_GB2312"/>
          <w:bCs/>
          <w:color w:val="auto"/>
          <w:sz w:val="32"/>
          <w:szCs w:val="32"/>
          <w:lang w:val="en-US" w:eastAsia="zh-CN"/>
        </w:rPr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</w:p>
    <w:p>
      <w:pPr>
        <w:spacing w:line="360" w:lineRule="auto"/>
      </w:pPr>
      <w:r>
        <w:rPr>
          <w:rFonts w:hint="eastAsia"/>
        </w:rPr>
        <w:t>5、制度执行有效性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eastAsia="仿宋_GB2312"/>
          <w:bCs/>
          <w:color w:val="auto"/>
          <w:sz w:val="32"/>
          <w:szCs w:val="32"/>
          <w:lang w:val="en-US" w:eastAsia="zh-CN"/>
        </w:rPr>
      </w:pPr>
      <w:bookmarkStart w:id="13" w:name="_Toc68703840"/>
      <w:r>
        <w:rPr>
          <w:rFonts w:hint="eastAsia" w:eastAsia="仿宋_GB2312"/>
          <w:bCs/>
          <w:color w:val="auto"/>
          <w:sz w:val="32"/>
          <w:szCs w:val="32"/>
          <w:lang w:val="en-US" w:eastAsia="zh-CN"/>
        </w:rPr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对于“组织实施”，根据评分标准，实际得分8分，实际得分率100%。</w:t>
      </w:r>
    </w:p>
    <w:p>
      <w:pPr>
        <w:pStyle w:val="4"/>
        <w:spacing w:line="360" w:lineRule="auto"/>
        <w:rPr>
          <w:rFonts w:ascii="仿宋_GB2312" w:eastAsia="仿宋_GB2312"/>
          <w:b w:val="0"/>
          <w:bCs w:val="0"/>
        </w:rPr>
      </w:pPr>
      <w:r>
        <w:rPr>
          <w:rFonts w:hint="eastAsia" w:ascii="仿宋_GB2312" w:eastAsia="仿宋_GB2312"/>
          <w:b w:val="0"/>
          <w:bCs w:val="0"/>
        </w:rPr>
        <w:t>（三）项目产出情况。</w:t>
      </w:r>
      <w:bookmarkEnd w:id="13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eastAsia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eastAsia="仿宋_GB2312"/>
          <w:bCs/>
          <w:color w:val="auto"/>
          <w:sz w:val="32"/>
          <w:szCs w:val="32"/>
          <w:lang w:val="en-US" w:eastAsia="zh-CN"/>
        </w:rPr>
        <w:t>产出数量指标：指标1：宣传品制作数量  ，指标值：&gt;=2批次  ，实际完成值 =2批次 ，指标完成率 100%，无偏差；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eastAsia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eastAsia="仿宋_GB2312"/>
          <w:bCs/>
          <w:color w:val="auto"/>
          <w:sz w:val="32"/>
          <w:szCs w:val="32"/>
          <w:lang w:val="en-US" w:eastAsia="zh-CN"/>
        </w:rPr>
        <w:t>质量指标：指标1：宣传品验收合格率  ，指标值：&gt;=95%  ，实际完成值 =95% ，指标完成率 100%，无偏差；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eastAsia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eastAsia="仿宋_GB2312"/>
          <w:bCs/>
          <w:color w:val="auto"/>
          <w:sz w:val="32"/>
          <w:szCs w:val="32"/>
          <w:lang w:val="en-US" w:eastAsia="zh-CN"/>
        </w:rPr>
        <w:t>指标2：宣传品质量合格率 ，指标值：&gt;=95%  ，实际完成值 =95% ，指标完成率 100%，无偏差；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eastAsia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eastAsia="仿宋_GB2312"/>
          <w:bCs/>
          <w:color w:val="auto"/>
          <w:sz w:val="32"/>
          <w:szCs w:val="32"/>
          <w:lang w:val="en-US" w:eastAsia="zh-CN"/>
        </w:rPr>
        <w:t>指标3：政府采购率 ，指标值：=100% ，实际完成值 =100% ，指标完成率 100%，无偏差；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eastAsia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eastAsia="仿宋_GB2312"/>
          <w:bCs/>
          <w:color w:val="auto"/>
          <w:sz w:val="32"/>
          <w:szCs w:val="32"/>
          <w:lang w:val="en-US" w:eastAsia="zh-CN"/>
        </w:rPr>
        <w:t>时效指标；指标：宣传品制作及时率 ，指标值：=100%  ，实际完成值 100% ，指标完成率 100%，无偏差；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eastAsia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eastAsia="仿宋_GB2312"/>
          <w:bCs/>
          <w:color w:val="auto"/>
          <w:sz w:val="32"/>
          <w:szCs w:val="32"/>
          <w:lang w:val="en-US" w:eastAsia="zh-CN"/>
        </w:rPr>
        <w:t>成本指标：指标：预算控制率，指标值：=100%  ，实际完成值 100% ，指标完成率 100%，无偏差；</w:t>
      </w:r>
    </w:p>
    <w:p>
      <w:pPr>
        <w:pStyle w:val="4"/>
        <w:spacing w:line="360" w:lineRule="auto"/>
        <w:rPr>
          <w:rFonts w:hint="eastAsia"/>
          <w:lang w:val="en-US" w:eastAsia="zh-CN"/>
        </w:rPr>
      </w:pPr>
      <w:bookmarkStart w:id="14" w:name="_Toc68703841"/>
      <w:r>
        <w:rPr>
          <w:rFonts w:hint="eastAsia" w:ascii="仿宋_GB2312" w:eastAsia="仿宋_GB2312"/>
          <w:b w:val="0"/>
          <w:bCs w:val="0"/>
        </w:rPr>
        <w:t>（四）项目效益情况。</w:t>
      </w:r>
      <w:bookmarkEnd w:id="14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eastAsia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eastAsia="仿宋_GB2312"/>
          <w:bCs/>
          <w:color w:val="auto"/>
          <w:sz w:val="32"/>
          <w:szCs w:val="32"/>
          <w:lang w:val="en-US" w:eastAsia="zh-CN"/>
        </w:rPr>
        <w:t>社会效益指标：提高公众的认知度和关注度：</w:t>
      </w:r>
      <w:bookmarkStart w:id="15" w:name="_Hlk98607522"/>
      <w:r>
        <w:rPr>
          <w:rFonts w:hint="eastAsia" w:eastAsia="仿宋_GB2312"/>
          <w:bCs/>
          <w:color w:val="auto"/>
          <w:sz w:val="32"/>
          <w:szCs w:val="32"/>
          <w:lang w:val="en-US" w:eastAsia="zh-CN"/>
        </w:rPr>
        <w:t>指标值：有所提升 ，实际已达成目标，指标完成率 100%，无偏差；</w:t>
      </w:r>
      <w:bookmarkEnd w:id="15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eastAsia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eastAsia="仿宋_GB2312"/>
          <w:bCs/>
          <w:color w:val="auto"/>
          <w:sz w:val="32"/>
          <w:szCs w:val="32"/>
          <w:lang w:val="en-US" w:eastAsia="zh-CN"/>
        </w:rPr>
        <w:t>满意度指标：社会公众满意度：指标值：&gt;=95% ，实际已达成目标95%，指标完成率 100%，无偏差；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eastAsia="仿宋_GB2312"/>
          <w:b w:val="0"/>
          <w:bCs/>
          <w:color w:val="auto"/>
          <w:sz w:val="32"/>
          <w:szCs w:val="32"/>
          <w:lang w:val="en-US" w:eastAsia="zh-Hans"/>
        </w:rPr>
      </w:pPr>
      <w:r>
        <w:rPr>
          <w:rFonts w:hint="eastAsia" w:eastAsia="仿宋_GB2312"/>
          <w:b w:val="0"/>
          <w:bCs/>
          <w:color w:val="auto"/>
          <w:sz w:val="32"/>
          <w:szCs w:val="32"/>
          <w:lang w:val="en-US" w:eastAsia="zh-Hans"/>
        </w:rPr>
        <w:t>五、预算执行进度与绩效指标总体完成率偏差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eastAsia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eastAsia="仿宋_GB2312"/>
          <w:bCs/>
          <w:color w:val="auto"/>
          <w:sz w:val="32"/>
          <w:szCs w:val="32"/>
          <w:lang w:val="en-US" w:eastAsia="zh-CN"/>
        </w:rPr>
        <w:t>全国第五次经济普查经费年初预算</w:t>
      </w:r>
      <w:r>
        <w:rPr>
          <w:rFonts w:hint="eastAsia"/>
          <w:bCs/>
          <w:color w:val="auto"/>
          <w:sz w:val="32"/>
          <w:szCs w:val="32"/>
          <w:lang w:val="en-US" w:eastAsia="zh-CN"/>
        </w:rPr>
        <w:t>2</w:t>
      </w:r>
      <w:r>
        <w:rPr>
          <w:rFonts w:hint="eastAsia" w:eastAsia="仿宋_GB2312"/>
          <w:bCs/>
          <w:color w:val="auto"/>
          <w:sz w:val="32"/>
          <w:szCs w:val="32"/>
          <w:lang w:val="en-US" w:eastAsia="zh-CN"/>
        </w:rPr>
        <w:t>万元，全年预算</w:t>
      </w:r>
      <w:r>
        <w:rPr>
          <w:rFonts w:hint="eastAsia"/>
          <w:bCs/>
          <w:color w:val="auto"/>
          <w:sz w:val="32"/>
          <w:szCs w:val="32"/>
          <w:lang w:val="en-US" w:eastAsia="zh-CN"/>
        </w:rPr>
        <w:t>2</w:t>
      </w:r>
      <w:r>
        <w:rPr>
          <w:rFonts w:hint="eastAsia" w:eastAsia="仿宋_GB2312"/>
          <w:bCs/>
          <w:color w:val="auto"/>
          <w:sz w:val="32"/>
          <w:szCs w:val="32"/>
          <w:lang w:val="en-US" w:eastAsia="zh-CN"/>
        </w:rPr>
        <w:t>万元，实际支出</w:t>
      </w:r>
      <w:r>
        <w:rPr>
          <w:rFonts w:hint="eastAsia"/>
          <w:bCs/>
          <w:color w:val="auto"/>
          <w:sz w:val="32"/>
          <w:szCs w:val="32"/>
          <w:lang w:val="en-US" w:eastAsia="zh-CN"/>
        </w:rPr>
        <w:t>2</w:t>
      </w:r>
      <w:r>
        <w:rPr>
          <w:rFonts w:hint="eastAsia" w:eastAsia="仿宋_GB2312"/>
          <w:bCs/>
          <w:color w:val="auto"/>
          <w:sz w:val="32"/>
          <w:szCs w:val="32"/>
          <w:lang w:val="en-US" w:eastAsia="zh-CN"/>
        </w:rPr>
        <w:t>万元，预算执行率为100%，项目绩效指标总体完成率为100%，</w:t>
      </w:r>
      <w:r>
        <w:rPr>
          <w:rFonts w:hint="eastAsia" w:eastAsia="仿宋_GB2312"/>
          <w:bCs/>
          <w:color w:val="auto"/>
          <w:sz w:val="32"/>
          <w:szCs w:val="32"/>
          <w:lang w:val="en-US" w:eastAsia="zh-Hans"/>
        </w:rPr>
        <w:t>总体</w:t>
      </w:r>
      <w:r>
        <w:rPr>
          <w:rFonts w:hint="eastAsia" w:eastAsia="仿宋_GB2312"/>
          <w:bCs/>
          <w:color w:val="auto"/>
          <w:sz w:val="32"/>
          <w:szCs w:val="32"/>
          <w:lang w:val="en-US" w:eastAsia="zh-CN"/>
        </w:rPr>
        <w:t>偏差率为0%,</w:t>
      </w:r>
      <w:r>
        <w:rPr>
          <w:rFonts w:hint="eastAsia" w:eastAsia="仿宋_GB2312"/>
          <w:bCs/>
          <w:color w:val="auto"/>
          <w:sz w:val="32"/>
          <w:szCs w:val="32"/>
          <w:lang w:val="en-US" w:eastAsia="zh-Hans"/>
        </w:rPr>
        <w:t>偏差</w:t>
      </w:r>
      <w:r>
        <w:rPr>
          <w:rFonts w:hint="eastAsia" w:eastAsia="仿宋_GB2312"/>
          <w:bCs/>
          <w:color w:val="auto"/>
          <w:sz w:val="32"/>
          <w:szCs w:val="32"/>
          <w:lang w:val="en-US" w:eastAsia="zh-CN"/>
        </w:rPr>
        <w:t>原因无，</w:t>
      </w:r>
      <w:r>
        <w:rPr>
          <w:rFonts w:hint="eastAsia" w:eastAsia="仿宋_GB2312"/>
          <w:bCs/>
          <w:color w:val="auto"/>
          <w:sz w:val="32"/>
          <w:szCs w:val="32"/>
          <w:lang w:val="en-US" w:eastAsia="zh-Hans"/>
        </w:rPr>
        <w:t>改进</w:t>
      </w:r>
      <w:r>
        <w:rPr>
          <w:rFonts w:hint="eastAsia" w:eastAsia="仿宋_GB2312"/>
          <w:bCs/>
          <w:color w:val="auto"/>
          <w:sz w:val="32"/>
          <w:szCs w:val="32"/>
          <w:lang w:val="en-US" w:eastAsia="zh-CN"/>
        </w:rPr>
        <w:t>措施无。</w:t>
      </w:r>
      <w:bookmarkStart w:id="16" w:name="_Toc68703842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eastAsia" w:ascii="宋体" w:hAnsi="宋体" w:eastAsia="宋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五、主要经验及做法、存在的问题及原因分析</w:t>
      </w:r>
      <w:bookmarkEnd w:id="16"/>
    </w:p>
    <w:p>
      <w:pPr>
        <w:pStyle w:val="4"/>
        <w:spacing w:line="360" w:lineRule="auto"/>
        <w:rPr>
          <w:rFonts w:hint="eastAsia" w:ascii="仿宋_GB2312" w:eastAsia="仿宋_GB2312"/>
          <w:b w:val="0"/>
          <w:bCs w:val="0"/>
          <w:highlight w:val="none"/>
        </w:rPr>
      </w:pPr>
      <w:bookmarkStart w:id="17" w:name="_Toc68703843"/>
      <w:r>
        <w:rPr>
          <w:rFonts w:hint="eastAsia" w:ascii="仿宋_GB2312" w:eastAsia="仿宋_GB2312"/>
          <w:b w:val="0"/>
          <w:bCs w:val="0"/>
          <w:highlight w:val="none"/>
        </w:rPr>
        <w:t>（一）主要经验及做法</w:t>
      </w:r>
      <w:bookmarkEnd w:id="17"/>
    </w:p>
    <w:p>
      <w:pPr>
        <w:rPr>
          <w:rFonts w:hint="eastAsia"/>
        </w:rPr>
      </w:pPr>
    </w:p>
    <w:p>
      <w:pPr>
        <w:numPr>
          <w:ilvl w:val="0"/>
          <w:numId w:val="2"/>
        </w:numP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_GBK" w:cs="Times New Roman"/>
          <w:b w:val="0"/>
          <w:bCs w:val="0"/>
          <w:color w:val="000000" w:themeColor="text1"/>
          <w:kern w:val="0"/>
          <w:sz w:val="32"/>
          <w:szCs w:val="32"/>
          <w:lang w:val="zh-TW" w:bidi="ar"/>
          <w14:textFill>
            <w14:solidFill>
              <w14:schemeClr w14:val="tx1"/>
            </w14:solidFill>
          </w14:textFill>
        </w:rPr>
        <w:t>聚焦主业主责，压紧压实党建工作责任</w:t>
      </w:r>
      <w:r>
        <w:rPr>
          <w:rFonts w:hint="default" w:ascii="Times New Roman" w:hAnsi="Times New Roman" w:eastAsia="方正楷体_GBK" w:cs="Times New Roman"/>
          <w:b w:val="0"/>
          <w:bCs w:val="0"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把坚定拥护“两个确立”、坚决做到“两个维护”作为最高政治原则和根本政治责任，严肃政治纪律和政治规矩，严格落实“第一议题”制度。</w:t>
      </w:r>
    </w:p>
    <w:p>
      <w:pPr>
        <w:pStyle w:val="2"/>
        <w:numPr>
          <w:numId w:val="0"/>
        </w:numPr>
        <w:jc w:val="both"/>
      </w:pPr>
      <w:r>
        <w:rPr>
          <w:rFonts w:hint="default" w:ascii="Times New Roman" w:hAnsi="Times New Roman" w:eastAsia="方正楷体_GBK" w:cs="Times New Roman"/>
          <w:b w:val="0"/>
          <w:bC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eastAsia="方正楷体_GBK" w:cs="Times New Roman"/>
          <w:b w:val="0"/>
          <w:bC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default" w:ascii="Times New Roman" w:hAnsi="Times New Roman" w:eastAsia="方正楷体_GBK" w:cs="Times New Roman"/>
          <w:b w:val="0"/>
          <w:bC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eastAsia="方正楷体_GBK" w:cs="Times New Roman"/>
          <w:b w:val="0"/>
          <w:bC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压实全面从严治党责任，不断夯实基层战斗</w:t>
      </w:r>
      <w:r>
        <w:rPr>
          <w:rFonts w:hint="default" w:ascii="Times New Roman" w:hAnsi="Times New Roman" w:eastAsia="方正楷体_GBK" w:cs="Times New Roman"/>
          <w:b w:val="0"/>
          <w:bC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堡垒作用。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kern w:val="2"/>
          <w:sz w:val="32"/>
          <w:szCs w:val="32"/>
          <w:lang w:val="en-US" w:eastAsia="zh-CN" w:bidi="ar-SA"/>
        </w:rPr>
        <w:t>一是狠抓党风廉政建设。二是狠抓意识形态责任制落实。三是健全密切联系群众机制。</w:t>
      </w:r>
    </w:p>
    <w:p>
      <w:pPr>
        <w:pStyle w:val="4"/>
        <w:spacing w:line="360" w:lineRule="auto"/>
      </w:pPr>
      <w:bookmarkStart w:id="18" w:name="_Toc68703844"/>
      <w:r>
        <w:rPr>
          <w:rFonts w:hint="eastAsia" w:ascii="仿宋_GB2312" w:eastAsia="仿宋_GB2312"/>
          <w:b w:val="0"/>
          <w:bCs w:val="0"/>
        </w:rPr>
        <w:t>（二）存在的问题及原因分析</w:t>
      </w:r>
      <w:bookmarkEnd w:id="18"/>
    </w:p>
    <w:p>
      <w:pPr>
        <w:ind w:firstLine="640" w:firstLineChars="200"/>
        <w:contextualSpacing/>
        <w:rPr>
          <w:rFonts w:hint="eastAsia" w:ascii="仿宋_GB2312" w:hAnsi="仿宋" w:cs="宋体"/>
          <w:color w:val="333333"/>
          <w:sz w:val="32"/>
          <w:szCs w:val="32"/>
          <w:lang w:eastAsia="zh-CN"/>
        </w:rPr>
      </w:pPr>
      <w:r>
        <w:rPr>
          <w:rFonts w:hint="eastAsia" w:ascii="仿宋_GB2312" w:hAnsi="仿宋" w:cs="宋体"/>
          <w:color w:val="333333"/>
          <w:sz w:val="32"/>
          <w:szCs w:val="32"/>
          <w:lang w:val="en-US" w:eastAsia="zh-CN"/>
        </w:rPr>
        <w:t>存在的问题：</w:t>
      </w:r>
      <w:r>
        <w:rPr>
          <w:rFonts w:hint="eastAsia" w:ascii="仿宋_GB2312" w:hAnsi="仿宋" w:eastAsia="仿宋_GB2312" w:cs="宋体"/>
          <w:color w:val="333333"/>
          <w:sz w:val="32"/>
          <w:szCs w:val="32"/>
        </w:rPr>
        <w:t>参与绩效管理工作的人员经验不足，绩效管理水平有待提高，绩效管理意识进一步提高</w:t>
      </w:r>
      <w:r>
        <w:rPr>
          <w:rFonts w:hint="eastAsia" w:ascii="仿宋_GB2312" w:hAnsi="仿宋" w:cs="宋体"/>
          <w:color w:val="333333"/>
          <w:sz w:val="32"/>
          <w:szCs w:val="32"/>
          <w:lang w:eastAsia="zh-CN"/>
        </w:rPr>
        <w:t>。</w:t>
      </w:r>
    </w:p>
    <w:p>
      <w:pPr>
        <w:ind w:firstLine="640" w:firstLineChars="200"/>
        <w:contextualSpacing/>
        <w:rPr>
          <w:rFonts w:ascii="仿宋_GB2312" w:hAnsi="仿宋" w:eastAsia="仿宋_GB2312" w:cs="宋体"/>
          <w:color w:val="333333"/>
          <w:sz w:val="32"/>
          <w:szCs w:val="32"/>
        </w:rPr>
      </w:pPr>
      <w:r>
        <w:rPr>
          <w:rFonts w:hint="eastAsia" w:ascii="仿宋_GB2312" w:hAnsi="仿宋" w:cs="宋体"/>
          <w:color w:val="333333"/>
          <w:sz w:val="32"/>
          <w:szCs w:val="32"/>
          <w:lang w:val="en-US" w:eastAsia="zh-CN"/>
        </w:rPr>
        <w:t>原因分析：</w:t>
      </w:r>
      <w:r>
        <w:rPr>
          <w:rFonts w:hint="eastAsia" w:ascii="仿宋_GB2312" w:hAnsi="仿宋" w:eastAsia="仿宋_GB2312" w:cs="宋体"/>
          <w:color w:val="333333"/>
          <w:sz w:val="32"/>
          <w:szCs w:val="32"/>
        </w:rPr>
        <w:t>按照财政支出绩效管理的要求，继续完善绩效评价的评价体系及工作流程，提高财政资金使用管理的水平和效率。</w:t>
      </w:r>
    </w:p>
    <w:p>
      <w:pPr>
        <w:rPr>
          <w:color w:val="FF0000"/>
        </w:rPr>
      </w:pPr>
    </w:p>
    <w:p>
      <w:pPr>
        <w:pStyle w:val="3"/>
        <w:numPr>
          <w:ilvl w:val="0"/>
          <w:numId w:val="3"/>
        </w:numPr>
        <w:spacing w:line="360" w:lineRule="auto"/>
        <w:rPr>
          <w:rFonts w:hint="eastAsia" w:ascii="宋体" w:hAnsi="宋体" w:eastAsia="宋体"/>
          <w:sz w:val="32"/>
          <w:szCs w:val="32"/>
        </w:rPr>
      </w:pPr>
      <w:bookmarkStart w:id="19" w:name="_Toc68703845"/>
      <w:r>
        <w:rPr>
          <w:rFonts w:hint="eastAsia" w:ascii="宋体" w:hAnsi="宋体" w:eastAsia="宋体"/>
          <w:sz w:val="32"/>
          <w:szCs w:val="32"/>
        </w:rPr>
        <w:t>有关建议</w:t>
      </w:r>
      <w:bookmarkEnd w:id="19"/>
    </w:p>
    <w:p>
      <w:pPr>
        <w:ind w:firstLine="640" w:firstLineChars="200"/>
        <w:contextualSpacing/>
        <w:rPr>
          <w:rFonts w:hint="eastAsia" w:ascii="仿宋_GB2312" w:hAnsi="仿宋" w:eastAsia="仿宋_GB2312" w:cs="宋体"/>
          <w:color w:val="333333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宋体"/>
          <w:color w:val="333333"/>
          <w:sz w:val="32"/>
          <w:szCs w:val="32"/>
          <w:lang w:val="en-US" w:eastAsia="zh-CN"/>
        </w:rPr>
        <w:t>1.多进行有关绩效管理工作方面的培训。积极组织第三方开展绩效管理工作培训，进一步夯实业务基础，提高我单位绩效人员水平。</w:t>
      </w:r>
    </w:p>
    <w:p>
      <w:pPr>
        <w:ind w:firstLine="640" w:firstLineChars="200"/>
        <w:contextualSpacing/>
        <w:rPr>
          <w:rFonts w:hint="eastAsia" w:ascii="仿宋_GB2312" w:hAnsi="仿宋" w:eastAsia="仿宋_GB2312" w:cs="宋体"/>
          <w:color w:val="333333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宋体"/>
          <w:color w:val="333333"/>
          <w:sz w:val="32"/>
          <w:szCs w:val="32"/>
          <w:lang w:val="en-US" w:eastAsia="zh-CN"/>
        </w:rPr>
        <w:t>2.专门设定对绩效工作人员定职、定岗、定责等相关制度措施，进一步提升我单位绩效管理工作业务水平，扎实做好绩效管理工作。</w:t>
      </w:r>
    </w:p>
    <w:p>
      <w:pPr>
        <w:ind w:firstLine="640" w:firstLineChars="200"/>
        <w:contextualSpacing/>
      </w:pPr>
      <w:r>
        <w:rPr>
          <w:rFonts w:hint="eastAsia" w:ascii="仿宋_GB2312" w:hAnsi="仿宋" w:eastAsia="仿宋_GB2312" w:cs="宋体"/>
          <w:color w:val="333333"/>
          <w:sz w:val="32"/>
          <w:szCs w:val="32"/>
          <w:lang w:val="en-US" w:eastAsia="zh-CN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</w:p>
    <w:p>
      <w:pPr>
        <w:pStyle w:val="3"/>
        <w:spacing w:line="360" w:lineRule="auto"/>
        <w:rPr>
          <w:rFonts w:ascii="宋体" w:hAnsi="宋体" w:eastAsia="宋体"/>
          <w:sz w:val="32"/>
          <w:szCs w:val="32"/>
        </w:rPr>
      </w:pPr>
      <w:bookmarkStart w:id="20" w:name="_Toc68703846"/>
      <w:r>
        <w:rPr>
          <w:rFonts w:hint="eastAsia" w:ascii="宋体" w:hAnsi="宋体" w:eastAsia="宋体"/>
          <w:sz w:val="32"/>
          <w:szCs w:val="32"/>
        </w:rPr>
        <w:t>七、其他需要说明的问题</w:t>
      </w:r>
      <w:bookmarkEnd w:id="20"/>
    </w:p>
    <w:p>
      <w:pPr>
        <w:spacing w:line="560" w:lineRule="exact"/>
        <w:ind w:firstLine="640" w:firstLineChars="200"/>
        <w:jc w:val="left"/>
        <w:rPr>
          <w:rFonts w:ascii="仿宋_GB2312" w:hAnsi="仿宋" w:eastAsia="仿宋_GB2312" w:cs="宋体"/>
          <w:color w:val="333333"/>
          <w:sz w:val="32"/>
          <w:szCs w:val="32"/>
        </w:rPr>
      </w:pPr>
      <w:r>
        <w:rPr>
          <w:rFonts w:hint="eastAsia" w:ascii="Times New Roman" w:hAnsi="Times New Roman" w:eastAsia="仿宋_GB2312"/>
          <w:color w:val="333333"/>
          <w:sz w:val="32"/>
          <w:szCs w:val="32"/>
        </w:rPr>
        <w:t xml:space="preserve">  </w:t>
      </w:r>
      <w:r>
        <w:rPr>
          <w:rFonts w:hint="eastAsia" w:ascii="仿宋_GB2312" w:hAnsi="仿宋" w:eastAsia="仿宋_GB2312" w:cs="宋体"/>
          <w:color w:val="333333"/>
          <w:sz w:val="32"/>
          <w:szCs w:val="32"/>
        </w:rPr>
        <w:t>本次预算绩效评价所采集的数据因为采集时间、数据来源等诸多因素的影响，可能会出现一定的偏差，进而对评价结果存在影响。</w:t>
      </w:r>
    </w:p>
    <w:p>
      <w:pPr>
        <w:spacing w:line="360" w:lineRule="auto"/>
      </w:pPr>
    </w:p>
    <w:p/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7AF5764D-73C7-4024-8181-FD0ADC9CA6CD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DE3EAD4A-7018-4D90-866C-7129B7925CDB}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3" w:fontKey="{C547DFED-6E53-4038-B632-9A3850BE28FF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5861E47E-6D47-4D66-BACE-CB80D5749227}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5" w:fontKey="{65C8B437-2DD9-4A71-B6CE-168F2D88007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4B65A039-7E5F-42EB-A274-0214B1D9957B}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7" w:fontKey="{A3C0B7AD-8BC7-4EED-AE90-1982540B6EC0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B61E9C"/>
    <w:multiLevelType w:val="singleLevel"/>
    <w:tmpl w:val="9BB61E9C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4A84D77"/>
    <w:multiLevelType w:val="singleLevel"/>
    <w:tmpl w:val="24A84D77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3333F64B"/>
    <w:multiLevelType w:val="singleLevel"/>
    <w:tmpl w:val="3333F64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ViMzQ5M2ZlYTk3N2UxYjU3MDlmMDQwNmI3MjNiYWIifQ=="/>
  </w:docVars>
  <w:rsids>
    <w:rsidRoot w:val="007D49C5"/>
    <w:rsid w:val="000B223C"/>
    <w:rsid w:val="00376D6A"/>
    <w:rsid w:val="004850D4"/>
    <w:rsid w:val="00571796"/>
    <w:rsid w:val="00614288"/>
    <w:rsid w:val="007D49C5"/>
    <w:rsid w:val="008032CD"/>
    <w:rsid w:val="008464B5"/>
    <w:rsid w:val="008C631D"/>
    <w:rsid w:val="00977705"/>
    <w:rsid w:val="00987A38"/>
    <w:rsid w:val="00BA7845"/>
    <w:rsid w:val="00EF1FE3"/>
    <w:rsid w:val="011078C7"/>
    <w:rsid w:val="0C7B478E"/>
    <w:rsid w:val="10541D50"/>
    <w:rsid w:val="15DA37C6"/>
    <w:rsid w:val="19142369"/>
    <w:rsid w:val="224C47AB"/>
    <w:rsid w:val="2732278A"/>
    <w:rsid w:val="2A0B1FB7"/>
    <w:rsid w:val="2C1125C1"/>
    <w:rsid w:val="2E17388F"/>
    <w:rsid w:val="2EAD4823"/>
    <w:rsid w:val="3490248B"/>
    <w:rsid w:val="3D8E272E"/>
    <w:rsid w:val="3F3020FF"/>
    <w:rsid w:val="3F980BD8"/>
    <w:rsid w:val="3FAF1A7E"/>
    <w:rsid w:val="4316603E"/>
    <w:rsid w:val="44743CCA"/>
    <w:rsid w:val="452E1696"/>
    <w:rsid w:val="49AD34D2"/>
    <w:rsid w:val="4B0233A9"/>
    <w:rsid w:val="56EA7B13"/>
    <w:rsid w:val="59664B96"/>
    <w:rsid w:val="5B4326B1"/>
    <w:rsid w:val="5B982F07"/>
    <w:rsid w:val="60536729"/>
    <w:rsid w:val="606C77EB"/>
    <w:rsid w:val="622575EA"/>
    <w:rsid w:val="64882719"/>
    <w:rsid w:val="67F56318"/>
    <w:rsid w:val="6A815C41"/>
    <w:rsid w:val="6B6D38E9"/>
    <w:rsid w:val="6BE741CA"/>
    <w:rsid w:val="6DE85489"/>
    <w:rsid w:val="6FA64737"/>
    <w:rsid w:val="71F475E4"/>
    <w:rsid w:val="72FD0776"/>
    <w:rsid w:val="74051691"/>
    <w:rsid w:val="74DA0D6F"/>
    <w:rsid w:val="752A4662"/>
    <w:rsid w:val="75CE5CB1"/>
    <w:rsid w:val="766C1E9B"/>
    <w:rsid w:val="7DA63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3">
    <w:name w:val="heading 1"/>
    <w:basedOn w:val="1"/>
    <w:next w:val="1"/>
    <w:link w:val="13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14"/>
    <w:autoRedefine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autoRedefine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5">
    <w:name w:val="footer"/>
    <w:basedOn w:val="1"/>
    <w:link w:val="1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autoRedefine/>
    <w:unhideWhenUsed/>
    <w:qFormat/>
    <w:uiPriority w:val="39"/>
    <w:pPr>
      <w:widowControl/>
      <w:spacing w:after="100" w:line="259" w:lineRule="auto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8">
    <w:name w:val="footnote text"/>
    <w:basedOn w:val="1"/>
    <w:autoRedefine/>
    <w:qFormat/>
    <w:uiPriority w:val="0"/>
    <w:pPr>
      <w:snapToGrid w:val="0"/>
      <w:jc w:val="left"/>
    </w:pPr>
    <w:rPr>
      <w:sz w:val="18"/>
      <w:szCs w:val="18"/>
    </w:rPr>
  </w:style>
  <w:style w:type="paragraph" w:styleId="9">
    <w:name w:val="toc 2"/>
    <w:basedOn w:val="1"/>
    <w:next w:val="1"/>
    <w:autoRedefine/>
    <w:unhideWhenUsed/>
    <w:qFormat/>
    <w:uiPriority w:val="39"/>
    <w:pPr>
      <w:widowControl/>
      <w:spacing w:after="100" w:line="259" w:lineRule="auto"/>
      <w:ind w:left="220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character" w:styleId="12">
    <w:name w:val="Hyperlink"/>
    <w:basedOn w:val="11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3">
    <w:name w:val="标题 1 字符"/>
    <w:basedOn w:val="11"/>
    <w:link w:val="3"/>
    <w:autoRedefine/>
    <w:qFormat/>
    <w:uiPriority w:val="9"/>
    <w:rPr>
      <w:rFonts w:ascii="Times New Roman" w:hAnsi="Times New Roman" w:eastAsia="仿宋_GB2312" w:cs="Times New Roman"/>
      <w:b/>
      <w:bCs/>
      <w:kern w:val="44"/>
      <w:sz w:val="44"/>
      <w:szCs w:val="44"/>
    </w:rPr>
  </w:style>
  <w:style w:type="character" w:customStyle="1" w:styleId="14">
    <w:name w:val="标题 2 字符"/>
    <w:basedOn w:val="11"/>
    <w:link w:val="4"/>
    <w:autoRedefine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15">
    <w:name w:val="TOC Heading"/>
    <w:basedOn w:val="3"/>
    <w:next w:val="1"/>
    <w:autoRedefine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6">
    <w:name w:val="页眉 字符"/>
    <w:basedOn w:val="11"/>
    <w:link w:val="6"/>
    <w:autoRedefine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7">
    <w:name w:val="页脚 字符"/>
    <w:basedOn w:val="11"/>
    <w:link w:val="5"/>
    <w:autoRedefine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1097</Words>
  <Characters>6259</Characters>
  <Lines>52</Lines>
  <Paragraphs>14</Paragraphs>
  <TotalTime>8</TotalTime>
  <ScaleCrop>false</ScaleCrop>
  <LinksUpToDate>false</LinksUpToDate>
  <CharactersWithSpaces>7342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2022-03-19T10:53:00Z</dcterms:created>
  <dc:creator>翘楚</dc:creator>
  <cp:lastModifiedBy>WPS_1692180594</cp:lastModifiedBy>
  <dcterms:modified xsi:type="dcterms:W3CDTF">2024-05-16T09:13:37Z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C10A60A6D9144BF185A63F71A217C929_12</vt:lpwstr>
  </property>
</Properties>
</file>