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kern w:val="0"/>
          <w:sz w:val="32"/>
          <w:szCs w:val="32"/>
        </w:rPr>
        <w:t>二中“双名工程”经费</w:t>
      </w: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焉耆县第二中学</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焉耆县教育和科学技术局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曾世波</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5"/>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2"/>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"_Toc68703828" </w:instrText>
          </w:r>
          <w:r>
            <w:fldChar w:fldCharType="separate"/>
          </w:r>
          <w:r>
            <w:rPr>
              <w:rStyle w:val="12"/>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"_Toc68703829" </w:instrText>
          </w:r>
          <w:r>
            <w:fldChar w:fldCharType="separate"/>
          </w:r>
          <w:r>
            <w:rPr>
              <w:rStyle w:val="12"/>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2"/>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"_Toc68703831" </w:instrText>
          </w:r>
          <w:r>
            <w:fldChar w:fldCharType="separate"/>
          </w:r>
          <w:r>
            <w:rPr>
              <w:rStyle w:val="12"/>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"_Toc68703832" </w:instrText>
          </w:r>
          <w:r>
            <w:fldChar w:fldCharType="separate"/>
          </w:r>
          <w:r>
            <w:rPr>
              <w:rStyle w:val="12"/>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"_Toc68703833" </w:instrText>
          </w:r>
          <w:r>
            <w:fldChar w:fldCharType="separate"/>
          </w:r>
          <w:r>
            <w:rPr>
              <w:rStyle w:val="12"/>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2"/>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"_Toc68703835" </w:instrText>
          </w:r>
          <w:r>
            <w:fldChar w:fldCharType="separate"/>
          </w:r>
          <w:r>
            <w:rPr>
              <w:rStyle w:val="12"/>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"_Toc68703836" </w:instrText>
          </w:r>
          <w:r>
            <w:fldChar w:fldCharType="separate"/>
          </w:r>
          <w:r>
            <w:rPr>
              <w:rStyle w:val="12"/>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2"/>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"_Toc68703838" </w:instrText>
          </w:r>
          <w:r>
            <w:fldChar w:fldCharType="separate"/>
          </w:r>
          <w:r>
            <w:rPr>
              <w:rStyle w:val="12"/>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"_Toc68703839" </w:instrText>
          </w:r>
          <w:r>
            <w:fldChar w:fldCharType="separate"/>
          </w:r>
          <w:r>
            <w:rPr>
              <w:rStyle w:val="12"/>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"_Toc68703840" </w:instrText>
          </w:r>
          <w:r>
            <w:fldChar w:fldCharType="separate"/>
          </w:r>
          <w:r>
            <w:rPr>
              <w:rStyle w:val="12"/>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"_Toc68703841" </w:instrText>
          </w:r>
          <w:r>
            <w:fldChar w:fldCharType="separate"/>
          </w:r>
          <w:r>
            <w:rPr>
              <w:rStyle w:val="12"/>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2"/>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"_Toc68703843" </w:instrText>
          </w:r>
          <w:r>
            <w:fldChar w:fldCharType="separate"/>
          </w:r>
          <w:r>
            <w:rPr>
              <w:rStyle w:val="12"/>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"_Toc68703844" </w:instrText>
          </w:r>
          <w:r>
            <w:fldChar w:fldCharType="separate"/>
          </w:r>
          <w:r>
            <w:rPr>
              <w:rStyle w:val="12"/>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2"/>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2"/>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3"/>
        <w:pageBreakBefore w:val="0"/>
        <w:widowControl w:val="0"/>
        <w:kinsoku/>
        <w:wordWrap/>
        <w:overflowPunct/>
        <w:topLinePunct w:val="0"/>
        <w:autoSpaceDE/>
        <w:autoSpaceDN/>
        <w:bidi w:val="0"/>
        <w:adjustRightInd/>
        <w:snapToGrid/>
        <w:spacing w:before="0" w:after="0" w:line="560" w:lineRule="exact"/>
        <w:textAlignment w:val="auto"/>
        <w:rPr>
          <w:rFonts w:hint="eastAsia" w:ascii="仿宋" w:hAnsi="仿宋" w:eastAsia="仿宋" w:cs="仿宋"/>
          <w:b/>
          <w:bCs/>
          <w:sz w:val="30"/>
          <w:szCs w:val="30"/>
        </w:rPr>
      </w:pPr>
      <w:bookmarkStart w:id="0" w:name="_Toc68703827"/>
      <w:r>
        <w:rPr>
          <w:rFonts w:hint="eastAsia" w:ascii="仿宋" w:hAnsi="仿宋" w:eastAsia="仿宋" w:cs="仿宋"/>
          <w:b/>
          <w:bCs/>
          <w:sz w:val="30"/>
          <w:szCs w:val="30"/>
        </w:rPr>
        <w:t>一、基本情况</w:t>
      </w:r>
      <w:bookmarkEnd w:id="0"/>
    </w:p>
    <w:p>
      <w:pPr>
        <w:pStyle w:val="3"/>
        <w:pageBreakBefore w:val="0"/>
        <w:widowControl w:val="0"/>
        <w:kinsoku/>
        <w:wordWrap/>
        <w:overflowPunct/>
        <w:topLinePunct w:val="0"/>
        <w:autoSpaceDE/>
        <w:autoSpaceDN/>
        <w:bidi w:val="0"/>
        <w:adjustRightInd/>
        <w:snapToGrid/>
        <w:spacing w:before="0" w:after="0" w:line="560" w:lineRule="exact"/>
        <w:textAlignment w:val="auto"/>
        <w:rPr>
          <w:rFonts w:hint="eastAsia" w:ascii="仿宋" w:hAnsi="仿宋" w:eastAsia="仿宋" w:cs="仿宋"/>
          <w:b w:val="0"/>
          <w:bCs w:val="0"/>
          <w:sz w:val="30"/>
          <w:szCs w:val="30"/>
        </w:rPr>
      </w:pPr>
      <w:bookmarkStart w:id="1" w:name="_Toc68703828"/>
      <w:r>
        <w:rPr>
          <w:rFonts w:hint="eastAsia" w:ascii="仿宋" w:hAnsi="仿宋" w:eastAsia="仿宋" w:cs="仿宋"/>
          <w:b w:val="0"/>
          <w:bCs w:val="0"/>
          <w:sz w:val="30"/>
          <w:szCs w:val="30"/>
        </w:rPr>
        <w:t>（一）项目概况。</w:t>
      </w:r>
      <w:bookmarkEnd w:id="1"/>
    </w:p>
    <w:p>
      <w:pPr>
        <w:pStyle w:val="9"/>
        <w:numPr>
          <w:ilvl w:val="0"/>
          <w:numId w:val="0"/>
        </w:numPr>
        <w:ind w:firstLine="600" w:firstLineChars="200"/>
        <w:jc w:val="both"/>
        <w:rPr>
          <w:rFonts w:hint="eastAsia" w:ascii="仿宋" w:hAnsi="仿宋" w:eastAsia="仿宋" w:cs="仿宋"/>
          <w:b w:val="0"/>
          <w:bCs w:val="0"/>
          <w:kern w:val="44"/>
          <w:sz w:val="30"/>
          <w:szCs w:val="30"/>
          <w:highlight w:val="none"/>
          <w:lang w:val="en-US" w:eastAsia="zh-CN" w:bidi="ar-SA"/>
        </w:rPr>
      </w:pPr>
      <w:r>
        <w:rPr>
          <w:rFonts w:hint="eastAsia" w:ascii="仿宋" w:hAnsi="仿宋" w:eastAsia="仿宋" w:cs="仿宋"/>
          <w:b w:val="0"/>
          <w:bCs w:val="0"/>
          <w:kern w:val="44"/>
          <w:sz w:val="30"/>
          <w:szCs w:val="30"/>
          <w:highlight w:val="none"/>
          <w:lang w:val="en-US" w:eastAsia="zh-CN" w:bidi="ar-SA"/>
        </w:rPr>
        <w:t>1、项目背景</w:t>
      </w:r>
    </w:p>
    <w:p>
      <w:pPr>
        <w:pStyle w:val="3"/>
        <w:pageBreakBefore w:val="0"/>
        <w:widowControl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kern w:val="44"/>
          <w:sz w:val="30"/>
          <w:szCs w:val="30"/>
          <w:highlight w:val="none"/>
          <w:lang w:val="en-US" w:eastAsia="zh-CN" w:bidi="ar-SA"/>
        </w:rPr>
        <w:t>为深入学习宣传贯彻党的二十大精神，全面落实中小学党组织领导的校长负责制，持续加大师德专项培训力度，精心策划国培、县培项目，充分发挥各学科教学能 手工作室的引领示范和辐射带动作用，促进教师队伍专业成长。在焉耆县政府、教科局的牵头和顶层设计下，由北京师范大学继续教育与教师培训学院具体承担，充分发挥北京师范大学在教师教育中的专业优势和丰富积累，统筹北师大和全国各方资源与力量，立足巴州北四县教师队伍建设现状，</w:t>
      </w:r>
      <w:r>
        <w:rPr>
          <w:rFonts w:hint="eastAsia" w:ascii="仿宋" w:hAnsi="仿宋" w:eastAsia="仿宋" w:cs="仿宋"/>
          <w:b w:val="0"/>
          <w:bCs w:val="0"/>
          <w:sz w:val="30"/>
          <w:szCs w:val="30"/>
          <w:highlight w:val="none"/>
          <w:lang w:val="en-US" w:eastAsia="zh-CN"/>
        </w:rPr>
        <w:t>促进教师队伍专业成长。 开展名书记、校长和名师 “双名”工程。我单位按照教育局下发</w:t>
      </w:r>
      <w:r>
        <w:rPr>
          <w:rFonts w:hint="eastAsia" w:ascii="仿宋" w:hAnsi="仿宋" w:eastAsia="仿宋" w:cs="仿宋"/>
          <w:b w:val="0"/>
          <w:bCs/>
          <w:kern w:val="2"/>
          <w:sz w:val="30"/>
          <w:szCs w:val="30"/>
          <w:highlight w:val="none"/>
          <w:lang w:val="en-US" w:eastAsia="zh-CN" w:bidi="ar-SA"/>
        </w:rPr>
        <w:t>《巴州北四县“双名工程”实施方案》进行执行，</w:t>
      </w:r>
      <w:r>
        <w:rPr>
          <w:rFonts w:hint="eastAsia" w:ascii="仿宋" w:hAnsi="仿宋" w:eastAsia="仿宋" w:cs="仿宋"/>
          <w:b w:val="0"/>
          <w:bCs w:val="0"/>
          <w:sz w:val="30"/>
          <w:szCs w:val="30"/>
          <w:highlight w:val="none"/>
          <w:lang w:val="en-US" w:eastAsia="zh-CN"/>
        </w:rPr>
        <w:t xml:space="preserve">巴财教【2022】34号文批复举办资金为10.8万元的培训。 </w:t>
      </w:r>
    </w:p>
    <w:p>
      <w:pPr>
        <w:ind w:firstLine="620" w:firstLineChars="200"/>
        <w:rPr>
          <w:rFonts w:hint="eastAsia" w:ascii="仿宋" w:hAnsi="仿宋" w:eastAsia="仿宋" w:cs="仿宋"/>
          <w:color w:val="000000"/>
          <w:kern w:val="0"/>
          <w:sz w:val="31"/>
          <w:szCs w:val="31"/>
          <w:lang w:val="en-US" w:eastAsia="zh-CN" w:bidi="ar"/>
        </w:rPr>
      </w:pPr>
    </w:p>
    <w:p>
      <w:pPr>
        <w:ind w:firstLine="620" w:firstLineChars="200"/>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2、主要内容及实施情况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kern w:val="44"/>
          <w:sz w:val="30"/>
          <w:szCs w:val="30"/>
          <w:highlight w:val="none"/>
          <w:lang w:val="en-US" w:eastAsia="zh-CN" w:bidi="ar-SA"/>
        </w:rPr>
      </w:pPr>
      <w:r>
        <w:rPr>
          <w:rFonts w:hint="eastAsia" w:ascii="仿宋" w:hAnsi="仿宋" w:eastAsia="仿宋" w:cs="仿宋"/>
          <w:b w:val="0"/>
          <w:bCs w:val="0"/>
          <w:color w:val="000000" w:themeColor="text1"/>
          <w:kern w:val="44"/>
          <w:sz w:val="30"/>
          <w:szCs w:val="30"/>
          <w:highlight w:val="none"/>
          <w:lang w:val="en-US" w:eastAsia="zh-CN" w:bidi="ar-SA"/>
          <w14:textFill>
            <w14:solidFill>
              <w14:schemeClr w14:val="tx1"/>
            </w14:solidFill>
          </w14:textFill>
        </w:rPr>
        <w:t>主</w:t>
      </w:r>
      <w:r>
        <w:rPr>
          <w:rFonts w:hint="eastAsia" w:ascii="仿宋" w:hAnsi="仿宋" w:eastAsia="仿宋" w:cs="仿宋"/>
          <w:b w:val="0"/>
          <w:bCs w:val="0"/>
          <w:kern w:val="44"/>
          <w:sz w:val="30"/>
          <w:szCs w:val="30"/>
          <w:highlight w:val="none"/>
          <w:lang w:val="en-US" w:eastAsia="zh-CN" w:bidi="ar-SA"/>
        </w:rPr>
        <w:t>要内容：项目的主要内容为：根据《巴州北四县“双名工程”实施方案》我校对1名校长和5名教师进行培训。提升管理能力及教学能力。受益人数为6人。改善我县教师队伍建设现状。</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kern w:val="44"/>
          <w:sz w:val="30"/>
          <w:szCs w:val="30"/>
          <w:highlight w:val="none"/>
          <w:lang w:val="en-US" w:eastAsia="zh-CN" w:bidi="ar-SA"/>
        </w:rPr>
      </w:pPr>
      <w:r>
        <w:rPr>
          <w:rFonts w:hint="eastAsia" w:ascii="仿宋" w:hAnsi="仿宋" w:eastAsia="仿宋" w:cs="仿宋"/>
          <w:b w:val="0"/>
          <w:bCs w:val="0"/>
          <w:kern w:val="44"/>
          <w:sz w:val="30"/>
          <w:szCs w:val="30"/>
          <w:highlight w:val="none"/>
          <w:lang w:val="en-US" w:eastAsia="zh-CN" w:bidi="ar-SA"/>
        </w:rPr>
        <w:t>实施情况：通过对1名校长和5名教师的培训，对我校既有观念上的洗礼，也有理论上的提高；既有知识上的积淀，也有教学教研技艺的增长，这是我校汲取教育教学知识营养大餐的学习，也是促进我校专业化发展的大好机会。跟随专家导师学习、钻研，进一步提升学校整体素养。</w:t>
      </w:r>
    </w:p>
    <w:p>
      <w:pPr>
        <w:spacing w:line="360" w:lineRule="auto"/>
        <w:ind w:firstLine="600" w:firstLineChars="200"/>
        <w:rPr>
          <w:rFonts w:hint="eastAsia" w:ascii="仿宋_GB2312" w:hAnsi="仿宋_GB2312" w:eastAsia="仿宋_GB2312" w:cs="仿宋_GB2312"/>
        </w:rPr>
      </w:pPr>
      <w:r>
        <w:rPr>
          <w:rFonts w:hint="eastAsia" w:ascii="仿宋_GB2312" w:hAnsi="仿宋_GB2312" w:eastAsia="仿宋_GB2312" w:cs="仿宋_GB2312"/>
          <w:color w:val="FF0000"/>
          <w:lang w:val="en-US" w:eastAsia="zh-CN"/>
        </w:rPr>
        <w:t xml:space="preserve"> </w:t>
      </w:r>
      <w:r>
        <w:rPr>
          <w:rFonts w:hint="eastAsia" w:ascii="仿宋_GB2312" w:hAnsi="仿宋_GB2312" w:eastAsia="仿宋_GB2312" w:cs="仿宋_GB2312"/>
        </w:rPr>
        <w:t>4、资金投入和使用情况</w:t>
      </w:r>
    </w:p>
    <w:p>
      <w:pPr>
        <w:spacing w:line="360" w:lineRule="auto"/>
        <w:ind w:firstLine="600" w:firstLineChars="200"/>
        <w:rPr>
          <w:rFonts w:hint="eastAsia" w:ascii="仿宋_GB2312" w:hAnsi="仿宋_GB2312" w:eastAsia="仿宋_GB2312" w:cs="仿宋_GB2312"/>
          <w:color w:val="auto"/>
        </w:rPr>
      </w:pPr>
      <w:r>
        <w:rPr>
          <w:rFonts w:hint="eastAsia" w:ascii="仿宋_GB2312" w:hAnsi="仿宋_GB2312" w:eastAsia="仿宋_GB2312" w:cs="仿宋_GB2312"/>
        </w:rPr>
        <w:t>资金投入情况：</w:t>
      </w:r>
      <w:r>
        <w:rPr>
          <w:rFonts w:hint="eastAsia" w:ascii="仿宋_GB2312" w:hAnsi="仿宋_GB2312" w:eastAsia="仿宋_GB2312" w:cs="仿宋_GB2312"/>
          <w:color w:val="auto"/>
        </w:rPr>
        <w:t>该项目年初预算数</w:t>
      </w:r>
      <w:r>
        <w:rPr>
          <w:rFonts w:hint="eastAsia" w:ascii="仿宋_GB2312" w:hAnsi="仿宋_GB2312" w:eastAsia="仿宋_GB2312" w:cs="仿宋_GB2312"/>
          <w:color w:val="auto"/>
          <w:lang w:val="en-US" w:eastAsia="zh-CN"/>
        </w:rPr>
        <w:t>10.8</w:t>
      </w:r>
      <w:r>
        <w:rPr>
          <w:rFonts w:hint="eastAsia" w:ascii="仿宋_GB2312" w:hAnsi="仿宋_GB2312" w:eastAsia="仿宋_GB2312" w:cs="仿宋_GB2312"/>
          <w:color w:val="auto"/>
        </w:rPr>
        <w:t xml:space="preserve"> 万元，全年预算数 </w:t>
      </w:r>
      <w:r>
        <w:rPr>
          <w:rFonts w:hint="eastAsia" w:ascii="仿宋_GB2312" w:hAnsi="仿宋_GB2312" w:eastAsia="仿宋_GB2312" w:cs="仿宋_GB2312"/>
          <w:color w:val="auto"/>
          <w:lang w:val="en-US" w:eastAsia="zh-CN"/>
        </w:rPr>
        <w:t>10.8</w:t>
      </w:r>
      <w:r>
        <w:rPr>
          <w:rFonts w:hint="eastAsia" w:ascii="仿宋_GB2312" w:hAnsi="仿宋_GB2312" w:eastAsia="仿宋_GB2312" w:cs="仿宋_GB2312"/>
          <w:color w:val="auto"/>
        </w:rPr>
        <w:t xml:space="preserve">   万元，实际总投入</w:t>
      </w:r>
      <w:r>
        <w:rPr>
          <w:rFonts w:hint="eastAsia" w:ascii="仿宋_GB2312" w:hAnsi="仿宋_GB2312" w:eastAsia="仿宋_GB2312" w:cs="仿宋_GB2312"/>
          <w:color w:val="auto"/>
          <w:lang w:val="en-US" w:eastAsia="zh-CN"/>
        </w:rPr>
        <w:t>10.8</w:t>
      </w:r>
      <w:r>
        <w:rPr>
          <w:rFonts w:hint="eastAsia" w:ascii="仿宋_GB2312" w:hAnsi="仿宋_GB2312" w:eastAsia="仿宋_GB2312" w:cs="仿宋_GB2312"/>
          <w:color w:val="auto"/>
        </w:rPr>
        <w:t xml:space="preserve"> 万元，该项目资金已全部落实到位，资金来源为</w:t>
      </w:r>
      <w:r>
        <w:rPr>
          <w:rFonts w:hint="eastAsia" w:ascii="仿宋_GB2312" w:hAnsi="仿宋_GB2312" w:eastAsia="仿宋_GB2312" w:cs="仿宋_GB2312"/>
          <w:color w:val="auto"/>
          <w:lang w:eastAsia="zh-CN"/>
        </w:rPr>
        <w:t>上级一般转移支付</w:t>
      </w:r>
      <w:r>
        <w:rPr>
          <w:rFonts w:hint="eastAsia" w:ascii="仿宋_GB2312" w:hAnsi="仿宋_GB2312" w:eastAsia="仿宋_GB2312" w:cs="仿宋_GB2312"/>
          <w:color w:val="auto"/>
        </w:rPr>
        <w:t xml:space="preserve"> 。</w:t>
      </w:r>
    </w:p>
    <w:p>
      <w:pPr>
        <w:spacing w:line="360" w:lineRule="auto"/>
        <w:ind w:firstLine="600"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资金使用情况：该项目年初预算数</w:t>
      </w:r>
      <w:r>
        <w:rPr>
          <w:rFonts w:hint="eastAsia" w:ascii="仿宋_GB2312" w:hAnsi="仿宋_GB2312" w:eastAsia="仿宋_GB2312" w:cs="仿宋_GB2312"/>
          <w:color w:val="auto"/>
          <w:lang w:val="en-US" w:eastAsia="zh-CN"/>
        </w:rPr>
        <w:t>10.8</w:t>
      </w:r>
      <w:r>
        <w:rPr>
          <w:rFonts w:hint="eastAsia" w:ascii="仿宋_GB2312" w:hAnsi="仿宋_GB2312" w:eastAsia="仿宋_GB2312" w:cs="仿宋_GB2312"/>
          <w:color w:val="auto"/>
        </w:rPr>
        <w:t>万元，全年预算数</w:t>
      </w:r>
      <w:r>
        <w:rPr>
          <w:rFonts w:hint="eastAsia" w:ascii="仿宋_GB2312" w:hAnsi="仿宋_GB2312" w:eastAsia="仿宋_GB2312" w:cs="仿宋_GB2312"/>
          <w:color w:val="auto"/>
          <w:lang w:val="en-US" w:eastAsia="zh-CN"/>
        </w:rPr>
        <w:t>10.8</w:t>
      </w:r>
      <w:r>
        <w:rPr>
          <w:rFonts w:hint="eastAsia" w:ascii="仿宋_GB2312" w:hAnsi="仿宋_GB2312" w:eastAsia="仿宋_GB2312" w:cs="仿宋_GB2312"/>
          <w:color w:val="auto"/>
        </w:rPr>
        <w:t>万元，全年执行数</w:t>
      </w:r>
      <w:r>
        <w:rPr>
          <w:rFonts w:hint="eastAsia" w:ascii="仿宋_GB2312" w:hAnsi="仿宋_GB2312" w:eastAsia="仿宋_GB2312" w:cs="仿宋_GB2312"/>
          <w:color w:val="auto"/>
          <w:lang w:val="en-US" w:eastAsia="zh-CN"/>
        </w:rPr>
        <w:t>10.8</w:t>
      </w:r>
      <w:r>
        <w:rPr>
          <w:rFonts w:hint="eastAsia" w:ascii="仿宋_GB2312" w:hAnsi="仿宋_GB2312" w:eastAsia="仿宋_GB2312" w:cs="仿宋_GB2312"/>
          <w:color w:val="auto"/>
        </w:rPr>
        <w:t>万元，预算执行率为</w:t>
      </w:r>
      <w:r>
        <w:rPr>
          <w:rFonts w:hint="eastAsia" w:ascii="仿宋_GB2312" w:hAnsi="仿宋_GB2312" w:eastAsia="仿宋_GB2312" w:cs="仿宋_GB2312"/>
          <w:color w:val="auto"/>
          <w:lang w:val="en-US" w:eastAsia="zh-CN"/>
        </w:rPr>
        <w:t>100</w:t>
      </w:r>
      <w:r>
        <w:rPr>
          <w:rFonts w:hint="eastAsia" w:ascii="仿宋_GB2312" w:hAnsi="仿宋_GB2312" w:eastAsia="仿宋_GB2312" w:cs="仿宋_GB2312"/>
          <w:color w:val="auto"/>
        </w:rPr>
        <w:t>%</w:t>
      </w:r>
      <w:r>
        <w:rPr>
          <w:rFonts w:hint="eastAsia" w:ascii="仿宋_GB2312" w:hAnsi="仿宋_GB2312" w:eastAsia="仿宋_GB2312" w:cs="仿宋_GB2312"/>
          <w:color w:val="auto"/>
          <w:lang w:val="en-US" w:eastAsia="zh-CN"/>
        </w:rPr>
        <w:t xml:space="preserve"> </w:t>
      </w:r>
      <w:r>
        <w:rPr>
          <w:rFonts w:hint="eastAsia" w:ascii="仿宋_GB2312" w:hAnsi="仿宋_GB2312" w:eastAsia="仿宋_GB2312" w:cs="仿宋_GB2312"/>
          <w:color w:val="auto"/>
        </w:rPr>
        <w:t>，用于：</w:t>
      </w:r>
      <w:r>
        <w:rPr>
          <w:rFonts w:hint="eastAsia" w:ascii="仿宋_GB2312" w:hAnsi="仿宋_GB2312" w:eastAsia="仿宋_GB2312" w:cs="仿宋_GB2312"/>
          <w:color w:val="auto"/>
          <w:lang w:eastAsia="zh-CN"/>
        </w:rPr>
        <w:t>培养名师名校长每人每年</w:t>
      </w:r>
      <w:r>
        <w:rPr>
          <w:rFonts w:hint="eastAsia" w:ascii="仿宋_GB2312" w:hAnsi="仿宋_GB2312" w:eastAsia="仿宋_GB2312" w:cs="仿宋_GB2312"/>
          <w:color w:val="auto"/>
          <w:lang w:val="en-US" w:eastAsia="zh-CN"/>
        </w:rPr>
        <w:t>1.8</w:t>
      </w:r>
      <w:r>
        <w:rPr>
          <w:rFonts w:hint="eastAsia" w:ascii="仿宋_GB2312" w:hAnsi="仿宋_GB2312" w:eastAsia="仿宋_GB2312" w:cs="仿宋_GB2312"/>
          <w:color w:val="auto"/>
        </w:rPr>
        <w:t>万元</w:t>
      </w:r>
      <w:r>
        <w:rPr>
          <w:rFonts w:hint="eastAsia" w:ascii="仿宋_GB2312" w:hAnsi="仿宋_GB2312" w:eastAsia="仿宋_GB2312" w:cs="仿宋_GB2312"/>
          <w:color w:val="auto"/>
          <w:lang w:eastAsia="zh-CN"/>
        </w:rPr>
        <w:t>，共计</w:t>
      </w:r>
      <w:r>
        <w:rPr>
          <w:rFonts w:hint="eastAsia" w:ascii="仿宋_GB2312" w:hAnsi="仿宋_GB2312" w:eastAsia="仿宋_GB2312" w:cs="仿宋_GB2312"/>
          <w:color w:val="auto"/>
          <w:lang w:val="en-US" w:eastAsia="zh-CN"/>
        </w:rPr>
        <w:t>6人</w:t>
      </w:r>
      <w:r>
        <w:rPr>
          <w:rFonts w:hint="eastAsia" w:ascii="仿宋_GB2312" w:hAnsi="仿宋_GB2312" w:eastAsia="仿宋_GB2312" w:cs="仿宋_GB2312"/>
          <w:color w:val="auto"/>
        </w:rPr>
        <w:t>。</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keepNext w:val="0"/>
        <w:keepLines w:val="0"/>
        <w:widowControl/>
        <w:suppressLineNumbers w:val="0"/>
        <w:jc w:val="left"/>
        <w:rPr>
          <w:rFonts w:hint="eastAsia" w:ascii="仿宋" w:hAnsi="仿宋" w:eastAsia="仿宋" w:cs="仿宋"/>
          <w:sz w:val="30"/>
          <w:szCs w:val="30"/>
        </w:rPr>
      </w:pPr>
      <w:r>
        <w:rPr>
          <w:rFonts w:hint="eastAsia" w:ascii="仿宋" w:hAnsi="仿宋" w:eastAsia="仿宋" w:cs="仿宋"/>
          <w:sz w:val="30"/>
          <w:szCs w:val="30"/>
        </w:rPr>
        <w:t>1、总体目标：</w:t>
      </w:r>
    </w:p>
    <w:p>
      <w:pPr>
        <w:keepNext w:val="0"/>
        <w:keepLines w:val="0"/>
        <w:widowControl/>
        <w:suppressLineNumbers w:val="0"/>
        <w:ind w:firstLine="600" w:firstLineChars="200"/>
        <w:jc w:val="left"/>
        <w:rPr>
          <w:rFonts w:hint="eastAsia"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实施二中“双名工程”项目旨在帮助骨干教师坚定理想信念，明确新时代教师的使命与担当，提升专业成长内驱力；引导骨干教师深入挖掘课程育人价值，提升素养导向的课程设计、实施、评价水平与课题研究能力，构筑巴州北四县教育的人才基础。对我校教育教学质量有新的提升。受益名师名校长满意度达95%。</w:t>
      </w:r>
    </w:p>
    <w:p>
      <w:pPr>
        <w:spacing w:line="360" w:lineRule="auto"/>
        <w:ind w:firstLine="600" w:firstLineChars="200"/>
        <w:rPr>
          <w:rFonts w:hint="eastAsia" w:ascii="仿宋_GB2312" w:hAnsi="仿宋_GB2312" w:eastAsia="仿宋_GB2312" w:cs="仿宋_GB2312"/>
        </w:rPr>
      </w:pPr>
      <w:r>
        <w:rPr>
          <w:rFonts w:hint="eastAsia" w:ascii="仿宋_GB2312" w:hAnsi="仿宋_GB2312" w:eastAsia="仿宋_GB2312" w:cs="仿宋_GB2312"/>
        </w:rPr>
        <w:t>2、阶段性目标：</w:t>
      </w:r>
    </w:p>
    <w:p>
      <w:pPr>
        <w:spacing w:line="360" w:lineRule="auto"/>
        <w:ind w:firstLine="600" w:firstLineChars="200"/>
        <w:rPr>
          <w:rFonts w:hint="eastAsia" w:ascii="仿宋_GB2312" w:hAnsi="仿宋_GB2312" w:eastAsia="仿宋_GB2312" w:cs="仿宋_GB2312"/>
          <w:color w:val="000000" w:themeColor="text1"/>
          <w:highlight w:val="none"/>
          <w:lang w:val="en-US" w:eastAsia="zh-CN"/>
          <w14:textFill>
            <w14:solidFill>
              <w14:schemeClr w14:val="tx1"/>
            </w14:solidFill>
          </w14:textFill>
        </w:rPr>
      </w:pPr>
      <w:r>
        <w:rPr>
          <w:rFonts w:hint="eastAsia" w:ascii="仿宋_GB2312" w:hAnsi="仿宋_GB2312" w:eastAsia="仿宋_GB2312" w:cs="仿宋_GB2312"/>
          <w:highlight w:val="none"/>
          <w:lang w:eastAsia="zh-CN"/>
        </w:rPr>
        <w:t>第一阶段</w:t>
      </w:r>
      <w:r>
        <w:rPr>
          <w:rFonts w:hint="eastAsia" w:ascii="仿宋_GB2312" w:hAnsi="仿宋_GB2312" w:eastAsia="仿宋_GB2312" w:cs="仿宋_GB2312"/>
          <w:highlight w:val="none"/>
          <w:lang w:val="en-US" w:eastAsia="zh-CN"/>
        </w:rPr>
        <w:t xml:space="preserve"> 根据</w:t>
      </w:r>
      <w:r>
        <w:rPr>
          <w:rFonts w:hint="eastAsia" w:ascii="仿宋_GB2312" w:hAnsi="仿宋_GB2312" w:eastAsia="仿宋_GB2312" w:cs="仿宋_GB2312"/>
          <w:b w:val="0"/>
          <w:bCs w:val="0"/>
          <w:kern w:val="44"/>
          <w:sz w:val="30"/>
          <w:szCs w:val="30"/>
          <w:highlight w:val="none"/>
          <w:lang w:val="en-US" w:eastAsia="zh-CN" w:bidi="ar-SA"/>
        </w:rPr>
        <w:t>《巴州北四县“双名工程”实施方案》</w:t>
      </w:r>
      <w:r>
        <w:rPr>
          <w:rFonts w:hint="eastAsia" w:ascii="仿宋_GB2312" w:hAnsi="仿宋_GB2312" w:eastAsia="仿宋_GB2312" w:cs="仿宋_GB2312"/>
          <w:highlight w:val="none"/>
          <w:lang w:val="en-US" w:eastAsia="zh-CN"/>
        </w:rPr>
        <w:t>实</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施</w:t>
      </w:r>
      <w:r>
        <w:rPr>
          <w:rFonts w:hint="eastAsia" w:ascii="仿宋_GB2312" w:hAnsi="仿宋_GB2312" w:eastAsia="仿宋_GB2312" w:cs="仿宋_GB2312"/>
          <w:color w:val="000000" w:themeColor="text1"/>
          <w:highlight w:val="none"/>
          <w:lang w:eastAsia="zh-CN"/>
          <w14:textFill>
            <w14:solidFill>
              <w14:schemeClr w14:val="tx1"/>
            </w14:solidFill>
          </w14:textFill>
        </w:rPr>
        <w:t>名校长培养计划，为焉耆县培养一支面向未来教育的区域教育管理队伍。培训全部合格，未出现不合格问题。</w:t>
      </w:r>
    </w:p>
    <w:p>
      <w:pPr>
        <w:spacing w:line="360" w:lineRule="auto"/>
        <w:ind w:firstLine="600" w:firstLineChars="200"/>
        <w:rPr>
          <w:rFonts w:hint="eastAsia" w:ascii="仿宋_GB2312" w:hAnsi="仿宋_GB2312" w:eastAsia="仿宋_GB2312" w:cs="仿宋_GB2312"/>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highlight w:val="none"/>
          <w:lang w:val="en-US" w:eastAsia="zh-CN"/>
          <w14:textFill>
            <w14:solidFill>
              <w14:schemeClr w14:val="tx1"/>
            </w14:solidFill>
          </w14:textFill>
        </w:rPr>
        <w:t>第二阶段 实施</w:t>
      </w:r>
      <w:r>
        <w:rPr>
          <w:rFonts w:hint="eastAsia" w:ascii="仿宋_GB2312" w:hAnsi="仿宋_GB2312" w:eastAsia="仿宋_GB2312" w:cs="仿宋_GB2312"/>
          <w:color w:val="000000" w:themeColor="text1"/>
          <w:highlight w:val="none"/>
          <w:lang w:eastAsia="zh-CN"/>
          <w14:textFill>
            <w14:solidFill>
              <w14:schemeClr w14:val="tx1"/>
            </w14:solidFill>
          </w14:textFill>
        </w:rPr>
        <w:t>名师培养计划</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 xml:space="preserve"> ，开展名师培养，打造一支学科领军教师队伍，促进焉耆教育高质量发展。</w:t>
      </w:r>
      <w:r>
        <w:rPr>
          <w:rFonts w:hint="eastAsia" w:ascii="仿宋_GB2312" w:hAnsi="仿宋_GB2312" w:eastAsia="仿宋_GB2312" w:cs="仿宋_GB2312"/>
          <w:color w:val="000000" w:themeColor="text1"/>
          <w:highlight w:val="none"/>
          <w:lang w:eastAsia="zh-CN"/>
          <w14:textFill>
            <w14:solidFill>
              <w14:schemeClr w14:val="tx1"/>
            </w14:solidFill>
          </w14:textFill>
        </w:rPr>
        <w:t>培训全部合格，未出现不合格问题。</w:t>
      </w:r>
    </w:p>
    <w:p>
      <w:pPr>
        <w:spacing w:line="360" w:lineRule="auto"/>
        <w:ind w:firstLine="600" w:firstLineChars="200"/>
        <w:rPr>
          <w:rFonts w:hint="eastAsia" w:ascii="仿宋_GB2312" w:hAnsi="仿宋_GB2312" w:eastAsia="仿宋_GB2312" w:cs="仿宋_GB2312"/>
          <w:highlight w:val="none"/>
          <w:lang w:val="en-US" w:eastAsia="zh-CN"/>
        </w:rPr>
      </w:pPr>
      <w:r>
        <w:rPr>
          <w:rFonts w:hint="eastAsia" w:ascii="仿宋_GB2312" w:hAnsi="仿宋_GB2312" w:eastAsia="仿宋_GB2312" w:cs="仿宋_GB2312"/>
          <w:color w:val="000000" w:themeColor="text1"/>
          <w:highlight w:val="none"/>
          <w:lang w:val="en-US" w:eastAsia="zh-CN"/>
          <w14:textFill>
            <w14:solidFill>
              <w14:schemeClr w14:val="tx1"/>
            </w14:solidFill>
          </w14:textFill>
        </w:rPr>
        <w:t>第三阶段 依托焉耆县教育发展中心建设，基地立足焉耆联动巴州，辐射周边区县。开展教育研究，师资培训、干部培养，人才交</w:t>
      </w:r>
      <w:r>
        <w:rPr>
          <w:rFonts w:hint="eastAsia" w:ascii="仿宋_GB2312" w:hAnsi="仿宋_GB2312" w:eastAsia="仿宋_GB2312" w:cs="仿宋_GB2312"/>
          <w:highlight w:val="none"/>
          <w:lang w:val="en-US" w:eastAsia="zh-CN"/>
        </w:rPr>
        <w:t>流等各类教师成长研修活动。我县已成立教师发展中心，运行良好。</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w:t>
      </w:r>
      <w:r>
        <w:rPr>
          <w:rFonts w:hint="eastAsia" w:ascii="宋体" w:hAnsi="宋体" w:eastAsia="宋体"/>
          <w:sz w:val="32"/>
          <w:szCs w:val="32"/>
          <w:lang w:val="en-US" w:eastAsia="zh-CN"/>
        </w:rPr>
        <w:t xml:space="preserve"> </w:t>
      </w:r>
      <w:r>
        <w:rPr>
          <w:rFonts w:hint="eastAsia" w:ascii="宋体" w:hAnsi="宋体" w:eastAsia="宋体"/>
          <w:sz w:val="32"/>
          <w:szCs w:val="32"/>
        </w:rPr>
        <w:t>开展情况</w:t>
      </w:r>
      <w:bookmarkEnd w:id="3"/>
    </w:p>
    <w:p>
      <w:pPr>
        <w:pStyle w:val="4"/>
        <w:spacing w:line="360" w:lineRule="auto"/>
        <w:rPr>
          <w:rFonts w:hint="eastAsia" w:ascii="仿宋_GB2312" w:hAnsi="仿宋_GB2312" w:eastAsia="仿宋_GB2312" w:cs="仿宋_GB2312"/>
          <w:b w:val="0"/>
          <w:bCs w:val="0"/>
          <w:sz w:val="30"/>
          <w:szCs w:val="30"/>
        </w:rPr>
      </w:pPr>
      <w:bookmarkStart w:id="4" w:name="_Toc68703831"/>
      <w:r>
        <w:rPr>
          <w:rFonts w:hint="eastAsia" w:ascii="仿宋_GB2312" w:hAnsi="仿宋_GB2312" w:eastAsia="仿宋_GB2312" w:cs="仿宋_GB2312"/>
          <w:b w:val="0"/>
          <w:bCs w:val="0"/>
          <w:sz w:val="30"/>
          <w:szCs w:val="30"/>
        </w:rPr>
        <w:t>（一）绩效评价目的、对象和范围。</w:t>
      </w:r>
      <w:bookmarkEnd w:id="4"/>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1、绩效评价目的：</w:t>
      </w:r>
    </w:p>
    <w:p>
      <w:pPr>
        <w:keepNext w:val="0"/>
        <w:keepLines w:val="0"/>
        <w:pageBreakBefore w:val="0"/>
        <w:widowControl w:val="0"/>
        <w:kinsoku/>
        <w:wordWrap/>
        <w:overflowPunct/>
        <w:topLinePunct w:val="0"/>
        <w:autoSpaceDE/>
        <w:autoSpaceDN/>
        <w:bidi w:val="0"/>
        <w:adjustRightInd/>
        <w:snapToGrid/>
        <w:spacing w:line="560" w:lineRule="exact"/>
        <w:ind w:firstLine="900" w:firstLineChars="3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通过绩效评价，客观地评判项目的管理绩效，了解和掌握</w:t>
      </w:r>
      <w:r>
        <w:rPr>
          <w:rFonts w:hint="eastAsia" w:ascii="仿宋_GB2312" w:hAnsi="仿宋_GB2312" w:eastAsia="仿宋_GB2312" w:cs="仿宋_GB2312"/>
          <w:color w:val="auto"/>
          <w:kern w:val="0"/>
          <w:sz w:val="30"/>
          <w:szCs w:val="30"/>
        </w:rPr>
        <w:t>二中“双名工程”经费</w:t>
      </w:r>
      <w:r>
        <w:rPr>
          <w:rFonts w:hint="eastAsia" w:ascii="仿宋_GB2312" w:hAnsi="仿宋_GB2312" w:eastAsia="仿宋_GB2312" w:cs="仿宋_GB2312"/>
          <w:color w:val="auto"/>
          <w:kern w:val="0"/>
          <w:sz w:val="30"/>
          <w:szCs w:val="30"/>
          <w:lang w:eastAsia="zh-CN"/>
        </w:rPr>
        <w:t>，</w:t>
      </w:r>
      <w:r>
        <w:rPr>
          <w:rFonts w:hint="eastAsia" w:ascii="仿宋_GB2312" w:hAnsi="仿宋_GB2312" w:eastAsia="仿宋_GB2312" w:cs="仿宋_GB2312"/>
          <w:bCs/>
          <w:color w:val="auto"/>
          <w:sz w:val="30"/>
          <w:szCs w:val="30"/>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2、绩效评价对象：</w:t>
      </w:r>
    </w:p>
    <w:p>
      <w:pPr>
        <w:pageBreakBefore w:val="0"/>
        <w:widowControl w:val="0"/>
        <w:kinsoku/>
        <w:wordWrap/>
        <w:overflowPunct/>
        <w:topLinePunct w:val="0"/>
        <w:autoSpaceDE/>
        <w:autoSpaceDN/>
        <w:bidi w:val="0"/>
        <w:spacing w:line="560" w:lineRule="exact"/>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二中“双名工程”经费</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3、绩效评价范围：</w:t>
      </w:r>
    </w:p>
    <w:p>
      <w:pPr>
        <w:spacing w:line="56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本次评价从项目决策</w:t>
      </w:r>
      <w:r>
        <w:rPr>
          <w:rFonts w:hint="eastAsia" w:ascii="仿宋_GB2312" w:hAnsi="仿宋_GB2312" w:eastAsia="仿宋_GB2312" w:cs="仿宋_GB2312"/>
          <w:sz w:val="30"/>
          <w:szCs w:val="30"/>
          <w:lang w:val="en-US" w:eastAsia="zh-CN"/>
        </w:rPr>
        <w:t>（包括绩效目标、决策过程）</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项目管理（包括项目资金、项目实施）、项目产出（包括项目产出数量、产出质量、产出时效和产出成本）项目效益四个维度进行</w:t>
      </w:r>
      <w:r>
        <w:rPr>
          <w:rFonts w:hint="eastAsia" w:ascii="仿宋_GB2312" w:hAnsi="仿宋_GB2312" w:eastAsia="仿宋_GB2312" w:cs="仿宋_GB2312"/>
          <w:color w:val="auto"/>
          <w:kern w:val="0"/>
          <w:sz w:val="30"/>
          <w:szCs w:val="30"/>
        </w:rPr>
        <w:t>二</w:t>
      </w:r>
      <w:r>
        <w:rPr>
          <w:rFonts w:hint="eastAsia" w:ascii="仿宋_GB2312" w:hAnsi="仿宋_GB2312" w:eastAsia="仿宋_GB2312" w:cs="仿宋_GB2312"/>
          <w:color w:val="auto"/>
          <w:sz w:val="30"/>
          <w:szCs w:val="30"/>
          <w:lang w:val="en-US" w:eastAsia="zh-CN"/>
        </w:rPr>
        <w:t>中“双名工程”经费</w:t>
      </w:r>
      <w:r>
        <w:rPr>
          <w:rFonts w:hint="eastAsia" w:ascii="仿宋_GB2312" w:hAnsi="仿宋_GB2312" w:eastAsia="仿宋_GB2312" w:cs="仿宋_GB2312"/>
          <w:color w:val="auto"/>
          <w:sz w:val="30"/>
          <w:szCs w:val="30"/>
        </w:rPr>
        <w:t>（可填项目名称）评价，评价核心为专项资金的支出完成情况和效果。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1、绩效评价原则</w:t>
      </w:r>
    </w:p>
    <w:p>
      <w:pPr>
        <w:spacing w:line="600" w:lineRule="exact"/>
        <w:ind w:firstLine="640"/>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（一）科学公正。绩效评价应当运用科学合理的方法，按照规范的程序，对项目绩效进行客观、公正的反映。</w:t>
      </w:r>
    </w:p>
    <w:p>
      <w:pPr>
        <w:spacing w:line="600" w:lineRule="exact"/>
        <w:ind w:firstLine="640"/>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（三）激励约束。绩效评价结果应与预算安排、政策调整、改进管理实质性挂钩，体现奖优罚劣和激励相容导向，有效要安排、低效要压减、无效要问责。</w:t>
      </w:r>
    </w:p>
    <w:p>
      <w:pPr>
        <w:pageBreakBefore w:val="0"/>
        <w:widowControl w:val="0"/>
        <w:kinsoku/>
        <w:wordWrap/>
        <w:overflowPunct/>
        <w:topLinePunct w:val="0"/>
        <w:autoSpaceDE/>
        <w:autoSpaceDN/>
        <w:bidi w:val="0"/>
        <w:spacing w:line="560" w:lineRule="exact"/>
        <w:ind w:firstLine="600" w:firstLineChars="200"/>
        <w:jc w:val="left"/>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rPr>
        <w:t>（四）公开透明。绩效评价结果应依法依规公开，并自觉接受社会监督。</w:t>
      </w:r>
      <w:r>
        <w:rPr>
          <w:rFonts w:hint="eastAsia" w:ascii="仿宋_GB2312" w:hAnsi="仿宋_GB2312" w:eastAsia="仿宋_GB2312" w:cs="仿宋_GB2312"/>
          <w:sz w:val="30"/>
          <w:szCs w:val="30"/>
          <w:lang w:val="en-US" w:eastAsia="zh-CN"/>
        </w:rPr>
        <w:t>我</w:t>
      </w:r>
      <w:r>
        <w:rPr>
          <w:rFonts w:hint="eastAsia" w:ascii="仿宋_GB2312" w:hAnsi="仿宋_GB2312" w:eastAsia="仿宋_GB2312" w:cs="仿宋_GB2312"/>
          <w:bCs/>
          <w:color w:val="auto"/>
          <w:sz w:val="30"/>
          <w:szCs w:val="30"/>
          <w:lang w:val="en-US" w:eastAsia="zh-CN"/>
        </w:rPr>
        <w:t>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600" w:lineRule="exact"/>
        <w:ind w:firstLine="640"/>
        <w:rPr>
          <w:rFonts w:hint="eastAsia" w:ascii="仿宋_GB2312" w:hAnsi="仿宋_GB2312" w:eastAsia="仿宋_GB2312" w:cs="仿宋_GB2312"/>
          <w:color w:val="auto"/>
          <w:sz w:val="30"/>
          <w:szCs w:val="30"/>
        </w:rPr>
      </w:pPr>
    </w:p>
    <w:p>
      <w:pPr>
        <w:spacing w:line="360" w:lineRule="auto"/>
        <w:rPr>
          <w:rFonts w:hint="eastAsia" w:ascii="仿宋_GB2312" w:hAnsi="仿宋_GB2312" w:eastAsia="仿宋_GB2312" w:cs="仿宋_GB2312"/>
        </w:rPr>
      </w:pPr>
      <w:r>
        <w:rPr>
          <w:rFonts w:hint="eastAsia" w:ascii="仿宋_GB2312" w:hAnsi="仿宋_GB2312" w:eastAsia="仿宋_GB2312" w:cs="仿宋_GB2312"/>
        </w:rPr>
        <w:t>2、评价指标体系（附表说明）</w:t>
      </w:r>
    </w:p>
    <w:p>
      <w:pPr>
        <w:spacing w:line="560" w:lineRule="exact"/>
        <w:ind w:firstLine="300" w:firstLineChars="100"/>
        <w:rPr>
          <w:rFonts w:hint="eastAsia" w:ascii="仿宋_GB2312" w:hAnsi="仿宋_GB2312" w:eastAsia="仿宋_GB2312" w:cs="仿宋_GB2312"/>
          <w:b w:val="0"/>
          <w:bCs w:val="0"/>
          <w:sz w:val="30"/>
          <w:szCs w:val="24"/>
        </w:rPr>
      </w:pPr>
      <w:r>
        <w:rPr>
          <w:rFonts w:hint="eastAsia" w:ascii="仿宋_GB2312" w:hAnsi="仿宋_GB2312" w:eastAsia="仿宋_GB2312" w:cs="仿宋_GB2312"/>
          <w:b w:val="0"/>
          <w:bCs w:val="0"/>
          <w:sz w:val="30"/>
          <w:szCs w:val="24"/>
          <w:lang w:eastAsia="zh-CN"/>
        </w:rPr>
        <w:t>焉耆县第二中学</w:t>
      </w:r>
      <w:r>
        <w:rPr>
          <w:rFonts w:hint="eastAsia" w:ascii="仿宋_GB2312" w:hAnsi="仿宋_GB2312" w:eastAsia="仿宋_GB2312" w:cs="仿宋_GB2312"/>
          <w:b w:val="0"/>
          <w:bCs w:val="0"/>
          <w:sz w:val="30"/>
          <w:szCs w:val="24"/>
        </w:rPr>
        <w:t>“双名工程”经费项目支出绩效评价指标体系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rPr>
                <w:rFonts w:hint="eastAsia" w:eastAsia="仿宋_GB2312"/>
                <w:lang w:val="en-US" w:eastAsia="zh-CN"/>
              </w:rPr>
            </w:pPr>
            <w:r>
              <w:rPr>
                <w:rFonts w:hint="eastAsia"/>
                <w:sz w:val="22"/>
                <w:szCs w:val="22"/>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rPr>
                <w:rFonts w:hint="eastAsia" w:eastAsia="仿宋_GB2312"/>
                <w:lang w:val="en-US" w:eastAsia="zh-CN"/>
              </w:rPr>
            </w:pPr>
            <w:r>
              <w:rPr>
                <w:rFonts w:hint="eastAsia"/>
                <w:sz w:val="22"/>
                <w:szCs w:val="22"/>
                <w:lang w:val="en-US" w:eastAsia="zh-CN"/>
              </w:rPr>
              <w:t>5</w:t>
            </w:r>
          </w:p>
        </w:tc>
        <w:tc>
          <w:tcPr>
            <w:tcW w:w="874" w:type="dxa"/>
            <w:shd w:val="clear" w:color="auto" w:fill="FFFFFF"/>
            <w:vAlign w:val="top"/>
          </w:tcPr>
          <w:p>
            <w:pPr>
              <w:spacing w:line="600" w:lineRule="auto"/>
              <w:jc w:val="center"/>
            </w:pPr>
            <w:r>
              <w:rPr>
                <w:rFonts w:hint="eastAsia"/>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lang w:val="en-US" w:eastAsia="zh-CN"/>
              </w:rPr>
            </w:pPr>
            <w:r>
              <w:rPr>
                <w:rFonts w:hint="eastAsia"/>
                <w:sz w:val="22"/>
                <w:szCs w:val="22"/>
                <w:lang w:val="en-US" w:eastAsia="zh-CN"/>
              </w:rPr>
              <w:t>2.5</w:t>
            </w:r>
          </w:p>
        </w:tc>
        <w:tc>
          <w:tcPr>
            <w:tcW w:w="874" w:type="dxa"/>
            <w:shd w:val="clear" w:color="000000" w:fill="FFFFFF"/>
            <w:vAlign w:val="top"/>
          </w:tcPr>
          <w:p>
            <w:pPr>
              <w:spacing w:line="600" w:lineRule="auto"/>
              <w:jc w:val="center"/>
            </w:pPr>
            <w:r>
              <w:rPr>
                <w:rFonts w:hint="eastAsia"/>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rPr>
                <w:rFonts w:hint="default" w:eastAsia="仿宋_GB2312"/>
                <w:lang w:val="en-US" w:eastAsia="zh-CN"/>
              </w:rPr>
            </w:pPr>
            <w:r>
              <w:rPr>
                <w:rFonts w:hint="eastAsia"/>
                <w:sz w:val="22"/>
                <w:szCs w:val="22"/>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sz w:val="22"/>
                <w:szCs w:val="22"/>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sz w:val="22"/>
                <w:szCs w:val="22"/>
                <w:lang w:val="en-US" w:eastAsia="zh-CN"/>
              </w:rPr>
              <w:t>2.5</w:t>
            </w:r>
          </w:p>
        </w:tc>
        <w:tc>
          <w:tcPr>
            <w:tcW w:w="874" w:type="dxa"/>
            <w:shd w:val="clear" w:color="auto" w:fill="FFFFFF"/>
            <w:vAlign w:val="top"/>
          </w:tcPr>
          <w:p>
            <w:pPr>
              <w:spacing w:line="600" w:lineRule="auto"/>
              <w:jc w:val="center"/>
            </w:pPr>
            <w:r>
              <w:rPr>
                <w:rFonts w:hint="eastAsia"/>
                <w:sz w:val="22"/>
                <w:szCs w:val="22"/>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rPr>
                <w:rFonts w:hint="eastAsia" w:eastAsia="仿宋_GB231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rPr>
                <w:rFonts w:hint="eastAsia" w:eastAsia="仿宋_GB2312"/>
                <w:lang w:val="en-US" w:eastAsia="zh-CN"/>
              </w:rPr>
            </w:pPr>
            <w:r>
              <w:rPr>
                <w:rFonts w:hint="eastAsia"/>
                <w:sz w:val="22"/>
                <w:szCs w:val="22"/>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lang w:val="en-US" w:eastAsia="zh-CN"/>
              </w:rPr>
            </w:pPr>
            <w:r>
              <w:rPr>
                <w:rFonts w:hint="eastAsia"/>
                <w:sz w:val="22"/>
                <w:szCs w:val="22"/>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rPr>
                <w:rFonts w:hint="default" w:eastAsia="仿宋_GB2312"/>
                <w:lang w:val="en-US" w:eastAsia="zh-CN"/>
              </w:rPr>
            </w:pPr>
            <w:r>
              <w:rPr>
                <w:rFonts w:hint="eastAsia"/>
                <w:sz w:val="22"/>
                <w:szCs w:val="22"/>
                <w:lang w:val="en-US" w:eastAsia="zh-CN"/>
              </w:rPr>
              <w:t>10</w:t>
            </w:r>
          </w:p>
        </w:tc>
        <w:tc>
          <w:tcPr>
            <w:tcW w:w="874" w:type="dxa"/>
            <w:shd w:val="clear" w:color="000000" w:fill="FFFFFF"/>
            <w:vAlign w:val="top"/>
          </w:tcPr>
          <w:p>
            <w:pPr>
              <w:spacing w:line="600" w:lineRule="auto"/>
              <w:jc w:val="center"/>
            </w:pPr>
            <w:r>
              <w:rPr>
                <w:rFonts w:hint="eastAsia"/>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rPr>
                <w:rFonts w:hint="default" w:eastAsia="仿宋_GB2312"/>
                <w:lang w:val="en-US" w:eastAsia="zh-CN"/>
              </w:rPr>
            </w:pPr>
            <w:r>
              <w:rPr>
                <w:rFonts w:hint="eastAsia"/>
                <w:sz w:val="22"/>
                <w:szCs w:val="22"/>
                <w:lang w:val="en-US" w:eastAsia="zh-CN"/>
              </w:rPr>
              <w:t>10</w:t>
            </w:r>
          </w:p>
        </w:tc>
        <w:tc>
          <w:tcPr>
            <w:tcW w:w="874" w:type="dxa"/>
            <w:shd w:val="clear" w:color="000000" w:fill="FFFFFF"/>
            <w:vAlign w:val="top"/>
          </w:tcPr>
          <w:p>
            <w:pPr>
              <w:spacing w:line="600" w:lineRule="auto"/>
              <w:jc w:val="center"/>
            </w:pPr>
            <w:r>
              <w:rPr>
                <w:rFonts w:hint="eastAsia"/>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rPr>
                <w:rFonts w:hint="default" w:eastAsia="仿宋_GB2312"/>
                <w:lang w:val="en-US" w:eastAsia="zh-CN"/>
              </w:rPr>
            </w:pPr>
            <w:r>
              <w:rPr>
                <w:rFonts w:hint="eastAsia"/>
                <w:sz w:val="22"/>
                <w:szCs w:val="22"/>
                <w:lang w:val="en-US" w:eastAsia="zh-CN"/>
              </w:rPr>
              <w:t>10</w:t>
            </w:r>
          </w:p>
        </w:tc>
        <w:tc>
          <w:tcPr>
            <w:tcW w:w="874" w:type="dxa"/>
            <w:shd w:val="clear" w:color="000000" w:fill="FFFFFF"/>
            <w:vAlign w:val="top"/>
          </w:tcPr>
          <w:p>
            <w:pPr>
              <w:spacing w:line="600" w:lineRule="auto"/>
              <w:jc w:val="center"/>
            </w:pPr>
            <w:r>
              <w:rPr>
                <w:rFonts w:hint="eastAsia"/>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rPr>
                <w:rFonts w:hint="default" w:eastAsia="仿宋_GB2312"/>
                <w:lang w:val="en-US" w:eastAsia="zh-CN"/>
              </w:rPr>
            </w:pPr>
            <w:r>
              <w:rPr>
                <w:rFonts w:hint="eastAsia"/>
                <w:sz w:val="22"/>
                <w:szCs w:val="22"/>
                <w:lang w:val="en-US" w:eastAsia="zh-CN"/>
              </w:rPr>
              <w:t>10</w:t>
            </w:r>
          </w:p>
        </w:tc>
        <w:tc>
          <w:tcPr>
            <w:tcW w:w="874" w:type="dxa"/>
            <w:shd w:val="clear" w:color="auto" w:fill="FFFFFF"/>
            <w:vAlign w:val="top"/>
          </w:tcPr>
          <w:p>
            <w:pPr>
              <w:spacing w:line="600" w:lineRule="auto"/>
              <w:jc w:val="center"/>
            </w:pPr>
            <w:r>
              <w:rPr>
                <w:rFonts w:hint="eastAsia"/>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rPr>
                <w:rFonts w:hint="default" w:eastAsia="仿宋_GB2312"/>
                <w:lang w:val="en-US" w:eastAsia="zh-CN"/>
              </w:rPr>
            </w:pPr>
            <w:r>
              <w:rPr>
                <w:rFonts w:hint="eastAsia"/>
                <w:sz w:val="22"/>
                <w:szCs w:val="22"/>
                <w:lang w:val="en-US" w:eastAsia="zh-CN"/>
              </w:rPr>
              <w:t>10</w:t>
            </w:r>
          </w:p>
        </w:tc>
        <w:tc>
          <w:tcPr>
            <w:tcW w:w="874" w:type="dxa"/>
            <w:shd w:val="clear" w:color="auto" w:fill="FFFFFF"/>
            <w:vAlign w:val="top"/>
          </w:tcPr>
          <w:p>
            <w:pPr>
              <w:spacing w:line="600" w:lineRule="auto"/>
              <w:jc w:val="center"/>
            </w:pPr>
            <w:r>
              <w:rPr>
                <w:rFonts w:hint="eastAsia"/>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rPr>
                <w:rFonts w:hint="eastAsia" w:eastAsia="仿宋_GB2312"/>
                <w:lang w:val="en-US" w:eastAsia="zh-CN"/>
              </w:rPr>
            </w:pPr>
            <w:r>
              <w:rPr>
                <w:rFonts w:hint="eastAsia"/>
                <w:sz w:val="22"/>
                <w:szCs w:val="22"/>
                <w:lang w:val="en-US" w:eastAsia="zh-CN"/>
              </w:rPr>
              <w:t>10</w:t>
            </w:r>
          </w:p>
        </w:tc>
        <w:tc>
          <w:tcPr>
            <w:tcW w:w="874" w:type="dxa"/>
            <w:shd w:val="clear" w:color="000000" w:fill="FFFFFF"/>
            <w:vAlign w:val="top"/>
          </w:tcPr>
          <w:p>
            <w:pPr>
              <w:spacing w:line="600" w:lineRule="auto"/>
              <w:jc w:val="center"/>
            </w:pPr>
            <w:r>
              <w:rPr>
                <w:rFonts w:hint="eastAsia"/>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vAlign w:val="top"/>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3、评价方法</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bCs/>
          <w:color w:val="auto"/>
          <w:sz w:val="30"/>
          <w:szCs w:val="30"/>
        </w:rP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w:t>
      </w:r>
    </w:p>
    <w:p>
      <w:pPr>
        <w:spacing w:line="360" w:lineRule="auto"/>
        <w:rPr>
          <w:rFonts w:hint="eastAsia" w:ascii="仿宋_GB2312" w:hAnsi="仿宋_GB2312" w:eastAsia="仿宋_GB2312" w:cs="仿宋_GB2312"/>
          <w:sz w:val="30"/>
          <w:szCs w:val="30"/>
        </w:rPr>
      </w:pP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4、评价标准</w:t>
      </w:r>
    </w:p>
    <w:p>
      <w:pPr>
        <w:spacing w:line="360" w:lineRule="auto"/>
        <w:ind w:firstLine="600" w:firstLineChars="200"/>
        <w:jc w:val="left"/>
        <w:rPr>
          <w:rFonts w:hint="eastAsia" w:ascii="仿宋_GB2312" w:hAnsi="仿宋_GB2312" w:eastAsia="仿宋_GB2312" w:cs="仿宋_GB2312"/>
          <w:sz w:val="30"/>
          <w:szCs w:val="30"/>
          <w:lang w:eastAsia="zh-CN"/>
        </w:rPr>
      </w:pPr>
      <w:bookmarkStart w:id="6" w:name="_Toc68703833"/>
      <w:r>
        <w:rPr>
          <w:rFonts w:hint="eastAsia" w:ascii="仿宋_GB2312" w:hAnsi="仿宋_GB2312" w:eastAsia="仿宋_GB2312" w:cs="仿宋_GB2312"/>
          <w:sz w:val="30"/>
          <w:szCs w:val="30"/>
          <w:lang w:eastAsia="zh-CN"/>
        </w:rPr>
        <w:t>本次项</w:t>
      </w:r>
      <w:r>
        <w:rPr>
          <w:rFonts w:hint="eastAsia" w:ascii="仿宋_GB2312" w:hAnsi="仿宋_GB2312" w:eastAsia="仿宋_GB2312" w:cs="仿宋_GB2312"/>
          <w:sz w:val="30"/>
          <w:szCs w:val="30"/>
          <w:lang w:val="en-US" w:eastAsia="zh-CN"/>
        </w:rPr>
        <w:t>目支出绩效自评采用计划标准，原因是：采用计划标准能够确保目标有序实现，提高工作效率，降低风险，增强对不确定性的应对能力。</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sz w:val="30"/>
          <w:szCs w:val="3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lang w:val="en-US" w:eastAsia="zh-CN"/>
        </w:rPr>
        <w:t>1.</w:t>
      </w:r>
      <w:r>
        <w:rPr>
          <w:rFonts w:hint="eastAsia" w:ascii="仿宋_GB2312" w:hAnsi="仿宋_GB2312" w:eastAsia="仿宋_GB2312" w:cs="仿宋_GB2312"/>
          <w:bCs/>
          <w:color w:val="auto"/>
          <w:sz w:val="30"/>
          <w:szCs w:val="30"/>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Cs/>
          <w:color w:val="auto"/>
          <w:sz w:val="30"/>
          <w:szCs w:val="30"/>
        </w:rPr>
      </w:pPr>
      <w:r>
        <w:rPr>
          <w:rFonts w:hint="eastAsia" w:ascii="仿宋_GB2312" w:hAnsi="仿宋_GB2312" w:eastAsia="仿宋_GB2312" w:cs="仿宋_GB2312"/>
          <w:bCs/>
          <w:color w:val="auto"/>
          <w:sz w:val="30"/>
          <w:szCs w:val="30"/>
          <w:lang w:val="en-US" w:eastAsia="zh-CN"/>
        </w:rPr>
        <w:t>2.</w:t>
      </w:r>
      <w:r>
        <w:rPr>
          <w:rFonts w:hint="eastAsia" w:ascii="仿宋_GB2312" w:hAnsi="仿宋_GB2312" w:eastAsia="仿宋_GB2312" w:cs="仿宋_GB2312"/>
          <w:bCs/>
          <w:color w:val="auto"/>
          <w:sz w:val="30"/>
          <w:szCs w:val="30"/>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bCs/>
          <w:color w:val="auto"/>
          <w:sz w:val="30"/>
          <w:szCs w:val="30"/>
          <w:lang w:val="en-US" w:eastAsia="zh-CN"/>
        </w:rPr>
        <w:t>3.</w:t>
      </w:r>
      <w:r>
        <w:rPr>
          <w:rFonts w:hint="eastAsia" w:ascii="仿宋_GB2312" w:hAnsi="仿宋_GB2312" w:eastAsia="仿宋_GB2312" w:cs="仿宋_GB2312"/>
          <w:bCs/>
          <w:color w:val="auto"/>
          <w:sz w:val="30"/>
          <w:szCs w:val="30"/>
        </w:rPr>
        <w:t>分析评价。根据收集梳理的资料围绕项目立项、资金落实、业务管理、财务管理、项目产出、项目效益等内容，对照已确定的绩效评价指标进行详细全面的分析评价，逐项打分并形成绩效评价最终结果。</w:t>
      </w:r>
    </w:p>
    <w:p>
      <w:pPr>
        <w:pStyle w:val="2"/>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hint="eastAsia" w:ascii="仿宋_GB2312" w:hAnsi="仿宋_GB2312" w:eastAsia="仿宋_GB2312" w:cs="仿宋_GB2312"/>
          <w:b w:val="0"/>
          <w:bCs w:val="0"/>
          <w:sz w:val="30"/>
          <w:szCs w:val="30"/>
        </w:rPr>
      </w:pPr>
      <w:bookmarkStart w:id="8" w:name="_Toc68703835"/>
      <w:r>
        <w:rPr>
          <w:rFonts w:hint="eastAsia" w:ascii="仿宋_GB2312" w:hAnsi="仿宋_GB2312" w:eastAsia="仿宋_GB2312" w:cs="仿宋_GB2312"/>
          <w:b w:val="0"/>
          <w:bCs w:val="0"/>
          <w:sz w:val="30"/>
          <w:szCs w:val="30"/>
        </w:rPr>
        <w:t>（一）综合评价情况</w:t>
      </w:r>
      <w:bookmarkEnd w:id="8"/>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r>
        <w:rPr>
          <w:rFonts w:hint="eastAsia" w:ascii="仿宋_GB2312" w:hAnsi="仿宋_GB2312" w:eastAsia="仿宋_GB2312" w:cs="仿宋_GB2312"/>
          <w:bCs/>
          <w:sz w:val="30"/>
          <w:szCs w:val="30"/>
          <w:lang w:val="en-US" w:eastAsia="zh-CN"/>
        </w:rP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w:t>
      </w:r>
    </w:p>
    <w:p>
      <w:pPr>
        <w:spacing w:line="560" w:lineRule="exact"/>
        <w:ind w:firstLine="300" w:firstLineChars="100"/>
        <w:rPr>
          <w:rFonts w:hint="eastAsia" w:ascii="仿宋_GB2312" w:hAnsi="仿宋_GB2312" w:eastAsia="仿宋_GB2312" w:cs="仿宋_GB2312"/>
          <w:color w:val="auto"/>
          <w:sz w:val="30"/>
          <w:szCs w:val="30"/>
        </w:rPr>
      </w:pPr>
      <w:r>
        <w:rPr>
          <w:rFonts w:hint="eastAsia" w:ascii="仿宋_GB2312" w:hAnsi="仿宋_GB2312" w:eastAsia="仿宋_GB2312" w:cs="仿宋_GB2312"/>
          <w:kern w:val="0"/>
          <w:sz w:val="30"/>
          <w:szCs w:val="30"/>
        </w:rPr>
        <w:t xml:space="preserve"> </w:t>
      </w:r>
      <w:r>
        <w:rPr>
          <w:rFonts w:hint="eastAsia" w:ascii="仿宋_GB2312" w:hAnsi="仿宋_GB2312" w:eastAsia="仿宋_GB2312" w:cs="仿宋_GB2312"/>
          <w:kern w:val="0"/>
          <w:sz w:val="30"/>
          <w:szCs w:val="30"/>
          <w:lang w:val="en-US" w:eastAsia="zh-CN"/>
        </w:rPr>
        <w:t xml:space="preserve">      </w:t>
      </w:r>
      <w:r>
        <w:rPr>
          <w:rFonts w:hint="eastAsia" w:ascii="仿宋_GB2312" w:hAnsi="仿宋_GB2312" w:eastAsia="仿宋_GB2312" w:cs="仿宋_GB2312"/>
          <w:kern w:val="0"/>
          <w:sz w:val="30"/>
          <w:szCs w:val="30"/>
        </w:rPr>
        <w:t>二中“双名工程”经费</w:t>
      </w:r>
      <w:r>
        <w:rPr>
          <w:rFonts w:hint="eastAsia" w:ascii="仿宋_GB2312" w:hAnsi="仿宋_GB2312" w:eastAsia="仿宋_GB2312" w:cs="仿宋_GB2312"/>
          <w:color w:val="auto"/>
          <w:sz w:val="30"/>
          <w:szCs w:val="30"/>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r>
    </w:tbl>
    <w:p>
      <w:pPr>
        <w:pStyle w:val="4"/>
        <w:numPr>
          <w:ilvl w:val="0"/>
          <w:numId w:val="1"/>
        </w:numPr>
        <w:spacing w:line="360" w:lineRule="auto"/>
        <w:rPr>
          <w:rFonts w:hint="eastAsia" w:ascii="仿宋_GB2312" w:eastAsia="仿宋_GB2312"/>
          <w:b w:val="0"/>
          <w:bCs w:val="0"/>
        </w:rPr>
      </w:pPr>
      <w:bookmarkStart w:id="9" w:name="_Toc68703836"/>
      <w:r>
        <w:rPr>
          <w:rFonts w:hint="eastAsia" w:ascii="仿宋_GB2312" w:eastAsia="仿宋_GB2312"/>
          <w:b w:val="0"/>
          <w:bCs w:val="0"/>
        </w:rPr>
        <w:t>评价结论</w:t>
      </w:r>
      <w:bookmarkEnd w:id="9"/>
    </w:p>
    <w:p>
      <w:pPr>
        <w:pStyle w:val="4"/>
        <w:numPr>
          <w:ilvl w:val="0"/>
          <w:numId w:val="0"/>
        </w:numPr>
        <w:spacing w:line="360" w:lineRule="auto"/>
        <w:ind w:firstLine="600" w:firstLineChars="200"/>
        <w:rPr>
          <w:rFonts w:hint="eastAsia" w:ascii="仿宋_GB2312" w:hAnsi="仿宋_GB2312" w:eastAsia="仿宋_GB2312" w:cs="仿宋_GB2312"/>
          <w:b w:val="0"/>
          <w:bCs w:val="0"/>
          <w:color w:val="auto"/>
          <w:sz w:val="30"/>
          <w:szCs w:val="30"/>
        </w:rPr>
      </w:pPr>
      <w:r>
        <w:rPr>
          <w:rFonts w:hint="eastAsia" w:ascii="仿宋_GB2312" w:hAnsi="仿宋_GB2312" w:eastAsia="仿宋_GB2312" w:cs="仿宋_GB2312"/>
          <w:b w:val="0"/>
          <w:bCs w:val="0"/>
          <w:color w:val="auto"/>
          <w:sz w:val="30"/>
          <w:szCs w:val="30"/>
        </w:rPr>
        <w:t>本项目的项目决策、项目过程、项目产出、项目效益均达到了预期要求，最终得分为100分，项目达成年度指标。</w:t>
      </w:r>
    </w:p>
    <w:p>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line="360" w:lineRule="auto"/>
        <w:rPr>
          <w:rFonts w:hint="eastAsia" w:ascii="仿宋_GB2312" w:hAnsi="仿宋_GB2312" w:eastAsia="仿宋_GB2312" w:cs="仿宋_GB2312"/>
          <w:b w:val="0"/>
          <w:bCs w:val="0"/>
          <w:sz w:val="30"/>
          <w:szCs w:val="30"/>
        </w:rPr>
      </w:pPr>
      <w:bookmarkStart w:id="11" w:name="_Toc68703838"/>
      <w:r>
        <w:rPr>
          <w:rFonts w:hint="eastAsia" w:ascii="仿宋_GB2312" w:hAnsi="仿宋_GB2312" w:eastAsia="仿宋_GB2312" w:cs="仿宋_GB2312"/>
          <w:b w:val="0"/>
          <w:bCs w:val="0"/>
          <w:sz w:val="30"/>
          <w:szCs w:val="30"/>
        </w:rPr>
        <w:t>（一）项目决策情况。</w:t>
      </w:r>
      <w:bookmarkEnd w:id="11"/>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1、立项依据充分性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kern w:val="2"/>
          <w:sz w:val="30"/>
          <w:szCs w:val="30"/>
          <w:lang w:val="en-US" w:eastAsia="zh-CN" w:bidi="ar-SA"/>
        </w:rPr>
      </w:pPr>
      <w:r>
        <w:rPr>
          <w:rFonts w:hint="eastAsia" w:ascii="仿宋_GB2312" w:hAnsi="仿宋_GB2312" w:eastAsia="仿宋_GB2312" w:cs="仿宋_GB2312"/>
          <w:b w:val="0"/>
          <w:bCs/>
          <w:kern w:val="2"/>
          <w:sz w:val="30"/>
          <w:szCs w:val="30"/>
          <w:lang w:val="en-US" w:eastAsia="zh-CN" w:bidi="ar-SA"/>
        </w:rPr>
        <w:t>项目立项是否符合国家法律法规、国民经济发展规划和相关政策；依据《巴州北四县“双名工程”实施方案》； 《巴州北四县“双名工程”实施方案》编制项目实施方案，该项目为教育行业项目，由教育部门实施，实施单位为焉耆县第二中学，监督管理单位为焉耆县教育和科学技术局。拨款依据为：巴财教【2022】34号文。</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2、立项程序规范性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kern w:val="2"/>
          <w:sz w:val="30"/>
          <w:szCs w:val="30"/>
          <w:lang w:val="en-US" w:eastAsia="zh-CN" w:bidi="ar-SA"/>
        </w:rPr>
      </w:pPr>
      <w:r>
        <w:rPr>
          <w:rFonts w:hint="eastAsia" w:ascii="仿宋_GB2312" w:hAnsi="仿宋_GB2312" w:eastAsia="仿宋_GB2312" w:cs="仿宋_GB2312"/>
          <w:b w:val="0"/>
          <w:bCs/>
          <w:kern w:val="2"/>
          <w:sz w:val="30"/>
          <w:szCs w:val="30"/>
          <w:lang w:val="en-US" w:eastAsia="zh-CN" w:bidi="ar-SA"/>
        </w:rPr>
        <w:t>根据教育部门的《巴州北四县“双名工程”实施方案》，该项目由具有专业资质的北师大团队完成了《巴州北四县“双名工程”实施方案》。并经焉耆县教育和科学技术局协调学校共同完成，并上报上级主管部门审批，审批文件、材料符合相关要求，事前已经过必要的可行性研究、专家论证、风险评估、绩效评估、集体决策。</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3、绩效目标合理性</w:t>
      </w:r>
    </w:p>
    <w:p>
      <w:pPr>
        <w:spacing w:line="560" w:lineRule="exact"/>
        <w:ind w:firstLine="300" w:firstLineChars="100"/>
        <w:rPr>
          <w:rFonts w:hint="eastAsia" w:ascii="仿宋_GB2312" w:hAnsi="仿宋_GB2312" w:eastAsia="仿宋_GB2312" w:cs="仿宋_GB2312"/>
          <w:b w:val="0"/>
          <w:bCs/>
          <w:kern w:val="2"/>
          <w:sz w:val="30"/>
          <w:szCs w:val="30"/>
          <w:lang w:val="en-US" w:eastAsia="zh-CN" w:bidi="ar-SA"/>
        </w:rPr>
      </w:pPr>
      <w:r>
        <w:rPr>
          <w:rFonts w:hint="eastAsia" w:ascii="仿宋_GB2312" w:hAnsi="仿宋_GB2312" w:eastAsia="仿宋_GB2312" w:cs="仿宋_GB2312"/>
          <w:b w:val="0"/>
          <w:bCs/>
          <w:kern w:val="2"/>
          <w:sz w:val="30"/>
          <w:szCs w:val="30"/>
          <w:lang w:val="en-US" w:eastAsia="zh-CN" w:bidi="ar-SA"/>
        </w:rPr>
        <w:t>2023项目设立了项目绩效目标，与二中“双名工程”经费的实施具有相关性，项目的预期产出效益和效果也均能符合正常的业绩水平，并且与预算确定的项目投资额或资金量相匹配。</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4、绩效指标明确性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bookmarkStart w:id="12" w:name="_Hlk68699917"/>
      <w:r>
        <w:rPr>
          <w:rFonts w:hint="eastAsia" w:ascii="仿宋_GB2312" w:hAnsi="仿宋_GB2312" w:eastAsia="仿宋_GB2312" w:cs="仿宋_GB2312"/>
          <w:b w:val="0"/>
          <w:bCs/>
          <w:kern w:val="2"/>
          <w:sz w:val="30"/>
          <w:szCs w:val="30"/>
          <w:lang w:val="en-US" w:eastAsia="zh-CN" w:bidi="ar-SA"/>
        </w:rPr>
        <w:t>2023 年项目将项目绩效目标细化分解为具体的绩效指标，一级指标共4条，二级指标共6条，三级指标共7条，其中量化指标条数共9条，所有绩效指标均通过清晰、可衡量的指标值予以体现，并且做到了与项目目标任务数或计划数相对应。</w:t>
      </w:r>
      <w:bookmarkEnd w:id="12"/>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5、预算编制科学性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kern w:val="2"/>
          <w:sz w:val="30"/>
          <w:szCs w:val="30"/>
          <w:lang w:val="en-US" w:eastAsia="zh-CN" w:bidi="ar-SA"/>
        </w:rPr>
      </w:pPr>
      <w:r>
        <w:rPr>
          <w:rFonts w:hint="eastAsia" w:ascii="仿宋_GB2312" w:hAnsi="仿宋_GB2312" w:eastAsia="仿宋_GB2312" w:cs="仿宋_GB2312"/>
          <w:b w:val="0"/>
          <w:bCs/>
          <w:kern w:val="2"/>
          <w:sz w:val="30"/>
          <w:szCs w:val="30"/>
          <w:lang w:val="en-US" w:eastAsia="zh-CN" w:bidi="ar-SA"/>
        </w:rPr>
        <w:t>该项目概算是依据教育部门《巴州北四县“双名工程”实施方案》进行编制，并已经自治州教育局审查，巴州教育局审批，预算金额与项目实施内容项目匹配。</w:t>
      </w:r>
    </w:p>
    <w:p>
      <w:pPr>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6、资金分配合理性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FF0000"/>
          <w:sz w:val="30"/>
          <w:szCs w:val="30"/>
        </w:rPr>
      </w:pPr>
      <w:bookmarkStart w:id="13" w:name="_Toc68703839"/>
      <w:r>
        <w:rPr>
          <w:rFonts w:hint="eastAsia" w:ascii="仿宋_GB2312" w:hAnsi="仿宋_GB2312" w:eastAsia="仿宋_GB2312" w:cs="仿宋_GB2312"/>
          <w:b w:val="0"/>
          <w:bCs/>
          <w:kern w:val="2"/>
          <w:sz w:val="30"/>
          <w:szCs w:val="30"/>
          <w:lang w:val="en-US" w:eastAsia="zh-CN" w:bidi="ar-SA"/>
        </w:rPr>
        <w:t>该项目预算资金分配依据自治县财政局巴财教【2022】34号文 进行分配，依据充分，资金分配额度合理，与项目相适应。</w:t>
      </w:r>
    </w:p>
    <w:p>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3"/>
    </w:p>
    <w:p>
      <w:pPr>
        <w:spacing w:line="360" w:lineRule="auto"/>
        <w:rPr>
          <w:rFonts w:hint="eastAsia" w:ascii="仿宋_GB2312" w:hAnsi="仿宋_GB2312" w:eastAsia="仿宋_GB2312" w:cs="仿宋_GB2312"/>
        </w:rPr>
      </w:pPr>
      <w:r>
        <w:rPr>
          <w:rFonts w:hint="eastAsia" w:ascii="仿宋_GB2312" w:hAnsi="仿宋_GB2312" w:eastAsia="仿宋_GB2312" w:cs="仿宋_GB2312"/>
        </w:rPr>
        <w:t>1、资金到位率：</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kern w:val="2"/>
          <w:sz w:val="30"/>
          <w:szCs w:val="30"/>
          <w:lang w:val="en-US" w:eastAsia="zh-CN" w:bidi="ar-SA"/>
        </w:rPr>
      </w:pPr>
      <w:r>
        <w:rPr>
          <w:rFonts w:hint="eastAsia" w:ascii="仿宋_GB2312" w:hAnsi="仿宋_GB2312" w:eastAsia="仿宋_GB2312" w:cs="仿宋_GB2312"/>
          <w:b w:val="0"/>
          <w:bCs/>
          <w:kern w:val="2"/>
          <w:sz w:val="30"/>
          <w:szCs w:val="30"/>
          <w:lang w:val="en-US" w:eastAsia="zh-CN" w:bidi="ar-SA"/>
        </w:rPr>
        <w:t>实际到位资金10.8万元，预算资金10.8万元，资金到位率100%.</w:t>
      </w:r>
    </w:p>
    <w:p>
      <w:pPr>
        <w:spacing w:line="360" w:lineRule="auto"/>
        <w:rPr>
          <w:rFonts w:hint="eastAsia" w:ascii="仿宋_GB2312" w:hAnsi="仿宋_GB2312" w:eastAsia="仿宋_GB2312" w:cs="仿宋_GB2312"/>
        </w:rPr>
      </w:pPr>
      <w:r>
        <w:rPr>
          <w:rFonts w:hint="eastAsia" w:ascii="仿宋_GB2312" w:hAnsi="仿宋_GB2312" w:eastAsia="仿宋_GB2312" w:cs="仿宋_GB2312"/>
        </w:rPr>
        <w:t>2、预算执行率</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kern w:val="2"/>
          <w:sz w:val="30"/>
          <w:szCs w:val="30"/>
          <w:lang w:val="en-US" w:eastAsia="zh-CN" w:bidi="ar-SA"/>
        </w:rPr>
      </w:pPr>
      <w:r>
        <w:rPr>
          <w:rFonts w:hint="eastAsia" w:ascii="仿宋_GB2312" w:hAnsi="仿宋_GB2312" w:eastAsia="仿宋_GB2312" w:cs="仿宋_GB2312"/>
          <w:b w:val="0"/>
          <w:bCs/>
          <w:kern w:val="2"/>
          <w:sz w:val="30"/>
          <w:szCs w:val="30"/>
          <w:lang w:val="en-US" w:eastAsia="zh-CN" w:bidi="ar-SA"/>
        </w:rPr>
        <w:t>年初预算数10.8万元，全年预算数10.8万元，全年执行数     10.8万元，预算执行率为100%。</w:t>
      </w:r>
    </w:p>
    <w:p>
      <w:pPr>
        <w:spacing w:line="360" w:lineRule="auto"/>
        <w:rPr>
          <w:rFonts w:hint="eastAsia" w:ascii="仿宋_GB2312" w:hAnsi="仿宋_GB2312" w:eastAsia="仿宋_GB2312" w:cs="仿宋_GB2312"/>
        </w:rPr>
      </w:pPr>
      <w:r>
        <w:rPr>
          <w:rFonts w:hint="eastAsia" w:ascii="仿宋_GB2312" w:hAnsi="仿宋_GB2312" w:eastAsia="仿宋_GB2312" w:cs="仿宋_GB2312"/>
        </w:rPr>
        <w:t>3、资金使用合规性</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333333"/>
          <w:sz w:val="30"/>
          <w:szCs w:val="30"/>
        </w:rPr>
      </w:pPr>
      <w:r>
        <w:rPr>
          <w:rFonts w:hint="eastAsia" w:ascii="仿宋_GB2312" w:hAnsi="仿宋_GB2312" w:eastAsia="仿宋_GB2312" w:cs="仿宋_GB2312"/>
          <w:color w:val="333333"/>
          <w:sz w:val="30"/>
          <w:szCs w:val="30"/>
        </w:rPr>
        <w:t>我单位根据</w:t>
      </w:r>
      <w:r>
        <w:rPr>
          <w:rFonts w:hint="eastAsia" w:ascii="仿宋_GB2312" w:hAnsi="仿宋_GB2312" w:eastAsia="仿宋_GB2312" w:cs="仿宋_GB2312"/>
          <w:b w:val="0"/>
          <w:bCs/>
          <w:kern w:val="2"/>
          <w:sz w:val="30"/>
          <w:szCs w:val="30"/>
          <w:lang w:val="en-US" w:eastAsia="zh-CN" w:bidi="ar-SA"/>
        </w:rPr>
        <w:t>《巴州北四县“双名工程”实施方案》</w:t>
      </w:r>
      <w:r>
        <w:rPr>
          <w:rFonts w:hint="eastAsia" w:ascii="仿宋_GB2312" w:hAnsi="仿宋_GB2312" w:eastAsia="仿宋_GB2312" w:cs="仿宋_GB2312"/>
          <w:color w:val="333333"/>
          <w:sz w:val="30"/>
          <w:szCs w:val="30"/>
        </w:rPr>
        <w:t>规定，遵循“分级负责、权责统一、公平公正、程序规范”的原则，切实加强中央财政水利发展资金使用与管理，提高资金使用效益。</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333333"/>
          <w:sz w:val="30"/>
          <w:szCs w:val="30"/>
        </w:rPr>
      </w:pPr>
      <w:r>
        <w:rPr>
          <w:rFonts w:hint="eastAsia" w:ascii="仿宋_GB2312" w:hAnsi="仿宋_GB2312" w:eastAsia="仿宋_GB2312" w:cs="仿宋_GB2312"/>
          <w:color w:val="333333"/>
          <w:sz w:val="30"/>
          <w:szCs w:val="30"/>
        </w:rPr>
        <w:t>在资金</w:t>
      </w:r>
      <w:r>
        <w:rPr>
          <w:rFonts w:hint="eastAsia" w:ascii="仿宋_GB2312" w:hAnsi="仿宋_GB2312" w:eastAsia="仿宋_GB2312" w:cs="仿宋_GB2312"/>
          <w:color w:val="333333"/>
          <w:sz w:val="30"/>
          <w:szCs w:val="30"/>
          <w:lang w:val="en-US" w:eastAsia="zh-CN"/>
        </w:rPr>
        <w:t>使用</w:t>
      </w:r>
      <w:r>
        <w:rPr>
          <w:rFonts w:hint="eastAsia" w:ascii="仿宋_GB2312" w:hAnsi="仿宋_GB2312" w:eastAsia="仿宋_GB2312" w:cs="仿宋_GB2312"/>
          <w:color w:val="333333"/>
          <w:sz w:val="30"/>
          <w:szCs w:val="30"/>
        </w:rPr>
        <w:t>方面，</w:t>
      </w:r>
      <w:r>
        <w:rPr>
          <w:rFonts w:hint="eastAsia" w:ascii="仿宋_GB2312" w:hAnsi="仿宋_GB2312" w:eastAsia="仿宋_GB2312" w:cs="仿宋_GB2312"/>
          <w:color w:val="333333"/>
          <w:sz w:val="30"/>
          <w:szCs w:val="30"/>
          <w:lang w:eastAsia="zh-CN"/>
        </w:rPr>
        <w:t>严格落实财务管理制度，明确项目资金使用管理程序，项目建设资金由国库统一管理，通过财政大平台支付给施北师大。在实施过程中，单位按照方案约定的方式提出报账申请，经焉耆县教育保障经费管理中学核实并签署意见后，由</w:t>
      </w:r>
      <w:r>
        <w:rPr>
          <w:rFonts w:hint="eastAsia" w:ascii="仿宋_GB2312" w:hAnsi="仿宋_GB2312" w:eastAsia="仿宋_GB2312" w:cs="仿宋_GB2312"/>
          <w:color w:val="333333"/>
          <w:sz w:val="30"/>
          <w:szCs w:val="30"/>
          <w:lang w:val="en-US" w:eastAsia="zh-CN"/>
        </w:rPr>
        <w:t>国库集中</w:t>
      </w:r>
      <w:r>
        <w:rPr>
          <w:rFonts w:hint="eastAsia" w:ascii="仿宋_GB2312" w:hAnsi="仿宋_GB2312" w:eastAsia="仿宋_GB2312" w:cs="仿宋_GB2312"/>
          <w:color w:val="333333"/>
          <w:sz w:val="30"/>
          <w:szCs w:val="30"/>
          <w:lang w:eastAsia="zh-CN"/>
        </w:rPr>
        <w:t>支付；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FF0000"/>
        </w:rPr>
      </w:pPr>
      <w:r>
        <w:rPr>
          <w:rFonts w:hint="eastAsia" w:ascii="仿宋_GB2312" w:hAnsi="仿宋_GB2312" w:eastAsia="仿宋_GB2312" w:cs="仿宋_GB2312"/>
          <w:color w:val="333333"/>
          <w:sz w:val="30"/>
          <w:szCs w:val="30"/>
        </w:rPr>
        <w:t>通过严格落实财务管理制度，规范经费开支，符合国家财经法规和财务管理以及有关专项资金管理办法的规定；资金的拨付有完整的审批程序和手续，保障会计核算准确、财务资料完整。</w:t>
      </w:r>
    </w:p>
    <w:p>
      <w:pPr>
        <w:spacing w:line="360" w:lineRule="auto"/>
      </w:pPr>
      <w:r>
        <w:rPr>
          <w:rFonts w:hint="eastAsia"/>
        </w:rPr>
        <w:t>4、管理制度健全性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仿宋_GB2312" w:eastAsia="仿宋_GB2312" w:cs="仿宋_GB2312"/>
          <w:color w:val="333333"/>
          <w:kern w:val="2"/>
          <w:sz w:val="30"/>
          <w:szCs w:val="30"/>
          <w:lang w:val="en-US" w:eastAsia="zh-CN" w:bidi="ar-SA"/>
        </w:rPr>
      </w:pPr>
      <w:r>
        <w:rPr>
          <w:rFonts w:hint="eastAsia" w:ascii="仿宋_GB2312" w:hAnsi="仿宋_GB2312" w:eastAsia="仿宋_GB2312" w:cs="仿宋_GB2312"/>
          <w:color w:val="333333"/>
          <w:sz w:val="30"/>
          <w:szCs w:val="30"/>
          <w:lang w:val="en-US" w:eastAsia="zh-CN"/>
        </w:rPr>
        <w:t>按照《学校会计制度》及财务管理要求，结合实际，进一步健全内部控制制度，严格遵守《会计法》等各项财经法规，制定《焉耆县第二中学财务、收入支出管理制度》《焉耆县第二中学财务内控制度》等制度。等相关的项目管理制度</w:t>
      </w:r>
      <w:r>
        <w:rPr>
          <w:rFonts w:hint="eastAsia" w:ascii="仿宋_GB2312" w:hAnsi="仿宋_GB2312" w:eastAsia="仿宋_GB2312" w:cs="仿宋_GB2312"/>
          <w:color w:val="333333"/>
          <w:sz w:val="30"/>
          <w:szCs w:val="30"/>
          <w:lang w:eastAsia="zh-CN"/>
        </w:rPr>
        <w:t>，确保项目制度完善，实施规范。</w:t>
      </w:r>
    </w:p>
    <w:p>
      <w:pPr>
        <w:spacing w:line="360" w:lineRule="auto"/>
      </w:pPr>
      <w:r>
        <w:rPr>
          <w:rFonts w:hint="eastAsia"/>
        </w:rPr>
        <w:t>5、制度执行有效性</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lang w:val="en-US" w:eastAsia="zh-CN"/>
        </w:rPr>
      </w:pPr>
      <w:r>
        <w:rPr>
          <w:rFonts w:hint="eastAsia" w:ascii="仿宋_GB2312" w:hAnsi="仿宋_GB2312" w:eastAsia="仿宋_GB2312" w:cs="仿宋_GB2312"/>
          <w:color w:val="333333"/>
          <w:sz w:val="30"/>
          <w:szCs w:val="30"/>
          <w:lang w:val="en-US" w:eastAsia="zh-CN"/>
        </w:rPr>
        <w:t>项目严格按照教育部办门发的</w:t>
      </w:r>
      <w:r>
        <w:rPr>
          <w:rFonts w:hint="eastAsia" w:ascii="仿宋_GB2312" w:hAnsi="仿宋_GB2312" w:eastAsia="仿宋_GB2312" w:cs="仿宋_GB2312"/>
          <w:b w:val="0"/>
          <w:bCs/>
          <w:kern w:val="2"/>
          <w:sz w:val="30"/>
          <w:szCs w:val="30"/>
          <w:lang w:val="en-US" w:eastAsia="zh-CN" w:bidi="ar-SA"/>
        </w:rPr>
        <w:t>《巴州北四县“双名工程”实施方案》</w:t>
      </w:r>
      <w:r>
        <w:rPr>
          <w:rFonts w:hint="eastAsia" w:ascii="仿宋_GB2312" w:hAnsi="仿宋_GB2312" w:eastAsia="仿宋_GB2312" w:cs="仿宋_GB2312"/>
          <w:color w:val="333333"/>
          <w:sz w:val="30"/>
          <w:szCs w:val="30"/>
          <w:lang w:val="en-US" w:eastAsia="zh-CN"/>
        </w:rPr>
        <w:t xml:space="preserve"> 实施。为保障新疆巴州焉耆县教育名师工程项目顺利实施，根据焉耆县教育和科学技术局转发《</w:t>
      </w:r>
      <w:r>
        <w:rPr>
          <w:rFonts w:hint="eastAsia" w:ascii="仿宋_GB2312" w:hAnsi="仿宋_GB2312" w:eastAsia="仿宋_GB2312" w:cs="仿宋_GB2312"/>
          <w:b w:val="0"/>
          <w:bCs/>
          <w:kern w:val="2"/>
          <w:sz w:val="30"/>
          <w:szCs w:val="30"/>
          <w:lang w:val="en-US" w:eastAsia="zh-CN" w:bidi="ar-SA"/>
        </w:rPr>
        <w:t>《巴州北四县“双名工程”实施方案》</w:t>
      </w:r>
      <w:r>
        <w:rPr>
          <w:rFonts w:hint="eastAsia" w:ascii="仿宋_GB2312" w:hAnsi="仿宋_GB2312" w:eastAsia="仿宋_GB2312" w:cs="仿宋_GB2312"/>
          <w:color w:val="333333"/>
          <w:sz w:val="30"/>
          <w:szCs w:val="30"/>
          <w:lang w:val="en-US" w:eastAsia="zh-CN"/>
        </w:rPr>
        <w:t>，明确了培训目标。明确了培训内容，组建了内设机构，建立健全了各项建设管理制度。项目严格履行各项财务制度，认真落实财务要求，在项目实施过程中，明确新时代教师的使命与担当，提升专业成长内驱力；引导骨干教师深入挖掘课程育人价值，提升素养导向的课程设计、实施、评价水平与课题研究能力，构筑巴州北四县教育的人才基础。项目拨款及支出手续完备；项目方案、培</w:t>
      </w:r>
      <w:r>
        <w:rPr>
          <w:rFonts w:hint="eastAsia" w:ascii="仿宋" w:hAnsi="仿宋" w:eastAsia="仿宋" w:cs="仿宋"/>
          <w:color w:val="333333"/>
          <w:sz w:val="30"/>
          <w:szCs w:val="30"/>
          <w:lang w:val="en-US" w:eastAsia="zh-CN"/>
        </w:rPr>
        <w:t>训报告、培训剪影等资料齐全并及时</w:t>
      </w:r>
      <w:r>
        <w:rPr>
          <w:rFonts w:hint="eastAsia" w:ascii="仿宋" w:hAnsi="仿宋" w:eastAsia="仿宋" w:cs="仿宋"/>
          <w:color w:val="auto"/>
          <w:sz w:val="30"/>
          <w:szCs w:val="30"/>
          <w:lang w:val="en-US" w:eastAsia="zh-CN"/>
        </w:rPr>
        <w:t>归档。</w:t>
      </w:r>
    </w:p>
    <w:p>
      <w:pPr>
        <w:pStyle w:val="4"/>
        <w:spacing w:line="360" w:lineRule="auto"/>
        <w:rPr>
          <w:rFonts w:ascii="仿宋_GB2312" w:eastAsia="仿宋_GB2312"/>
          <w:b w:val="0"/>
          <w:bCs w:val="0"/>
        </w:rPr>
      </w:pPr>
      <w:bookmarkStart w:id="14" w:name="_Toc68703840"/>
      <w:r>
        <w:rPr>
          <w:rFonts w:hint="eastAsia" w:ascii="仿宋_GB2312" w:eastAsia="仿宋_GB2312"/>
          <w:b w:val="0"/>
          <w:bCs w:val="0"/>
        </w:rPr>
        <w:t>（三）项目产出情况。</w:t>
      </w:r>
      <w:bookmarkEnd w:id="14"/>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产出数量指标：</w:t>
      </w:r>
      <w:r>
        <w:rPr>
          <w:rFonts w:hint="eastAsia" w:ascii="仿宋_GB2312" w:hAnsi="仿宋_GB2312" w:eastAsia="仿宋_GB2312" w:cs="仿宋_GB2312"/>
          <w:color w:val="000000" w:themeColor="text1"/>
          <w:lang w:eastAsia="zh-CN"/>
          <w14:textFill>
            <w14:solidFill>
              <w14:schemeClr w14:val="tx1"/>
            </w14:solidFill>
          </w14:textFill>
        </w:rPr>
        <w:t>数量</w:t>
      </w:r>
      <w:r>
        <w:rPr>
          <w:rFonts w:hint="eastAsia" w:ascii="仿宋_GB2312" w:hAnsi="仿宋_GB2312" w:eastAsia="仿宋_GB2312" w:cs="仿宋_GB2312"/>
          <w:color w:val="000000" w:themeColor="text1"/>
          <w14:textFill>
            <w14:solidFill>
              <w14:schemeClr w14:val="tx1"/>
            </w14:solidFill>
          </w14:textFill>
        </w:rPr>
        <w:t xml:space="preserve">指标1： </w:t>
      </w:r>
      <w:r>
        <w:rPr>
          <w:rFonts w:hint="eastAsia" w:ascii="仿宋_GB2312" w:hAnsi="仿宋_GB2312" w:eastAsia="仿宋_GB2312" w:cs="仿宋_GB2312"/>
          <w:color w:val="000000" w:themeColor="text1"/>
          <w:lang w:eastAsia="zh-CN"/>
          <w14:textFill>
            <w14:solidFill>
              <w14:schemeClr w14:val="tx1"/>
            </w14:solidFill>
          </w14:textFill>
        </w:rPr>
        <w:t>培养名师人数</w:t>
      </w:r>
      <w:r>
        <w:rPr>
          <w:rFonts w:hint="eastAsia" w:ascii="仿宋_GB2312" w:hAnsi="仿宋_GB2312" w:eastAsia="仿宋_GB2312" w:cs="仿宋_GB2312"/>
          <w:color w:val="000000" w:themeColor="text1"/>
          <w14:textFill>
            <w14:solidFill>
              <w14:schemeClr w14:val="tx1"/>
            </w14:solidFill>
          </w14:textFill>
        </w:rPr>
        <w:t xml:space="preserve"> ，指标值：</w:t>
      </w:r>
      <w:r>
        <w:rPr>
          <w:rFonts w:hint="eastAsia" w:ascii="仿宋_GB2312" w:hAnsi="仿宋_GB2312" w:eastAsia="仿宋_GB2312" w:cs="仿宋_GB2312"/>
          <w:color w:val="000000" w:themeColor="text1"/>
          <w:lang w:val="en-US" w:eastAsia="zh-CN"/>
          <w14:textFill>
            <w14:solidFill>
              <w14:schemeClr w14:val="tx1"/>
            </w14:solidFill>
          </w14:textFill>
        </w:rPr>
        <w:t>5</w:t>
      </w:r>
      <w:r>
        <w:rPr>
          <w:rFonts w:hint="eastAsia" w:ascii="仿宋_GB2312" w:hAnsi="仿宋_GB2312" w:eastAsia="仿宋_GB2312" w:cs="仿宋_GB2312"/>
          <w:color w:val="000000" w:themeColor="text1"/>
          <w:lang w:eastAsia="zh-CN"/>
          <w14:textFill>
            <w14:solidFill>
              <w14:schemeClr w14:val="tx1"/>
            </w14:solidFill>
          </w14:textFill>
        </w:rPr>
        <w:t>人</w:t>
      </w:r>
      <w:r>
        <w:rPr>
          <w:rFonts w:hint="eastAsia" w:ascii="仿宋_GB2312" w:hAnsi="仿宋_GB2312" w:eastAsia="仿宋_GB2312" w:cs="仿宋_GB2312"/>
          <w:color w:val="000000" w:themeColor="text1"/>
          <w14:textFill>
            <w14:solidFill>
              <w14:schemeClr w14:val="tx1"/>
            </w14:solidFill>
          </w14:textFill>
        </w:rPr>
        <w:t xml:space="preserve"> ，实际完成值</w:t>
      </w:r>
      <w:r>
        <w:rPr>
          <w:rFonts w:hint="eastAsia" w:ascii="仿宋_GB2312" w:hAnsi="仿宋_GB2312" w:eastAsia="仿宋_GB2312" w:cs="仿宋_GB2312"/>
          <w:color w:val="000000" w:themeColor="text1"/>
          <w:lang w:val="en-US" w:eastAsia="zh-CN"/>
          <w14:textFill>
            <w14:solidFill>
              <w14:schemeClr w14:val="tx1"/>
            </w14:solidFill>
          </w14:textFill>
        </w:rPr>
        <w:t>5</w:t>
      </w:r>
      <w:r>
        <w:rPr>
          <w:rFonts w:hint="eastAsia" w:ascii="仿宋_GB2312" w:hAnsi="仿宋_GB2312" w:eastAsia="仿宋_GB2312" w:cs="仿宋_GB2312"/>
          <w:color w:val="000000" w:themeColor="text1"/>
          <w14:textFill>
            <w14:solidFill>
              <w14:schemeClr w14:val="tx1"/>
            </w14:solidFill>
          </w14:textFill>
        </w:rPr>
        <w:t xml:space="preserve"> ，指标完成率 100%</w:t>
      </w:r>
      <w:r>
        <w:rPr>
          <w:rFonts w:hint="eastAsia" w:ascii="仿宋_GB2312" w:hAnsi="仿宋_GB2312" w:eastAsia="仿宋_GB2312" w:cs="仿宋_GB2312"/>
          <w:color w:val="000000" w:themeColor="text1"/>
          <w:lang w:val="en-US" w:eastAsia="zh-CN"/>
          <w14:textFill>
            <w14:solidFill>
              <w14:schemeClr w14:val="tx1"/>
            </w14:solidFill>
          </w14:textFill>
        </w:rPr>
        <w:t xml:space="preserve"> ，偏差原因：</w:t>
      </w:r>
      <w:r>
        <w:rPr>
          <w:rFonts w:hint="eastAsia" w:ascii="仿宋_GB2312" w:hAnsi="仿宋_GB2312" w:eastAsia="仿宋_GB2312" w:cs="仿宋_GB2312"/>
          <w:color w:val="000000" w:themeColor="text1"/>
          <w:sz w:val="30"/>
          <w:szCs w:val="30"/>
          <w14:textFill>
            <w14:solidFill>
              <w14:schemeClr w14:val="tx1"/>
            </w14:solidFill>
          </w14:textFill>
        </w:rPr>
        <w:t>无</w:t>
      </w:r>
      <w:r>
        <w:rPr>
          <w:rFonts w:hint="eastAsia" w:ascii="仿宋_GB2312" w:hAnsi="仿宋_GB2312" w:eastAsia="仿宋_GB2312" w:cs="仿宋_GB2312"/>
          <w:color w:val="000000" w:themeColor="text1"/>
          <w14:textFill>
            <w14:solidFill>
              <w14:schemeClr w14:val="tx1"/>
            </w14:solidFill>
          </w14:textFill>
        </w:rPr>
        <w:t>；</w:t>
      </w:r>
      <w:r>
        <w:rPr>
          <w:rFonts w:hint="eastAsia" w:ascii="仿宋_GB2312" w:hAnsi="仿宋_GB2312" w:eastAsia="仿宋_GB2312" w:cs="仿宋_GB2312"/>
          <w:color w:val="000000" w:themeColor="text1"/>
          <w:lang w:eastAsia="zh-CN"/>
          <w14:textFill>
            <w14:solidFill>
              <w14:schemeClr w14:val="tx1"/>
            </w14:solidFill>
          </w14:textFill>
        </w:rPr>
        <w:t>数量</w:t>
      </w:r>
      <w:r>
        <w:rPr>
          <w:rFonts w:hint="eastAsia" w:ascii="仿宋_GB2312" w:hAnsi="仿宋_GB2312" w:eastAsia="仿宋_GB2312" w:cs="仿宋_GB2312"/>
          <w:color w:val="000000" w:themeColor="text1"/>
          <w14:textFill>
            <w14:solidFill>
              <w14:schemeClr w14:val="tx1"/>
            </w14:solidFill>
          </w14:textFill>
        </w:rPr>
        <w:t>指标</w:t>
      </w:r>
      <w:r>
        <w:rPr>
          <w:rFonts w:hint="eastAsia" w:ascii="仿宋_GB2312" w:hAnsi="仿宋_GB2312" w:eastAsia="仿宋_GB2312" w:cs="仿宋_GB2312"/>
          <w:color w:val="000000" w:themeColor="text1"/>
          <w:lang w:val="en-US" w:eastAsia="zh-CN"/>
          <w14:textFill>
            <w14:solidFill>
              <w14:schemeClr w14:val="tx1"/>
            </w14:solidFill>
          </w14:textFill>
        </w:rPr>
        <w:t>2</w:t>
      </w:r>
      <w:r>
        <w:rPr>
          <w:rFonts w:hint="eastAsia" w:ascii="仿宋_GB2312" w:hAnsi="仿宋_GB2312" w:eastAsia="仿宋_GB2312" w:cs="仿宋_GB2312"/>
          <w:color w:val="000000" w:themeColor="text1"/>
          <w14:textFill>
            <w14:solidFill>
              <w14:schemeClr w14:val="tx1"/>
            </w14:solidFill>
          </w14:textFill>
        </w:rPr>
        <w:t xml:space="preserve">： </w:t>
      </w:r>
      <w:r>
        <w:rPr>
          <w:rFonts w:hint="eastAsia" w:ascii="仿宋_GB2312" w:hAnsi="仿宋_GB2312" w:eastAsia="仿宋_GB2312" w:cs="仿宋_GB2312"/>
          <w:color w:val="000000" w:themeColor="text1"/>
          <w:lang w:eastAsia="zh-CN"/>
          <w14:textFill>
            <w14:solidFill>
              <w14:schemeClr w14:val="tx1"/>
            </w14:solidFill>
          </w14:textFill>
        </w:rPr>
        <w:t>培养名校长人数</w:t>
      </w:r>
      <w:r>
        <w:rPr>
          <w:rFonts w:hint="eastAsia" w:ascii="仿宋_GB2312" w:hAnsi="仿宋_GB2312" w:eastAsia="仿宋_GB2312" w:cs="仿宋_GB2312"/>
          <w:color w:val="000000" w:themeColor="text1"/>
          <w14:textFill>
            <w14:solidFill>
              <w14:schemeClr w14:val="tx1"/>
            </w14:solidFill>
          </w14:textFill>
        </w:rPr>
        <w:t xml:space="preserve"> ，指标值：</w:t>
      </w:r>
      <w:r>
        <w:rPr>
          <w:rFonts w:hint="eastAsia" w:ascii="仿宋_GB2312" w:hAnsi="仿宋_GB2312" w:eastAsia="仿宋_GB2312" w:cs="仿宋_GB2312"/>
          <w:color w:val="000000" w:themeColor="text1"/>
          <w:lang w:val="en-US" w:eastAsia="zh-CN"/>
          <w14:textFill>
            <w14:solidFill>
              <w14:schemeClr w14:val="tx1"/>
            </w14:solidFill>
          </w14:textFill>
        </w:rPr>
        <w:t>1</w:t>
      </w:r>
      <w:r>
        <w:rPr>
          <w:rFonts w:hint="eastAsia" w:ascii="仿宋_GB2312" w:hAnsi="仿宋_GB2312" w:eastAsia="仿宋_GB2312" w:cs="仿宋_GB2312"/>
          <w:color w:val="000000" w:themeColor="text1"/>
          <w:lang w:eastAsia="zh-CN"/>
          <w14:textFill>
            <w14:solidFill>
              <w14:schemeClr w14:val="tx1"/>
            </w14:solidFill>
          </w14:textFill>
        </w:rPr>
        <w:t>人</w:t>
      </w:r>
      <w:r>
        <w:rPr>
          <w:rFonts w:hint="eastAsia" w:ascii="仿宋_GB2312" w:hAnsi="仿宋_GB2312" w:eastAsia="仿宋_GB2312" w:cs="仿宋_GB2312"/>
          <w:color w:val="000000" w:themeColor="text1"/>
          <w14:textFill>
            <w14:solidFill>
              <w14:schemeClr w14:val="tx1"/>
            </w14:solidFill>
          </w14:textFill>
        </w:rPr>
        <w:t xml:space="preserve"> ，实际完成值</w:t>
      </w:r>
      <w:r>
        <w:rPr>
          <w:rFonts w:hint="eastAsia" w:ascii="仿宋_GB2312" w:hAnsi="仿宋_GB2312" w:eastAsia="仿宋_GB2312" w:cs="仿宋_GB2312"/>
          <w:color w:val="000000" w:themeColor="text1"/>
          <w:lang w:val="en-US" w:eastAsia="zh-CN"/>
          <w14:textFill>
            <w14:solidFill>
              <w14:schemeClr w14:val="tx1"/>
            </w14:solidFill>
          </w14:textFill>
        </w:rPr>
        <w:t>1人</w:t>
      </w:r>
      <w:r>
        <w:rPr>
          <w:rFonts w:hint="eastAsia" w:ascii="仿宋_GB2312" w:hAnsi="仿宋_GB2312" w:eastAsia="仿宋_GB2312" w:cs="仿宋_GB2312"/>
          <w:color w:val="000000" w:themeColor="text1"/>
          <w14:textFill>
            <w14:solidFill>
              <w14:schemeClr w14:val="tx1"/>
            </w14:solidFill>
          </w14:textFill>
        </w:rPr>
        <w:t xml:space="preserve"> ，指标完成率100%</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 xml:space="preserve"> 偏差原因：</w:t>
      </w:r>
      <w:r>
        <w:rPr>
          <w:rFonts w:hint="eastAsia" w:ascii="仿宋_GB2312" w:hAnsi="仿宋_GB2312" w:eastAsia="仿宋_GB2312" w:cs="仿宋_GB2312"/>
          <w:color w:val="000000" w:themeColor="text1"/>
          <w:sz w:val="30"/>
          <w:szCs w:val="30"/>
          <w14:textFill>
            <w14:solidFill>
              <w14:schemeClr w14:val="tx1"/>
            </w14:solidFill>
          </w14:textFill>
        </w:rPr>
        <w:t>无</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2</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14:textFill>
            <w14:solidFill>
              <w14:schemeClr w14:val="tx1"/>
            </w14:solidFill>
          </w14:textFill>
        </w:rPr>
        <w:t>质量指标：</w:t>
      </w:r>
      <w:r>
        <w:rPr>
          <w:rFonts w:hint="eastAsia" w:ascii="仿宋_GB2312" w:hAnsi="仿宋_GB2312" w:eastAsia="仿宋_GB2312" w:cs="仿宋_GB2312"/>
          <w:color w:val="000000" w:themeColor="text1"/>
          <w:lang w:eastAsia="zh-CN"/>
          <w14:textFill>
            <w14:solidFill>
              <w14:schemeClr w14:val="tx1"/>
            </w14:solidFill>
          </w14:textFill>
        </w:rPr>
        <w:t>人才培养合格</w:t>
      </w:r>
      <w:r>
        <w:rPr>
          <w:rFonts w:hint="eastAsia" w:ascii="仿宋_GB2312" w:hAnsi="仿宋_GB2312" w:eastAsia="仿宋_GB2312" w:cs="仿宋_GB2312"/>
          <w:color w:val="000000" w:themeColor="text1"/>
          <w14:textFill>
            <w14:solidFill>
              <w14:schemeClr w14:val="tx1"/>
            </w14:solidFill>
          </w14:textFill>
        </w:rPr>
        <w:t>率，</w:t>
      </w:r>
      <w:bookmarkStart w:id="15" w:name="_Hlk98607777"/>
      <w:r>
        <w:rPr>
          <w:rFonts w:hint="eastAsia" w:ascii="仿宋_GB2312" w:hAnsi="仿宋_GB2312" w:eastAsia="仿宋_GB2312" w:cs="仿宋_GB2312"/>
          <w:color w:val="000000" w:themeColor="text1"/>
          <w14:textFill>
            <w14:solidFill>
              <w14:schemeClr w14:val="tx1"/>
            </w14:solidFill>
          </w14:textFill>
        </w:rPr>
        <w:t>指标值：&gt;=98% ，实际完成值     =98%，</w:t>
      </w:r>
      <w:bookmarkStart w:id="16" w:name="_Hlk98607678"/>
      <w:r>
        <w:rPr>
          <w:rFonts w:hint="eastAsia" w:ascii="仿宋_GB2312" w:hAnsi="仿宋_GB2312" w:eastAsia="仿宋_GB2312" w:cs="仿宋_GB2312"/>
          <w:color w:val="000000" w:themeColor="text1"/>
          <w14:textFill>
            <w14:solidFill>
              <w14:schemeClr w14:val="tx1"/>
            </w14:solidFill>
          </w14:textFill>
        </w:rPr>
        <w:t>指标完成率</w:t>
      </w:r>
      <w:r>
        <w:rPr>
          <w:rFonts w:hint="eastAsia" w:ascii="仿宋_GB2312" w:hAnsi="仿宋_GB2312" w:eastAsia="仿宋_GB2312" w:cs="仿宋_GB2312"/>
          <w:color w:val="000000" w:themeColor="text1"/>
          <w:lang w:val="en-US" w:eastAsia="zh-CN"/>
          <w14:textFill>
            <w14:solidFill>
              <w14:schemeClr w14:val="tx1"/>
            </w14:solidFill>
          </w14:textFill>
        </w:rPr>
        <w:t>100</w:t>
      </w:r>
      <w:r>
        <w:rPr>
          <w:rFonts w:hint="eastAsia" w:ascii="仿宋_GB2312" w:hAnsi="仿宋_GB2312" w:eastAsia="仿宋_GB2312" w:cs="仿宋_GB2312"/>
          <w:color w:val="000000" w:themeColor="text1"/>
          <w14:textFill>
            <w14:solidFill>
              <w14:schemeClr w14:val="tx1"/>
            </w14:solidFill>
          </w14:textFill>
        </w:rPr>
        <w:t>%</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偏差原因：</w:t>
      </w:r>
      <w:r>
        <w:rPr>
          <w:rFonts w:hint="eastAsia" w:ascii="仿宋_GB2312" w:hAnsi="仿宋_GB2312" w:eastAsia="仿宋_GB2312" w:cs="仿宋_GB2312"/>
          <w:color w:val="000000" w:themeColor="text1"/>
          <w:sz w:val="30"/>
          <w:szCs w:val="30"/>
          <w14:textFill>
            <w14:solidFill>
              <w14:schemeClr w14:val="tx1"/>
            </w14:solidFill>
          </w14:textFill>
        </w:rPr>
        <w:t>无</w:t>
      </w:r>
    </w:p>
    <w:bookmarkEnd w:id="15"/>
    <w:bookmarkEnd w:id="16"/>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lang w:val="en-US" w:eastAsia="zh-CN"/>
          <w14:textFill>
            <w14:solidFill>
              <w14:schemeClr w14:val="tx1"/>
            </w14:solidFill>
          </w14:textFill>
        </w:rPr>
        <w:t>3、</w:t>
      </w:r>
      <w:r>
        <w:rPr>
          <w:rFonts w:hint="eastAsia" w:ascii="仿宋_GB2312" w:hAnsi="仿宋_GB2312" w:eastAsia="仿宋_GB2312" w:cs="仿宋_GB2312"/>
          <w:color w:val="000000" w:themeColor="text1"/>
          <w14:textFill>
            <w14:solidFill>
              <w14:schemeClr w14:val="tx1"/>
            </w14:solidFill>
          </w14:textFill>
        </w:rPr>
        <w:t xml:space="preserve">时效指标：资金拨付及时率：指标值&gt;=98%，完成值&gt;=98%。指标完成率 </w:t>
      </w:r>
      <w:r>
        <w:rPr>
          <w:rFonts w:hint="eastAsia" w:ascii="仿宋_GB2312" w:hAnsi="仿宋_GB2312" w:eastAsia="仿宋_GB2312" w:cs="仿宋_GB2312"/>
          <w:color w:val="000000" w:themeColor="text1"/>
          <w:lang w:val="en-US" w:eastAsia="zh-CN"/>
          <w14:textFill>
            <w14:solidFill>
              <w14:schemeClr w14:val="tx1"/>
            </w14:solidFill>
          </w14:textFill>
        </w:rPr>
        <w:t>100</w:t>
      </w:r>
      <w:r>
        <w:rPr>
          <w:rFonts w:hint="eastAsia" w:ascii="仿宋_GB2312" w:hAnsi="仿宋_GB2312" w:eastAsia="仿宋_GB2312" w:cs="仿宋_GB2312"/>
          <w:color w:val="000000" w:themeColor="text1"/>
          <w14:textFill>
            <w14:solidFill>
              <w14:schemeClr w14:val="tx1"/>
            </w14:solidFill>
          </w14:textFill>
        </w:rPr>
        <w:t xml:space="preserve">%  </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偏差原因：</w:t>
      </w:r>
      <w:r>
        <w:rPr>
          <w:rFonts w:hint="eastAsia" w:ascii="仿宋_GB2312" w:hAnsi="仿宋_GB2312" w:eastAsia="仿宋_GB2312" w:cs="仿宋_GB2312"/>
          <w:color w:val="000000" w:themeColor="text1"/>
          <w:sz w:val="30"/>
          <w:szCs w:val="30"/>
          <w14:textFill>
            <w14:solidFill>
              <w14:schemeClr w14:val="tx1"/>
            </w14:solidFill>
          </w14:textFill>
        </w:rPr>
        <w:t>无</w:t>
      </w:r>
      <w:r>
        <w:rPr>
          <w:rFonts w:hint="eastAsia" w:ascii="仿宋_GB2312" w:hAnsi="仿宋_GB2312" w:eastAsia="仿宋_GB2312" w:cs="仿宋_GB2312"/>
          <w:color w:val="000000" w:themeColor="text1"/>
          <w:lang w:val="en-US" w:eastAsia="zh-CN"/>
          <w14:textFill>
            <w14:solidFill>
              <w14:schemeClr w14:val="tx1"/>
            </w14:solidFill>
          </w14:textFill>
        </w:rPr>
        <w:t xml:space="preserve"> </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成本指标：指标1</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14:textFill>
            <w14:solidFill>
              <w14:schemeClr w14:val="tx1"/>
            </w14:solidFill>
          </w14:textFill>
        </w:rPr>
        <w:t>经济成本指标</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14:textFill>
            <w14:solidFill>
              <w14:schemeClr w14:val="tx1"/>
            </w14:solidFill>
          </w14:textFill>
        </w:rPr>
        <w:t>培养名师名校长人均支出标准：指标值：&lt;=1.80万元/年/人，实际完成值&lt;=1.80万元/年/人，指标完成率 100%</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偏差原因：</w:t>
      </w:r>
      <w:r>
        <w:rPr>
          <w:rFonts w:hint="eastAsia" w:ascii="仿宋_GB2312" w:hAnsi="仿宋_GB2312" w:eastAsia="仿宋_GB2312" w:cs="仿宋_GB2312"/>
          <w:color w:val="000000" w:themeColor="text1"/>
          <w:sz w:val="30"/>
          <w:szCs w:val="30"/>
          <w14:textFill>
            <w14:solidFill>
              <w14:schemeClr w14:val="tx1"/>
            </w14:solidFill>
          </w14:textFill>
        </w:rPr>
        <w:t>无</w:t>
      </w:r>
      <w:r>
        <w:rPr>
          <w:rFonts w:hint="eastAsia" w:ascii="仿宋_GB2312" w:hAnsi="仿宋_GB2312" w:eastAsia="仿宋_GB2312" w:cs="仿宋_GB2312"/>
          <w:color w:val="000000" w:themeColor="text1"/>
          <w:lang w:val="en-US" w:eastAsia="zh-CN"/>
          <w14:textFill>
            <w14:solidFill>
              <w14:schemeClr w14:val="tx1"/>
            </w14:solidFill>
          </w14:textFill>
        </w:rPr>
        <w:t xml:space="preserve"> 。</w:t>
      </w:r>
      <w:bookmarkStart w:id="17" w:name="_Toc68703841"/>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（四）项目效益情况。</w:t>
      </w:r>
      <w:bookmarkEnd w:id="17"/>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000000" w:themeColor="text1"/>
          <w:sz w:val="30"/>
          <w:szCs w:val="30"/>
          <w:lang w:eastAsia="zh-CN"/>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效益指标：指标1</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14:textFill>
            <w14:solidFill>
              <w14:schemeClr w14:val="tx1"/>
            </w14:solidFill>
          </w14:textFill>
        </w:rPr>
        <w:t>社会效益指标：教育教学质量提升 ，指标值： 有所提升，实际完成值</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14:textFill>
            <w14:solidFill>
              <w14:schemeClr w14:val="tx1"/>
            </w14:solidFill>
          </w14:textFill>
        </w:rPr>
        <w:t>达成目标 ，指标完成率</w:t>
      </w:r>
      <w:r>
        <w:rPr>
          <w:rFonts w:hint="eastAsia" w:ascii="仿宋_GB2312" w:hAnsi="仿宋_GB2312" w:eastAsia="仿宋_GB2312" w:cs="仿宋_GB2312"/>
          <w:color w:val="000000" w:themeColor="text1"/>
          <w:lang w:val="en-US" w:eastAsia="zh-CN"/>
          <w14:textFill>
            <w14:solidFill>
              <w14:schemeClr w14:val="tx1"/>
            </w14:solidFill>
          </w14:textFill>
        </w:rPr>
        <w:t>100</w:t>
      </w:r>
      <w:r>
        <w:rPr>
          <w:rFonts w:hint="eastAsia" w:ascii="仿宋_GB2312" w:hAnsi="仿宋_GB2312" w:eastAsia="仿宋_GB2312" w:cs="仿宋_GB2312"/>
          <w:color w:val="000000" w:themeColor="text1"/>
          <w14:textFill>
            <w14:solidFill>
              <w14:schemeClr w14:val="tx1"/>
            </w14:solidFill>
          </w14:textFill>
        </w:rPr>
        <w:t xml:space="preserve"> %</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 xml:space="preserve"> 偏差原因：</w:t>
      </w:r>
      <w:r>
        <w:rPr>
          <w:rFonts w:hint="eastAsia" w:ascii="仿宋_GB2312" w:hAnsi="仿宋_GB2312" w:eastAsia="仿宋_GB2312" w:cs="仿宋_GB2312"/>
          <w:color w:val="000000" w:themeColor="text1"/>
          <w:sz w:val="30"/>
          <w:szCs w:val="30"/>
          <w14:textFill>
            <w14:solidFill>
              <w14:schemeClr w14:val="tx1"/>
            </w14:solidFill>
          </w14:textFill>
        </w:rPr>
        <w:t>无</w:t>
      </w:r>
      <w:r>
        <w:rPr>
          <w:rFonts w:hint="eastAsia" w:ascii="仿宋_GB2312" w:hAnsi="仿宋_GB2312" w:eastAsia="仿宋_GB2312" w:cs="仿宋_GB2312"/>
          <w:color w:val="000000" w:themeColor="text1"/>
          <w:sz w:val="30"/>
          <w:szCs w:val="30"/>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lang w:val="en-US" w:eastAsia="zh-CN"/>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满意度指标</w:t>
      </w:r>
      <w:r>
        <w:rPr>
          <w:rFonts w:hint="eastAsia" w:ascii="仿宋_GB2312" w:hAnsi="仿宋_GB2312" w:eastAsia="仿宋_GB2312" w:cs="仿宋_GB2312"/>
          <w:color w:val="000000" w:themeColor="text1"/>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14:textFill>
            <w14:solidFill>
              <w14:schemeClr w14:val="tx1"/>
            </w14:solidFill>
          </w14:textFill>
        </w:rPr>
        <w:t>指标1</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14:textFill>
            <w14:solidFill>
              <w14:schemeClr w14:val="tx1"/>
            </w14:solidFill>
          </w14:textFill>
        </w:rPr>
        <w:t>满意度指标</w:t>
      </w:r>
      <w:r>
        <w:rPr>
          <w:rFonts w:hint="eastAsia" w:ascii="仿宋_GB2312" w:hAnsi="仿宋_GB2312" w:eastAsia="仿宋_GB2312" w:cs="仿宋_GB2312"/>
          <w:color w:val="000000" w:themeColor="text1"/>
          <w:lang w:eastAsia="zh-CN"/>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14:textFill>
            <w14:solidFill>
              <w14:schemeClr w14:val="tx1"/>
            </w14:solidFill>
          </w14:textFill>
        </w:rPr>
        <w:t>受益名师名校长满意度指标值：&gt;=95% ，实际完成值=</w:t>
      </w:r>
      <w:r>
        <w:rPr>
          <w:rFonts w:hint="eastAsia" w:ascii="仿宋_GB2312" w:hAnsi="仿宋_GB2312" w:eastAsia="仿宋_GB2312" w:cs="仿宋_GB2312"/>
          <w:color w:val="000000" w:themeColor="text1"/>
          <w:lang w:val="en-US" w:eastAsia="zh-CN"/>
          <w14:textFill>
            <w14:solidFill>
              <w14:schemeClr w14:val="tx1"/>
            </w14:solidFill>
          </w14:textFill>
        </w:rPr>
        <w:t>100</w:t>
      </w:r>
      <w:r>
        <w:rPr>
          <w:rFonts w:hint="eastAsia" w:ascii="仿宋_GB2312" w:hAnsi="仿宋_GB2312" w:eastAsia="仿宋_GB2312" w:cs="仿宋_GB2312"/>
          <w:color w:val="000000" w:themeColor="text1"/>
          <w14:textFill>
            <w14:solidFill>
              <w14:schemeClr w14:val="tx1"/>
            </w14:solidFill>
          </w14:textFill>
        </w:rPr>
        <w:t>%，指标完成率10</w:t>
      </w:r>
      <w:r>
        <w:rPr>
          <w:rFonts w:hint="eastAsia" w:ascii="仿宋_GB2312" w:hAnsi="仿宋_GB2312" w:eastAsia="仿宋_GB2312" w:cs="仿宋_GB2312"/>
          <w:color w:val="000000" w:themeColor="text1"/>
          <w:lang w:val="en-US" w:eastAsia="zh-CN"/>
          <w14:textFill>
            <w14:solidFill>
              <w14:schemeClr w14:val="tx1"/>
            </w14:solidFill>
          </w14:textFill>
        </w:rPr>
        <w:t>5</w:t>
      </w:r>
      <w:r>
        <w:rPr>
          <w:rFonts w:hint="eastAsia" w:ascii="仿宋_GB2312" w:hAnsi="仿宋_GB2312" w:eastAsia="仿宋_GB2312" w:cs="仿宋_GB2312"/>
          <w:color w:val="000000" w:themeColor="text1"/>
          <w14:textFill>
            <w14:solidFill>
              <w14:schemeClr w14:val="tx1"/>
            </w14:solidFill>
          </w14:textFill>
        </w:rPr>
        <w:t>%</w:t>
      </w:r>
      <w:r>
        <w:rPr>
          <w:rFonts w:hint="eastAsia" w:ascii="仿宋_GB2312" w:hAnsi="仿宋_GB2312" w:eastAsia="仿宋_GB2312" w:cs="仿宋_GB2312"/>
          <w:color w:val="000000" w:themeColor="text1"/>
          <w:lang w:val="en-US" w:eastAsia="zh-CN"/>
          <w14:textFill>
            <w14:solidFill>
              <w14:schemeClr w14:val="tx1"/>
            </w14:solidFill>
          </w14:textFill>
        </w:rPr>
        <w:t xml:space="preserve"> 。偏差原因：</w:t>
      </w:r>
      <w:r>
        <w:rPr>
          <w:rFonts w:hint="eastAsia"/>
          <w:color w:val="000000" w:themeColor="text1"/>
          <w:lang w:val="en-US" w:eastAsia="zh-CN"/>
          <w14:textFill>
            <w14:solidFill>
              <w14:schemeClr w14:val="tx1"/>
            </w14:solidFill>
          </w14:textFill>
        </w:rPr>
        <w:t xml:space="preserve">满意度指数高 </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 xml:space="preserve"> </w:t>
      </w:r>
    </w:p>
    <w:p>
      <w:pPr>
        <w:spacing w:line="360" w:lineRule="auto"/>
        <w:rPr>
          <w:rFonts w:ascii="宋体" w:hAnsi="宋体" w:eastAsia="宋体"/>
          <w:sz w:val="32"/>
          <w:szCs w:val="32"/>
        </w:rPr>
      </w:pPr>
      <w:bookmarkStart w:id="18" w:name="_Toc68703842"/>
      <w:r>
        <w:rPr>
          <w:rFonts w:hint="eastAsia" w:ascii="宋体" w:hAnsi="宋体" w:eastAsia="宋体"/>
          <w:sz w:val="32"/>
          <w:szCs w:val="32"/>
        </w:rPr>
        <w:t>五、主要经验及做法、存在的问题及原因分析</w:t>
      </w:r>
      <w:bookmarkEnd w:id="18"/>
    </w:p>
    <w:p>
      <w:pPr>
        <w:numPr>
          <w:ilvl w:val="0"/>
          <w:numId w:val="2"/>
        </w:numPr>
        <w:rPr>
          <w:rFonts w:hint="eastAsia" w:ascii="仿宋_GB2312" w:eastAsia="仿宋_GB2312"/>
          <w:b w:val="0"/>
          <w:bCs w:val="0"/>
        </w:rPr>
      </w:pPr>
      <w:bookmarkStart w:id="19" w:name="_Toc68703843"/>
      <w:r>
        <w:rPr>
          <w:rFonts w:hint="eastAsia" w:ascii="仿宋_GB2312" w:eastAsia="仿宋_GB2312"/>
          <w:b w:val="0"/>
          <w:bCs w:val="0"/>
        </w:rPr>
        <w:t>主要经验</w:t>
      </w:r>
      <w:bookmarkEnd w:id="19"/>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w:t>
      </w:r>
    </w:p>
    <w:p>
      <w:pPr>
        <w:pStyle w:val="4"/>
        <w:numPr>
          <w:ilvl w:val="0"/>
          <w:numId w:val="2"/>
        </w:numPr>
        <w:spacing w:line="360" w:lineRule="auto"/>
        <w:ind w:left="0" w:leftChars="0" w:firstLine="0" w:firstLineChars="0"/>
        <w:rPr>
          <w:rFonts w:hint="eastAsia" w:ascii="仿宋_GB2312" w:eastAsia="仿宋_GB2312"/>
          <w:b w:val="0"/>
          <w:bCs w:val="0"/>
        </w:rPr>
      </w:pPr>
      <w:bookmarkStart w:id="20" w:name="_Toc68703844"/>
      <w:r>
        <w:rPr>
          <w:rFonts w:hint="eastAsia" w:ascii="仿宋_GB2312" w:eastAsia="仿宋_GB2312"/>
          <w:b w:val="0"/>
          <w:bCs w:val="0"/>
        </w:rPr>
        <w:t>存在的问题及原因分析</w:t>
      </w:r>
      <w:bookmarkEnd w:id="20"/>
    </w:p>
    <w:p>
      <w:pPr>
        <w:pStyle w:val="4"/>
        <w:numPr>
          <w:numId w:val="0"/>
        </w:numPr>
        <w:spacing w:line="360" w:lineRule="auto"/>
        <w:ind w:leftChars="0" w:firstLine="600" w:firstLineChars="200"/>
        <w:rPr>
          <w:rFonts w:hint="eastAsia" w:ascii="仿宋_GB2312" w:hAnsi="仿宋_GB2312" w:eastAsia="仿宋_GB2312" w:cs="仿宋_GB2312"/>
          <w:b w:val="0"/>
          <w:bCs w:val="0"/>
          <w:color w:val="auto"/>
          <w:kern w:val="2"/>
          <w:sz w:val="30"/>
          <w:szCs w:val="30"/>
          <w:lang w:val="en-US" w:eastAsia="zh-CN" w:bidi="ar-SA"/>
        </w:rPr>
      </w:pPr>
      <w:r>
        <w:rPr>
          <w:rFonts w:hint="eastAsia" w:ascii="仿宋_GB2312" w:hAnsi="仿宋_GB2312" w:eastAsia="仿宋_GB2312" w:cs="仿宋_GB2312"/>
          <w:b w:val="0"/>
          <w:bCs w:val="0"/>
          <w:color w:val="auto"/>
          <w:kern w:val="2"/>
          <w:sz w:val="30"/>
          <w:szCs w:val="30"/>
          <w:lang w:val="en-US" w:eastAsia="zh-CN" w:bidi="ar-SA"/>
        </w:rPr>
        <w:t>存在问题：项目资金管理工作有加强进步空间。</w:t>
      </w:r>
    </w:p>
    <w:p>
      <w:pPr>
        <w:pStyle w:val="4"/>
        <w:numPr>
          <w:numId w:val="0"/>
        </w:numPr>
        <w:spacing w:line="360" w:lineRule="auto"/>
        <w:ind w:leftChars="0" w:firstLine="600" w:firstLineChars="200"/>
        <w:rPr>
          <w:rFonts w:hint="eastAsia" w:ascii="仿宋_GB2312" w:hAnsi="仿宋_GB2312" w:eastAsia="仿宋_GB2312" w:cs="仿宋_GB2312"/>
          <w:b w:val="0"/>
          <w:bCs w:val="0"/>
          <w:color w:val="auto"/>
          <w:kern w:val="2"/>
          <w:sz w:val="30"/>
          <w:szCs w:val="30"/>
          <w:lang w:val="en-US" w:eastAsia="zh-CN" w:bidi="ar-SA"/>
        </w:rPr>
      </w:pPr>
      <w:r>
        <w:rPr>
          <w:rFonts w:hint="eastAsia" w:ascii="仿宋_GB2312" w:hAnsi="仿宋_GB2312" w:eastAsia="仿宋_GB2312" w:cs="仿宋_GB2312"/>
          <w:b w:val="0"/>
          <w:bCs w:val="0"/>
          <w:color w:val="auto"/>
          <w:kern w:val="2"/>
          <w:sz w:val="30"/>
          <w:szCs w:val="30"/>
          <w:lang w:val="en-US" w:eastAsia="zh-CN" w:bidi="ar-SA"/>
        </w:rPr>
        <w:t>原因分析：按照初步设计要求，从进度等方面严格把关，对培训设计和培训的各个环节加强控制和监督。</w:t>
      </w:r>
    </w:p>
    <w:p>
      <w:pPr>
        <w:pageBreakBefore w:val="0"/>
        <w:widowControl w:val="0"/>
        <w:numPr>
          <w:ilvl w:val="0"/>
          <w:numId w:val="3"/>
        </w:numPr>
        <w:kinsoku/>
        <w:wordWrap/>
        <w:overflowPunct/>
        <w:topLinePunct w:val="0"/>
        <w:autoSpaceDE/>
        <w:autoSpaceDN/>
        <w:bidi w:val="0"/>
        <w:adjustRightInd/>
        <w:snapToGrid/>
        <w:spacing w:line="560" w:lineRule="exact"/>
        <w:jc w:val="both"/>
        <w:textAlignment w:val="auto"/>
        <w:rPr>
          <w:rFonts w:hint="eastAsia" w:ascii="宋体" w:hAnsi="宋体" w:eastAsia="宋体"/>
          <w:sz w:val="32"/>
          <w:szCs w:val="32"/>
        </w:rPr>
      </w:pPr>
      <w:bookmarkStart w:id="21" w:name="_Toc68703845"/>
      <w:r>
        <w:rPr>
          <w:rFonts w:hint="eastAsia" w:ascii="宋体" w:hAnsi="宋体" w:eastAsia="宋体"/>
          <w:sz w:val="32"/>
          <w:szCs w:val="32"/>
        </w:rPr>
        <w:t>有关建议</w:t>
      </w:r>
      <w:bookmarkEnd w:id="2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rPr>
          <w:rFonts w:hint="eastAsia" w:ascii="仿宋_GB2312" w:hAnsi="仿宋_GB2312" w:eastAsia="仿宋_GB2312" w:cs="仿宋_GB2312"/>
          <w:color w:val="auto"/>
        </w:rPr>
      </w:pPr>
      <w:r>
        <w:rPr>
          <w:rFonts w:hint="eastAsia" w:ascii="仿宋_GB2312" w:hAnsi="仿宋_GB2312" w:eastAsia="仿宋_GB2312" w:cs="仿宋_GB2312"/>
          <w:b w:val="0"/>
          <w:bCs w:val="0"/>
          <w:color w:val="auto"/>
          <w:kern w:val="2"/>
          <w:sz w:val="30"/>
          <w:szCs w:val="30"/>
          <w:lang w:val="en-US" w:eastAsia="zh-CN" w:bidi="ar-SA"/>
        </w:rPr>
        <w:t>规范绩效评价管理资料的收集整理，确保相关信息完整、可靠，客观公正地反映项目资金实际使用和产生的绩效状况，为今后该项目实施方向及资金管理方式的改进提供指导。</w:t>
      </w:r>
    </w:p>
    <w:p>
      <w:pPr>
        <w:pStyle w:val="3"/>
        <w:spacing w:line="360" w:lineRule="auto"/>
        <w:rPr>
          <w:rFonts w:ascii="宋体" w:hAnsi="宋体" w:eastAsia="宋体"/>
          <w:sz w:val="32"/>
          <w:szCs w:val="32"/>
        </w:rPr>
      </w:pPr>
      <w:bookmarkStart w:id="22" w:name="_Toc68703846"/>
      <w:r>
        <w:rPr>
          <w:rFonts w:hint="eastAsia" w:ascii="宋体" w:hAnsi="宋体" w:eastAsia="宋体"/>
          <w:sz w:val="32"/>
          <w:szCs w:val="32"/>
        </w:rPr>
        <w:t>七、其他需要说明的问题</w:t>
      </w:r>
      <w:bookmarkEnd w:id="22"/>
    </w:p>
    <w:p>
      <w:pPr>
        <w:spacing w:line="560" w:lineRule="exact"/>
        <w:ind w:firstLine="640" w:firstLineChars="200"/>
        <w:jc w:val="left"/>
        <w:rPr>
          <w:rFonts w:ascii="仿宋_GB2312" w:hAnsi="仿宋" w:eastAsia="仿宋_GB2312" w:cs="宋体"/>
          <w:color w:val="333333"/>
          <w:sz w:val="30"/>
          <w:szCs w:val="30"/>
        </w:rPr>
      </w:pPr>
      <w:r>
        <w:rPr>
          <w:rFonts w:hint="eastAsia" w:ascii="Times New Roman" w:hAnsi="Times New Roman" w:eastAsia="仿宋_GB2312"/>
          <w:color w:val="333333"/>
          <w:sz w:val="32"/>
          <w:szCs w:val="32"/>
        </w:rPr>
        <w:t xml:space="preserve"> </w:t>
      </w:r>
      <w:r>
        <w:rPr>
          <w:rFonts w:hint="eastAsia" w:ascii="Times New Roman" w:hAnsi="Times New Roman" w:eastAsia="仿宋_GB2312"/>
          <w:color w:val="333333"/>
          <w:sz w:val="30"/>
          <w:szCs w:val="30"/>
        </w:rPr>
        <w:t xml:space="preserve"> </w:t>
      </w:r>
      <w:r>
        <w:rPr>
          <w:rFonts w:hint="eastAsia" w:ascii="仿宋_GB2312" w:hAnsi="仿宋" w:eastAsia="仿宋_GB2312" w:cs="宋体"/>
          <w:color w:val="333333"/>
          <w:sz w:val="30"/>
          <w:szCs w:val="30"/>
        </w:rPr>
        <w:t>本次预算绩效评价所采集的数据因为采集时间、数据来源等诸多因素的影响，可能会出现一定的偏差，进而对评价结果存在影响。</w:t>
      </w:r>
    </w:p>
    <w:p>
      <w:pPr>
        <w:spacing w:line="360" w:lineRule="auto"/>
      </w:pPr>
    </w:p>
    <w:p>
      <w:bookmarkStart w:id="23" w:name="_GoBack"/>
      <w:bookmarkEnd w:id="23"/>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942D8"/>
    <w:multiLevelType w:val="singleLevel"/>
    <w:tmpl w:val="85F942D8"/>
    <w:lvl w:ilvl="0" w:tentative="0">
      <w:start w:val="2"/>
      <w:numFmt w:val="chineseCounting"/>
      <w:suff w:val="nothing"/>
      <w:lvlText w:val="（%1）"/>
      <w:lvlJc w:val="left"/>
      <w:rPr>
        <w:rFonts w:hint="eastAsia"/>
      </w:rPr>
    </w:lvl>
  </w:abstractNum>
  <w:abstractNum w:abstractNumId="1">
    <w:nsid w:val="AAD8DBA2"/>
    <w:multiLevelType w:val="singleLevel"/>
    <w:tmpl w:val="AAD8DBA2"/>
    <w:lvl w:ilvl="0" w:tentative="0">
      <w:start w:val="1"/>
      <w:numFmt w:val="chineseCounting"/>
      <w:suff w:val="nothing"/>
      <w:lvlText w:val="（%1）"/>
      <w:lvlJc w:val="left"/>
      <w:rPr>
        <w:rFonts w:hint="eastAsia"/>
      </w:rPr>
    </w:lvl>
  </w:abstractNum>
  <w:abstractNum w:abstractNumId="2">
    <w:nsid w:val="049B980D"/>
    <w:multiLevelType w:val="singleLevel"/>
    <w:tmpl w:val="049B980D"/>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JiYjNjZjYxZTI5YTNmNDAxOGYwOTUwZDBhMzkxNTA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1895971"/>
    <w:rsid w:val="033634C1"/>
    <w:rsid w:val="03BA4F03"/>
    <w:rsid w:val="046C2BFE"/>
    <w:rsid w:val="087F4E5A"/>
    <w:rsid w:val="08850B9A"/>
    <w:rsid w:val="0A03446D"/>
    <w:rsid w:val="0AB74AA4"/>
    <w:rsid w:val="0CB00949"/>
    <w:rsid w:val="10765998"/>
    <w:rsid w:val="120D6845"/>
    <w:rsid w:val="12154C55"/>
    <w:rsid w:val="128A7FEE"/>
    <w:rsid w:val="13501325"/>
    <w:rsid w:val="15DA37C6"/>
    <w:rsid w:val="170235F7"/>
    <w:rsid w:val="1C523D8E"/>
    <w:rsid w:val="1D67684C"/>
    <w:rsid w:val="1D7154E5"/>
    <w:rsid w:val="1D7F39B2"/>
    <w:rsid w:val="1F6152BA"/>
    <w:rsid w:val="1FDE2C12"/>
    <w:rsid w:val="22AC1F65"/>
    <w:rsid w:val="230F6640"/>
    <w:rsid w:val="238A7FB4"/>
    <w:rsid w:val="24AD28D1"/>
    <w:rsid w:val="2732278A"/>
    <w:rsid w:val="2A71178E"/>
    <w:rsid w:val="2C324A12"/>
    <w:rsid w:val="2EC61441"/>
    <w:rsid w:val="32983567"/>
    <w:rsid w:val="36BC40FA"/>
    <w:rsid w:val="37577E3D"/>
    <w:rsid w:val="38E23DA2"/>
    <w:rsid w:val="39A60C1D"/>
    <w:rsid w:val="39FC21BB"/>
    <w:rsid w:val="3F3020FF"/>
    <w:rsid w:val="440865DF"/>
    <w:rsid w:val="458661B6"/>
    <w:rsid w:val="46502459"/>
    <w:rsid w:val="466F510A"/>
    <w:rsid w:val="48AE4FC8"/>
    <w:rsid w:val="494627FA"/>
    <w:rsid w:val="496F0BFB"/>
    <w:rsid w:val="4CD57D2F"/>
    <w:rsid w:val="4D5D25E6"/>
    <w:rsid w:val="4EEB611E"/>
    <w:rsid w:val="50E87F9F"/>
    <w:rsid w:val="51EC1624"/>
    <w:rsid w:val="53536DBF"/>
    <w:rsid w:val="53863C32"/>
    <w:rsid w:val="54290643"/>
    <w:rsid w:val="551A0E23"/>
    <w:rsid w:val="55DA0770"/>
    <w:rsid w:val="580535A9"/>
    <w:rsid w:val="58F56620"/>
    <w:rsid w:val="5B4C788C"/>
    <w:rsid w:val="5E604529"/>
    <w:rsid w:val="617F0502"/>
    <w:rsid w:val="622575EA"/>
    <w:rsid w:val="657131AE"/>
    <w:rsid w:val="66611303"/>
    <w:rsid w:val="66C00C96"/>
    <w:rsid w:val="66E71979"/>
    <w:rsid w:val="66E76BC8"/>
    <w:rsid w:val="677F7E04"/>
    <w:rsid w:val="67DD5105"/>
    <w:rsid w:val="6B6712DB"/>
    <w:rsid w:val="6B7D28AC"/>
    <w:rsid w:val="6B826114"/>
    <w:rsid w:val="6F320B4F"/>
    <w:rsid w:val="7017402C"/>
    <w:rsid w:val="73131D48"/>
    <w:rsid w:val="73E57241"/>
    <w:rsid w:val="74B61262"/>
    <w:rsid w:val="750850DA"/>
    <w:rsid w:val="794F33AE"/>
    <w:rsid w:val="7B7E7133"/>
    <w:rsid w:val="7B8D2D34"/>
    <w:rsid w:val="7C455B1F"/>
    <w:rsid w:val="7F1D45A1"/>
    <w:rsid w:val="7F734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5">
    <w:name w:val="footer"/>
    <w:basedOn w:val="1"/>
    <w:link w:val="17"/>
    <w:unhideWhenUsed/>
    <w:uiPriority w:val="99"/>
    <w:pPr>
      <w:tabs>
        <w:tab w:val="center" w:pos="4153"/>
        <w:tab w:val="right" w:pos="8306"/>
      </w:tabs>
      <w:snapToGrid w:val="0"/>
      <w:jc w:val="left"/>
    </w:pPr>
    <w:rPr>
      <w:sz w:val="18"/>
      <w:szCs w:val="18"/>
    </w:rPr>
  </w:style>
  <w:style w:type="paragraph" w:styleId="6">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toc 2"/>
    <w:basedOn w:val="1"/>
    <w:next w:val="1"/>
    <w:unhideWhenUsed/>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6"/>
    <w:qFormat/>
    <w:uiPriority w:val="99"/>
    <w:rPr>
      <w:rFonts w:ascii="Times New Roman" w:hAnsi="Times New Roman" w:eastAsia="仿宋_GB2312" w:cs="Times New Roman"/>
      <w:sz w:val="18"/>
      <w:szCs w:val="18"/>
    </w:rPr>
  </w:style>
  <w:style w:type="character" w:customStyle="1" w:styleId="17">
    <w:name w:val="页脚 字符"/>
    <w:basedOn w:val="11"/>
    <w:link w:val="5"/>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6096</Words>
  <Characters>6287</Characters>
  <Lines>52</Lines>
  <Paragraphs>14</Paragraphs>
  <TotalTime>21</TotalTime>
  <ScaleCrop>false</ScaleCrop>
  <LinksUpToDate>false</LinksUpToDate>
  <CharactersWithSpaces>6429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2024-05-16T04:58:25Z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C10A60A6D9144BF185A63F71A217C929_12</vt:lpwstr>
  </property>
</Properties>
</file>