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rPr>
        <w:t>3年度）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eastAsia="zh-CN"/>
        </w:rPr>
        <w:t>学前三年免费教育补助经费</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w:t>
      </w:r>
      <w:r>
        <w:rPr>
          <w:rFonts w:hint="eastAsia" w:ascii="宋体" w:hAnsi="宋体" w:eastAsia="宋体" w:cs="仿宋_GB2312"/>
          <w:b/>
          <w:bCs/>
          <w:color w:val="000000"/>
          <w:kern w:val="0"/>
          <w:sz w:val="32"/>
          <w:szCs w:val="32"/>
          <w:lang w:val="en-US" w:eastAsia="zh-CN"/>
        </w:rPr>
        <w:t>回族自治</w:t>
      </w:r>
      <w:r>
        <w:rPr>
          <w:rFonts w:hint="eastAsia" w:ascii="宋体" w:hAnsi="宋体" w:eastAsia="宋体" w:cs="仿宋_GB2312"/>
          <w:b/>
          <w:bCs/>
          <w:color w:val="000000"/>
          <w:kern w:val="0"/>
          <w:sz w:val="32"/>
          <w:szCs w:val="32"/>
          <w:lang w:eastAsia="zh-CN"/>
        </w:rPr>
        <w:t>县苗苗幼儿园</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焉耆回族自治县教育和科学技术局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马晓红</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6"/>
            <w:jc w:val="center"/>
            <w:rPr>
              <w:rFonts w:ascii="宋体" w:hAnsi="宋体" w:eastAsia="宋体"/>
              <w:b/>
              <w:bCs/>
              <w:color w:val="auto"/>
              <w:lang w:val="zh-CN"/>
            </w:rPr>
          </w:pPr>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rPr>
              <w:rFonts w:hint="eastAsia"/>
              <w:lang w:eastAsia="zh-CN"/>
            </w:rPr>
            <w:t>9.7</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rPr>
              <w:rFonts w:hint="eastAsia"/>
              <w:lang w:eastAsia="zh-CN"/>
            </w:rPr>
            <w:t>9.7</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rPr>
              <w:rFonts w:hint="eastAsia"/>
              <w:lang w:eastAsia="zh-CN"/>
            </w:rPr>
            <w:t>9.7</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仿宋_GB2312"/>
          <w:szCs w:val="30"/>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rPr>
      </w:pPr>
      <w:r>
        <w:rPr>
          <w:rFonts w:hint="eastAsia" w:ascii="仿宋_GB2312"/>
        </w:rPr>
        <w:t>1、项目背景</w:t>
      </w:r>
    </w:p>
    <w:p>
      <w:pPr>
        <w:spacing w:line="360" w:lineRule="auto"/>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全面落实自治区第九次党代会关于教育惠民工程重大决策部署，普及农村学前三年免费教育，规范全疆农村学前教育保障机制经费管理，提高资金使用效益</w:t>
      </w:r>
      <w:r>
        <w:rPr>
          <w:rFonts w:hint="eastAsia" w:ascii="仿宋_GB2312" w:hAnsi="仿宋_GB2312" w:eastAsia="仿宋_GB2312" w:cs="仿宋_GB2312"/>
          <w:b w:val="0"/>
          <w:bCs w:val="0"/>
          <w:sz w:val="32"/>
          <w:szCs w:val="32"/>
          <w:lang w:eastAsia="zh-CN"/>
        </w:rPr>
        <w:t>，切实减轻家庭经济压力</w:t>
      </w:r>
      <w:r>
        <w:rPr>
          <w:rFonts w:hint="eastAsia" w:ascii="仿宋_GB2312" w:hAnsi="仿宋_GB2312" w:eastAsia="仿宋_GB2312" w:cs="仿宋_GB2312"/>
          <w:b w:val="0"/>
          <w:bCs w:val="0"/>
          <w:sz w:val="32"/>
          <w:szCs w:val="32"/>
          <w:lang w:val="en-US" w:eastAsia="zh-CN"/>
        </w:rPr>
        <w:t>,</w:t>
      </w:r>
      <w:r>
        <w:rPr>
          <w:rFonts w:hint="eastAsia" w:ascii="仿宋_GB2312"/>
        </w:rPr>
        <w:t>改善教育教学环境与设施</w:t>
      </w:r>
      <w:r>
        <w:rPr>
          <w:rFonts w:hint="eastAsia" w:ascii="仿宋_GB2312"/>
          <w:lang w:val="en-US" w:eastAsia="zh-CN"/>
        </w:rPr>
        <w:t>,提高</w:t>
      </w:r>
      <w:r>
        <w:rPr>
          <w:rFonts w:hint="eastAsia" w:ascii="仿宋_GB2312"/>
        </w:rPr>
        <w:t>教育教学质量。</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eastAsia" w:ascii="仿宋_GB2312"/>
        </w:rPr>
      </w:pPr>
      <w:r>
        <w:rPr>
          <w:rFonts w:hint="eastAsia" w:ascii="仿宋_GB2312"/>
        </w:rPr>
        <w:t>主要内容：</w:t>
      </w:r>
      <w:r>
        <w:rPr>
          <w:rFonts w:hint="eastAsia" w:ascii="仿宋_GB2312"/>
          <w:lang w:val="en-US" w:eastAsia="zh-CN"/>
        </w:rPr>
        <w:t>为符合条件的幼儿提供免费教育补助资金，以减轻家庭经济负担，</w:t>
      </w:r>
      <w:r>
        <w:rPr>
          <w:rFonts w:hint="eastAsia" w:ascii="仿宋_GB2312"/>
        </w:rPr>
        <w:t>改善教育教学环境与设施</w:t>
      </w:r>
      <w:r>
        <w:rPr>
          <w:rFonts w:hint="eastAsia" w:ascii="仿宋_GB2312"/>
          <w:lang w:val="en-US" w:eastAsia="zh-CN"/>
        </w:rPr>
        <w:t>,提高</w:t>
      </w:r>
      <w:r>
        <w:rPr>
          <w:rFonts w:hint="eastAsia" w:ascii="仿宋_GB2312"/>
        </w:rPr>
        <w:t>教育教学质量。</w:t>
      </w:r>
    </w:p>
    <w:p>
      <w:pPr>
        <w:spacing w:line="360" w:lineRule="auto"/>
        <w:ind w:firstLine="600" w:firstLineChars="200"/>
        <w:rPr>
          <w:rFonts w:ascii="仿宋_GB2312"/>
          <w:color w:val="FF0000"/>
        </w:rPr>
      </w:pPr>
      <w:r>
        <w:rPr>
          <w:rFonts w:hint="eastAsia" w:ascii="仿宋_GB2312"/>
        </w:rPr>
        <w:t>实施情况：已足额为</w:t>
      </w:r>
      <w:r>
        <w:rPr>
          <w:rFonts w:hint="eastAsia" w:ascii="仿宋_GB2312"/>
          <w:lang w:val="en-US" w:eastAsia="zh-CN"/>
        </w:rPr>
        <w:t>280</w:t>
      </w:r>
      <w:r>
        <w:rPr>
          <w:rFonts w:hint="eastAsia" w:ascii="仿宋_GB2312"/>
        </w:rPr>
        <w:t>名幼儿提供伙食、生活补助，有效保证了学前教育教育教学的正常开展，改善了幼儿的伙食营养和教育教学环境与设施，教师教育教学质量明显提升。</w:t>
      </w:r>
    </w:p>
    <w:p>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pPr>
        <w:spacing w:line="360" w:lineRule="auto"/>
        <w:ind w:firstLine="600" w:firstLineChars="200"/>
        <w:rPr>
          <w:color w:val="auto"/>
        </w:rPr>
      </w:pPr>
      <w:r>
        <w:rPr>
          <w:rFonts w:hint="eastAsia"/>
        </w:rPr>
        <w:t>资金投</w:t>
      </w:r>
      <w:r>
        <w:rPr>
          <w:rFonts w:hint="eastAsia"/>
          <w:color w:val="auto"/>
        </w:rPr>
        <w:t>入情况：该项目年初预算数</w:t>
      </w:r>
      <w:r>
        <w:rPr>
          <w:rFonts w:hint="eastAsia"/>
          <w:color w:val="auto"/>
          <w:lang w:val="en-US" w:eastAsia="zh-CN"/>
        </w:rPr>
        <w:t>9.7</w:t>
      </w:r>
      <w:r>
        <w:rPr>
          <w:rFonts w:hint="eastAsia"/>
          <w:color w:val="auto"/>
        </w:rPr>
        <w:t>万元，全年预算数</w:t>
      </w:r>
      <w:r>
        <w:rPr>
          <w:rFonts w:hint="eastAsia"/>
          <w:color w:val="auto"/>
          <w:lang w:val="en-US" w:eastAsia="zh-CN"/>
        </w:rPr>
        <w:t>9.7</w:t>
      </w:r>
      <w:r>
        <w:rPr>
          <w:rFonts w:hint="eastAsia"/>
          <w:color w:val="auto"/>
        </w:rPr>
        <w:t>万元，实际总投入</w:t>
      </w:r>
      <w:r>
        <w:rPr>
          <w:rFonts w:hint="eastAsia"/>
          <w:color w:val="auto"/>
          <w:lang w:val="en-US" w:eastAsia="zh-CN"/>
        </w:rPr>
        <w:t>9.7</w:t>
      </w:r>
      <w:r>
        <w:rPr>
          <w:rFonts w:hint="eastAsia"/>
          <w:color w:val="auto"/>
        </w:rPr>
        <w:t>万元，该项目资金已全部落实到位。</w:t>
      </w:r>
    </w:p>
    <w:p>
      <w:pPr>
        <w:spacing w:line="360" w:lineRule="auto"/>
        <w:ind w:firstLine="600" w:firstLineChars="200"/>
        <w:rPr>
          <w:rFonts w:hint="eastAsia" w:eastAsia="仿宋_GB2312"/>
          <w:color w:val="FF0000"/>
          <w:lang w:eastAsia="zh-CN"/>
        </w:rPr>
      </w:pPr>
      <w:r>
        <w:rPr>
          <w:rFonts w:hint="eastAsia"/>
        </w:rPr>
        <w:t>资金使用</w:t>
      </w:r>
      <w:r>
        <w:rPr>
          <w:rFonts w:hint="eastAsia"/>
          <w:color w:val="auto"/>
        </w:rPr>
        <w:t>情况：该项目年初预算数</w:t>
      </w:r>
      <w:r>
        <w:rPr>
          <w:rFonts w:hint="eastAsia"/>
          <w:color w:val="auto"/>
          <w:lang w:val="en-US" w:eastAsia="zh-CN"/>
        </w:rPr>
        <w:t>9.7</w:t>
      </w:r>
      <w:r>
        <w:rPr>
          <w:rFonts w:hint="eastAsia"/>
          <w:color w:val="auto"/>
        </w:rPr>
        <w:t>万元，全年预算数</w:t>
      </w:r>
      <w:r>
        <w:rPr>
          <w:rFonts w:hint="eastAsia"/>
          <w:color w:val="auto"/>
          <w:lang w:val="en-US" w:eastAsia="zh-CN"/>
        </w:rPr>
        <w:t>9.7</w:t>
      </w:r>
      <w:r>
        <w:rPr>
          <w:rFonts w:hint="eastAsia"/>
          <w:color w:val="auto"/>
        </w:rPr>
        <w:t>万元，全年执行数</w:t>
      </w:r>
      <w:r>
        <w:rPr>
          <w:rFonts w:hint="eastAsia"/>
          <w:color w:val="auto"/>
          <w:lang w:val="en-US" w:eastAsia="zh-CN"/>
        </w:rPr>
        <w:t>9.7</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color w:val="auto"/>
        </w:rPr>
        <w:t>为</w:t>
      </w:r>
      <w:r>
        <w:rPr>
          <w:rFonts w:hint="eastAsia" w:ascii="仿宋_GB2312"/>
          <w:color w:val="auto"/>
          <w:lang w:val="en-US" w:eastAsia="zh-CN"/>
        </w:rPr>
        <w:t>280</w:t>
      </w:r>
      <w:r>
        <w:rPr>
          <w:rFonts w:hint="eastAsia" w:ascii="仿宋_GB2312"/>
          <w:color w:val="auto"/>
        </w:rPr>
        <w:t>名幼儿提供伙食、生活补助</w:t>
      </w:r>
      <w:r>
        <w:rPr>
          <w:rFonts w:hint="eastAsia"/>
          <w:color w:val="auto"/>
          <w:lang w:val="en-US" w:eastAsia="zh-CN"/>
        </w:rPr>
        <w:t>9.7</w:t>
      </w:r>
      <w:r>
        <w:rPr>
          <w:rFonts w:hint="eastAsia"/>
          <w:color w:val="auto"/>
        </w:rPr>
        <w:t>万元</w:t>
      </w:r>
      <w:r>
        <w:rPr>
          <w:rFonts w:hint="eastAsia"/>
          <w:color w:val="auto"/>
          <w:lang w:eastAsia="zh-CN"/>
        </w:rPr>
        <w:t>。</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rFonts w:hint="eastAsia"/>
        </w:rPr>
      </w:pPr>
      <w:r>
        <w:rPr>
          <w:rFonts w:hint="eastAsia"/>
        </w:rPr>
        <w:t>1、总体目标：</w:t>
      </w:r>
    </w:p>
    <w:p>
      <w:pPr>
        <w:spacing w:line="360" w:lineRule="auto"/>
        <w:ind w:firstLine="600" w:firstLineChars="200"/>
        <w:rPr>
          <w:rFonts w:hint="eastAsia"/>
        </w:rPr>
      </w:pPr>
      <w:r>
        <w:rPr>
          <w:rFonts w:hint="eastAsia"/>
          <w:lang w:val="en-US" w:eastAsia="zh-CN"/>
        </w:rPr>
        <w:t>通过该项目的实施</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14:textFill>
            <w14:solidFill>
              <w14:schemeClr w14:val="tx1"/>
            </w14:solidFill>
          </w14:textFill>
        </w:rPr>
        <w:t>根据我</w:t>
      </w:r>
      <w:r>
        <w:rPr>
          <w:rFonts w:hint="eastAsia"/>
          <w:color w:val="000000" w:themeColor="text1"/>
          <w:highlight w:val="none"/>
          <w:lang w:eastAsia="zh-CN"/>
          <w14:textFill>
            <w14:solidFill>
              <w14:schemeClr w14:val="tx1"/>
            </w14:solidFill>
          </w14:textFill>
        </w:rPr>
        <w:t>园</w:t>
      </w:r>
      <w:r>
        <w:rPr>
          <w:rFonts w:hint="eastAsia"/>
          <w:color w:val="000000" w:themeColor="text1"/>
          <w:highlight w:val="none"/>
          <w14:textFill>
            <w14:solidFill>
              <w14:schemeClr w14:val="tx1"/>
            </w14:solidFill>
          </w14:textFill>
        </w:rPr>
        <w:t>实际</w:t>
      </w:r>
      <w:r>
        <w:rPr>
          <w:rFonts w:hint="eastAsia"/>
          <w:color w:val="000000" w:themeColor="text1"/>
          <w:highlight w:val="none"/>
          <w:lang w:eastAsia="zh-CN"/>
          <w14:textFill>
            <w14:solidFill>
              <w14:schemeClr w14:val="tx1"/>
            </w14:solidFill>
          </w14:textFill>
        </w:rPr>
        <w:t>在园幼儿</w:t>
      </w:r>
      <w:r>
        <w:rPr>
          <w:rFonts w:hint="eastAsia"/>
          <w:color w:val="000000" w:themeColor="text1"/>
          <w:highlight w:val="none"/>
          <w14:textFill>
            <w14:solidFill>
              <w14:schemeClr w14:val="tx1"/>
            </w14:solidFill>
          </w14:textFill>
        </w:rPr>
        <w:t>人数进一步优</w:t>
      </w:r>
      <w:r>
        <w:rPr>
          <w:rFonts w:hint="eastAsia"/>
        </w:rPr>
        <w:t>化教育结构，全面加强教育经费投入使用管理工作，优先保障，强化管理。</w:t>
      </w:r>
    </w:p>
    <w:p>
      <w:pPr>
        <w:numPr>
          <w:ilvl w:val="0"/>
          <w:numId w:val="1"/>
        </w:numPr>
        <w:spacing w:line="360" w:lineRule="auto"/>
        <w:ind w:firstLine="600" w:firstLineChars="200"/>
        <w:rPr>
          <w:rFonts w:hint="eastAsia"/>
        </w:rPr>
      </w:pPr>
      <w:r>
        <w:rPr>
          <w:rFonts w:hint="eastAsia"/>
        </w:rPr>
        <w:t>阶段性目标：</w:t>
      </w:r>
    </w:p>
    <w:p>
      <w:pPr>
        <w:spacing w:line="360" w:lineRule="auto"/>
        <w:ind w:firstLine="600" w:firstLineChars="200"/>
        <w:rPr>
          <w:rFonts w:hint="default" w:ascii="Times New Roman" w:hAnsi="Times New Roman" w:cs="Times New Roman"/>
          <w:lang w:val="en-US" w:eastAsia="zh-CN"/>
        </w:rPr>
      </w:pPr>
      <w:r>
        <w:rPr>
          <w:rFonts w:hint="eastAsia"/>
          <w:highlight w:val="none"/>
          <w:lang w:val="en-US" w:eastAsia="zh-CN"/>
        </w:rPr>
        <w:t>阶段一：</w:t>
      </w:r>
      <w:r>
        <w:rPr>
          <w:rFonts w:hint="eastAsia" w:ascii="Times New Roman" w:hAnsi="Times New Roman" w:cs="Times New Roman"/>
          <w:lang w:val="en-US" w:eastAsia="zh-CN"/>
        </w:rPr>
        <w:t>经费分配、申请、确定阶段。幼儿园学生资助工作小组明确工作职责，熟悉申请条件及流程，对享受资助幼儿名单进行公示。</w:t>
      </w:r>
    </w:p>
    <w:p>
      <w:pPr>
        <w:spacing w:line="360" w:lineRule="auto"/>
        <w:ind w:firstLine="600" w:firstLineChars="200"/>
        <w:rPr>
          <w:rFonts w:hint="eastAsia" w:ascii="Times New Roman" w:hAnsi="Times New Roman" w:cs="Times New Roman"/>
          <w:lang w:eastAsia="zh-CN"/>
        </w:rPr>
      </w:pPr>
      <w:r>
        <w:rPr>
          <w:rFonts w:hint="eastAsia" w:ascii="Times New Roman" w:hAnsi="Times New Roman" w:cs="Times New Roman"/>
          <w:lang w:val="en-US" w:eastAsia="zh-CN"/>
        </w:rPr>
        <w:t>阶段二：经费支付阶段。由财务室工作人员根据</w:t>
      </w:r>
      <w:r>
        <w:rPr>
          <w:rFonts w:hint="eastAsia" w:ascii="Times New Roman" w:hAnsi="Times New Roman" w:cs="Times New Roman"/>
        </w:rPr>
        <w:t>《自治区农村学前三年免费双语教育经费保障机制管理办法》</w:t>
      </w:r>
      <w:r>
        <w:rPr>
          <w:rFonts w:hint="eastAsia" w:ascii="Times New Roman" w:hAnsi="Times New Roman" w:cs="Times New Roman"/>
          <w:lang w:eastAsia="zh-CN"/>
        </w:rPr>
        <w:t>，</w:t>
      </w:r>
      <w:r>
        <w:rPr>
          <w:rFonts w:hint="eastAsia" w:ascii="Times New Roman" w:hAnsi="Times New Roman" w:cs="Times New Roman"/>
        </w:rPr>
        <w:t>遵循“统筹安排、规范透明，注重实效、强化监督”的原则</w:t>
      </w:r>
      <w:r>
        <w:rPr>
          <w:rFonts w:hint="eastAsia" w:ascii="Times New Roman" w:hAnsi="Times New Roman" w:cs="Times New Roman"/>
          <w:lang w:eastAsia="zh-CN"/>
        </w:rPr>
        <w:t>，根据</w:t>
      </w:r>
      <w:r>
        <w:rPr>
          <w:rFonts w:hint="eastAsia" w:ascii="Times New Roman" w:hAnsi="Times New Roman" w:cs="Times New Roman"/>
        </w:rPr>
        <w:t>学前在园幼儿人数及时、足额</w:t>
      </w:r>
      <w:r>
        <w:rPr>
          <w:rFonts w:hint="eastAsia" w:ascii="Times New Roman" w:hAnsi="Times New Roman" w:cs="Times New Roman"/>
          <w:lang w:eastAsia="zh-CN"/>
        </w:rPr>
        <w:t>支付幼儿伙食费及办公费。</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FF0000"/>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eastAsia="zh-CN"/>
        </w:rPr>
        <w:t>学前三年免费教育保障</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eastAsia="zh-CN"/>
        </w:rPr>
        <w:t>园</w:t>
      </w:r>
      <w:r>
        <w:rPr>
          <w:rFonts w:hint="eastAsia" w:ascii="仿宋_GB2312"/>
          <w:bCs/>
          <w:color w:val="auto"/>
          <w:sz w:val="32"/>
          <w:szCs w:val="32"/>
        </w:rPr>
        <w:t>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40" w:firstLineChars="200"/>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cs="仿宋_GB2312"/>
          <w:b w:val="0"/>
          <w:bCs w:val="0"/>
          <w:color w:val="000000"/>
          <w:kern w:val="0"/>
          <w:sz w:val="32"/>
          <w:szCs w:val="32"/>
          <w:lang w:eastAsia="zh-CN"/>
        </w:rPr>
        <w:t>苗苗幼儿园</w:t>
      </w:r>
      <w:r>
        <w:rPr>
          <w:rFonts w:hint="eastAsia" w:ascii="仿宋_GB2312" w:hAnsi="仿宋_GB2312" w:eastAsia="仿宋_GB2312" w:cs="仿宋_GB2312"/>
          <w:b w:val="0"/>
          <w:bCs w:val="0"/>
          <w:color w:val="000000"/>
          <w:kern w:val="0"/>
          <w:sz w:val="32"/>
          <w:szCs w:val="32"/>
          <w:lang w:eastAsia="zh-CN"/>
        </w:rPr>
        <w:t>学前三年免费教育补助经费</w:t>
      </w:r>
      <w:r>
        <w:rPr>
          <w:rFonts w:hint="eastAsia" w:ascii="仿宋_GB2312" w:hAnsi="仿宋_GB2312" w:cs="仿宋_GB2312"/>
          <w:b w:val="0"/>
          <w:bCs w:val="0"/>
          <w:color w:val="000000"/>
          <w:kern w:val="0"/>
          <w:sz w:val="32"/>
          <w:szCs w:val="32"/>
          <w:lang w:eastAsia="zh-CN"/>
        </w:rPr>
        <w:t>。</w:t>
      </w:r>
    </w:p>
    <w:p>
      <w:pPr>
        <w:spacing w:line="360" w:lineRule="auto"/>
        <w:ind w:firstLine="600" w:firstLineChars="200"/>
      </w:pPr>
      <w:r>
        <w:rPr>
          <w:rFonts w:hint="eastAsia"/>
        </w:rPr>
        <w:t>3、绩效评价范围：</w:t>
      </w:r>
    </w:p>
    <w:p>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eastAsia="zh-CN"/>
        </w:rPr>
        <w:t>学前三年免费教育补助经费</w:t>
      </w:r>
      <w:r>
        <w:rPr>
          <w:rFonts w:hint="eastAsia"/>
          <w:color w:val="auto"/>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（一）科学公正。</w:t>
      </w:r>
      <w:r>
        <w:rPr>
          <w:rFonts w:hint="eastAsia" w:ascii="仿宋" w:hAnsi="仿宋" w:eastAsia="仿宋" w:cs="仿宋"/>
          <w:color w:val="auto"/>
          <w:sz w:val="31"/>
          <w:szCs w:val="31"/>
          <w:lang w:val="zh-CN"/>
        </w:rPr>
        <w:t>根据《财政部关于印发&lt;财政支出绩效评价管理暂行办法&gt;的通知》（财预〔209.7〕285号）、财政部《项目支出绩效评价管理办法》（财预﹝2020﹞10号）、关于印发《自治州财政支出绩效评价管理暂行办法》的通知（巴财预〔2019〕82号），</w:t>
      </w:r>
      <w:r>
        <w:rPr>
          <w:rFonts w:hint="eastAsia" w:ascii="仿宋" w:hAnsi="仿宋" w:eastAsia="仿宋" w:cs="仿宋"/>
          <w:color w:val="auto"/>
          <w:sz w:val="31"/>
          <w:szCs w:val="31"/>
          <w:lang w:val="en-US" w:eastAsia="zh-CN"/>
        </w:rPr>
        <w:t>按照规范的程序对项目进行客观、公正的反映。</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（二）统筹兼顾。本次由</w:t>
      </w:r>
      <w:r>
        <w:rPr>
          <w:rFonts w:hint="eastAsia" w:ascii="仿宋_GB2312"/>
          <w:bCs/>
          <w:color w:val="auto"/>
          <w:sz w:val="32"/>
          <w:szCs w:val="32"/>
          <w:lang w:val="en-US" w:eastAsia="zh-CN"/>
        </w:rPr>
        <w:t>焉耆县苗苗幼儿园</w:t>
      </w:r>
      <w:r>
        <w:rPr>
          <w:rFonts w:hint="eastAsia" w:ascii="仿宋_GB2312"/>
          <w:bCs/>
          <w:color w:val="auto"/>
          <w:sz w:val="32"/>
          <w:szCs w:val="32"/>
        </w:rPr>
        <w:t>主要领导负责召集各项目主管人员及项目执行部门召开项目自评会议，根据规范程序布置工作任务，统一自评标准，制定了项目绩效自评方案，分工明确，责任到人，确保绩效评价工作扎实、开展。</w:t>
      </w:r>
    </w:p>
    <w:p>
      <w:pPr>
        <w:spacing w:line="600" w:lineRule="exact"/>
        <w:ind w:firstLine="640"/>
        <w:rPr>
          <w:rFonts w:ascii="仿宋_GB2312"/>
          <w:bCs/>
          <w:color w:val="auto"/>
          <w:sz w:val="32"/>
          <w:szCs w:val="32"/>
        </w:rPr>
      </w:pPr>
      <w:r>
        <w:rPr>
          <w:rFonts w:hint="eastAsia" w:ascii="仿宋_GB2312"/>
          <w:bCs/>
          <w:color w:val="auto"/>
          <w:sz w:val="32"/>
          <w:szCs w:val="32"/>
        </w:rPr>
        <w:t>（三）激励约束。绩效评价结果应与资金分配挂钩，建立健全评价结果与与财政预算资金分配挂钩，并作为改进管理、完善政策的重要依据，向上一年度绩效评价考核优秀的部门倾斜。</w:t>
      </w:r>
    </w:p>
    <w:p>
      <w:pPr>
        <w:spacing w:line="600" w:lineRule="exact"/>
        <w:ind w:firstLine="640"/>
      </w:pPr>
      <w:r>
        <w:rPr>
          <w:rFonts w:hint="eastAsia" w:ascii="仿宋_GB2312"/>
          <w:bCs/>
          <w:color w:val="auto"/>
          <w:sz w:val="32"/>
          <w:szCs w:val="32"/>
        </w:rPr>
        <w:t>（四）公开透明。我单位绩效评价结束以后，将根据《政府信息公开条例》规定，自评结果在</w:t>
      </w:r>
      <w:r>
        <w:rPr>
          <w:rFonts w:hint="eastAsia" w:ascii="仿宋_GB2312"/>
          <w:bCs/>
          <w:color w:val="auto"/>
          <w:sz w:val="32"/>
          <w:szCs w:val="32"/>
          <w:lang w:val="en-US" w:eastAsia="zh-CN"/>
        </w:rPr>
        <w:t>焉耆县</w:t>
      </w:r>
      <w:r>
        <w:rPr>
          <w:rFonts w:hint="eastAsia" w:ascii="仿宋_GB2312"/>
          <w:bCs/>
          <w:color w:val="auto"/>
          <w:sz w:val="32"/>
          <w:szCs w:val="32"/>
        </w:rPr>
        <w:t>政府网站进行公开，广泛接受人民群众监督，接受社会各界监督，让公众全面了解政府绩效评价过程和评价结果。</w:t>
      </w: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eastAsia="zh-CN"/>
        </w:rPr>
        <w:t>学前三年免费教育补助经费</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c>
          <w:tcPr>
            <w:tcW w:w="874" w:type="dxa"/>
            <w:tcBorders>
              <w:bottom w:val="single" w:color="auto" w:sz="4" w:space="0"/>
            </w:tcBorders>
            <w:shd w:val="clear" w:color="auto"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c>
          <w:tcPr>
            <w:tcW w:w="874" w:type="dxa"/>
            <w:shd w:val="clear" w:color="auto"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c>
          <w:tcPr>
            <w:tcW w:w="874" w:type="dxa"/>
            <w:shd w:val="clear" w:color="000000"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c>
          <w:tcPr>
            <w:tcW w:w="874" w:type="dxa"/>
            <w:tcBorders>
              <w:bottom w:val="single" w:color="auto" w:sz="4" w:space="0"/>
            </w:tcBorders>
            <w:shd w:val="clear" w:color="000000"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tabs>
                <w:tab w:val="left" w:pos="517"/>
              </w:tabs>
              <w:spacing w:beforeLines="0" w:afterLines="0" w:line="580" w:lineRule="atLeast"/>
              <w:jc w:val="left"/>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 xml:space="preserve"> 2.5</w:t>
            </w:r>
          </w:p>
        </w:tc>
        <w:tc>
          <w:tcPr>
            <w:tcW w:w="874" w:type="dxa"/>
            <w:tcBorders>
              <w:bottom w:val="single" w:color="auto" w:sz="4" w:space="0"/>
            </w:tcBorders>
            <w:shd w:val="clear" w:color="auto" w:fill="FFFFFF"/>
            <w:vAlign w:val="top"/>
          </w:tcPr>
          <w:p>
            <w:pPr>
              <w:tabs>
                <w:tab w:val="left" w:pos="517"/>
              </w:tabs>
              <w:spacing w:beforeLines="0" w:afterLines="0" w:line="580" w:lineRule="atLeast"/>
              <w:jc w:val="left"/>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 xml:space="preserve"> 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c>
          <w:tcPr>
            <w:tcW w:w="874" w:type="dxa"/>
            <w:shd w:val="clear" w:color="auto"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auto"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pPr>
              <w:spacing w:line="600" w:lineRule="auto"/>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c>
          <w:tcPr>
            <w:tcW w:w="874" w:type="dxa"/>
            <w:shd w:val="clear" w:color="000000"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c>
          <w:tcPr>
            <w:tcW w:w="874" w:type="dxa"/>
            <w:shd w:val="clear" w:color="000000"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c>
          <w:tcPr>
            <w:tcW w:w="874" w:type="dxa"/>
            <w:shd w:val="clear" w:color="000000"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highlight w:val="none"/>
                <w:lang w:val="zh-CN"/>
              </w:rPr>
              <w:t>10</w:t>
            </w:r>
          </w:p>
        </w:tc>
        <w:tc>
          <w:tcPr>
            <w:tcW w:w="874" w:type="dxa"/>
            <w:shd w:val="clear" w:color="auto"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highlight w:val="none"/>
                <w:lang w:val="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beforeLines="0" w:afterLines="0" w:line="580" w:lineRule="atLeast"/>
              <w:jc w:val="center"/>
              <w:rPr>
                <w:rFonts w:hint="default"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c>
          <w:tcPr>
            <w:tcW w:w="874" w:type="dxa"/>
            <w:shd w:val="clear" w:color="auto"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beforeLines="0" w:afterLines="0" w:line="580" w:lineRule="atLeast"/>
              <w:jc w:val="center"/>
              <w:rPr>
                <w:rFonts w:hint="default"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c>
          <w:tcPr>
            <w:tcW w:w="874" w:type="dxa"/>
            <w:shd w:val="clear" w:color="000000" w:fill="FFFFFF"/>
            <w:vAlign w:val="top"/>
          </w:tcPr>
          <w:p>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spacing w:beforeLines="0" w:afterLines="0" w:line="580" w:lineRule="atLeast"/>
              <w:jc w:val="center"/>
              <w:rPr>
                <w:rFonts w:hint="default" w:ascii="宋体" w:hAnsi="宋体" w:eastAsia="仿宋_GB2312" w:cs="宋体"/>
                <w:color w:val="000000"/>
                <w:kern w:val="0"/>
                <w:sz w:val="22"/>
                <w:lang w:val="en-US" w:eastAsia="zh-CN"/>
              </w:rPr>
            </w:pPr>
            <w:r>
              <w:rPr>
                <w:rFonts w:hint="eastAsia" w:ascii="仿宋" w:hAnsi="仿宋" w:eastAsia="仿宋" w:cs="仿宋"/>
                <w:color w:val="auto"/>
                <w:sz w:val="20"/>
                <w:szCs w:val="20"/>
                <w:lang w:val="zh-CN"/>
              </w:rPr>
              <w:t>100</w:t>
            </w:r>
          </w:p>
        </w:tc>
        <w:tc>
          <w:tcPr>
            <w:tcW w:w="874" w:type="dxa"/>
            <w:shd w:val="clear" w:color="auto" w:fill="FFFFFF"/>
            <w:vAlign w:val="center"/>
          </w:tcPr>
          <w:p>
            <w:pPr>
              <w:spacing w:beforeLines="0" w:afterLines="0" w:line="580" w:lineRule="atLeast"/>
              <w:jc w:val="center"/>
              <w:rPr>
                <w:rFonts w:hint="default" w:ascii="宋体" w:hAnsi="宋体" w:eastAsia="仿宋_GB2312" w:cs="宋体"/>
                <w:color w:val="000000"/>
                <w:kern w:val="0"/>
                <w:sz w:val="22"/>
                <w:lang w:val="en-US" w:eastAsia="zh-CN"/>
              </w:rPr>
            </w:pPr>
            <w:r>
              <w:rPr>
                <w:rFonts w:hint="eastAsia" w:ascii="仿宋" w:hAnsi="仿宋" w:eastAsia="仿宋" w:cs="仿宋"/>
                <w:color w:val="auto"/>
                <w:sz w:val="20"/>
                <w:szCs w:val="20"/>
                <w:lang w:val="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pageBreakBefore w:val="0"/>
        <w:kinsoku/>
        <w:wordWrap/>
        <w:overflowPunct/>
        <w:topLinePunct w:val="0"/>
        <w:autoSpaceDE/>
        <w:autoSpaceDN/>
        <w:bidi w:val="0"/>
        <w:adjustRightInd/>
        <w:snapToGrid/>
        <w:spacing w:line="560" w:lineRule="exact"/>
        <w:ind w:firstLine="640" w:firstLineChars="200"/>
        <w:jc w:val="left"/>
        <w:textAlignment w:val="auto"/>
      </w:pPr>
      <w:r>
        <w:rPr>
          <w:rFonts w:hint="eastAsia"/>
          <w:color w:val="000000" w:themeColor="text1"/>
          <w:sz w:val="32"/>
          <w:szCs w:val="32"/>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w:t>
      </w:r>
      <w:r>
        <w:rPr>
          <w:rFonts w:hint="eastAsia"/>
          <w:color w:val="000000" w:themeColor="text1"/>
          <w:sz w:val="32"/>
          <w:szCs w:val="32"/>
          <w:lang w:val="en-US" w:eastAsia="zh-CN"/>
        </w:rPr>
        <w:t>影响</w:t>
      </w:r>
      <w:r>
        <w:rPr>
          <w:rFonts w:hint="eastAsia"/>
          <w:color w:val="000000" w:themeColor="text1"/>
          <w:sz w:val="32"/>
          <w:szCs w:val="32"/>
        </w:rPr>
        <w:t>项目立项依据、绩效目标、资金投入、使用、产出及效益等方面</w:t>
      </w:r>
      <w:r>
        <w:rPr>
          <w:rFonts w:hint="eastAsia"/>
          <w:color w:val="000000" w:themeColor="text1"/>
          <w:sz w:val="32"/>
          <w:szCs w:val="32"/>
          <w:lang w:eastAsia="zh-CN"/>
        </w:rPr>
        <w:t>的</w:t>
      </w:r>
      <w:r>
        <w:rPr>
          <w:rFonts w:hint="eastAsia"/>
          <w:color w:val="000000" w:themeColor="text1"/>
          <w:sz w:val="32"/>
          <w:szCs w:val="32"/>
          <w:lang w:val="en-US" w:eastAsia="zh-CN"/>
        </w:rPr>
        <w:t>因素</w:t>
      </w:r>
      <w:r>
        <w:rPr>
          <w:rFonts w:hint="eastAsia"/>
          <w:color w:val="000000" w:themeColor="text1"/>
          <w:sz w:val="32"/>
          <w:szCs w:val="32"/>
        </w:rPr>
        <w:t>，</w:t>
      </w:r>
      <w:r>
        <w:rPr>
          <w:rFonts w:hint="eastAsia"/>
          <w:color w:val="000000" w:themeColor="text1"/>
          <w:sz w:val="32"/>
          <w:szCs w:val="32"/>
          <w:lang w:val="en-US" w:eastAsia="zh-CN"/>
        </w:rPr>
        <w:t>判断</w:t>
      </w:r>
      <w:r>
        <w:rPr>
          <w:rFonts w:hint="eastAsia"/>
          <w:color w:val="000000" w:themeColor="text1"/>
          <w:sz w:val="32"/>
          <w:szCs w:val="32"/>
        </w:rPr>
        <w:t>项目实施情况，并在此基础上进行评价。</w:t>
      </w:r>
    </w:p>
    <w:p>
      <w:pPr>
        <w:spacing w:line="360" w:lineRule="auto"/>
      </w:pPr>
      <w:r>
        <w:rPr>
          <w:rFonts w:hint="eastAsia"/>
        </w:rPr>
        <w:t>4、评价标准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color w:val="000000" w:themeColor="text1"/>
          <w:sz w:val="32"/>
          <w:szCs w:val="32"/>
          <w:lang w:val="en-US" w:eastAsia="zh-CN"/>
        </w:rPr>
      </w:pPr>
      <w:bookmarkStart w:id="6" w:name="_Toc68703833"/>
      <w:r>
        <w:rPr>
          <w:rFonts w:hint="eastAsia"/>
          <w:color w:val="000000" w:themeColor="text1"/>
          <w:sz w:val="32"/>
          <w:szCs w:val="32"/>
        </w:rPr>
        <w:t>本次项目支出绩效自评采用计划标准，原因是：</w:t>
      </w:r>
      <w:r>
        <w:rPr>
          <w:rFonts w:hint="eastAsia"/>
          <w:color w:val="000000" w:themeColor="text1"/>
          <w:sz w:val="32"/>
          <w:szCs w:val="32"/>
          <w:lang w:val="en-US" w:eastAsia="zh-CN"/>
        </w:rPr>
        <w:t>本项目通过预先制定的目标、计划、预算指标数据确定三级指标进行自评，确保目标有序实现，提高工作效率，降低风险，使评价结果更加科学真实。</w:t>
      </w:r>
    </w:p>
    <w:p>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（三）绩效评价工作过程。</w:t>
      </w:r>
      <w:bookmarkEnd w:id="6"/>
    </w:p>
    <w:p>
      <w:pPr>
        <w:spacing w:line="560" w:lineRule="exact"/>
        <w:ind w:firstLine="640" w:firstLineChars="200"/>
        <w:rPr>
          <w:bCs/>
          <w:color w:val="auto"/>
          <w:sz w:val="32"/>
          <w:szCs w:val="32"/>
        </w:rPr>
      </w:pPr>
      <w:r>
        <w:rPr>
          <w:rFonts w:hint="eastAsia"/>
          <w:bCs/>
          <w:color w:val="auto"/>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bCs/>
          <w:color w:val="auto"/>
          <w:sz w:val="32"/>
          <w:szCs w:val="32"/>
        </w:rPr>
      </w:pPr>
      <w:r>
        <w:rPr>
          <w:rFonts w:hint="eastAsia"/>
          <w:bCs/>
          <w:color w:val="auto"/>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color w:val="auto"/>
          <w:sz w:val="32"/>
          <w:szCs w:val="32"/>
        </w:rPr>
      </w:pPr>
      <w:r>
        <w:rPr>
          <w:rFonts w:hint="eastAsia"/>
          <w:bCs/>
          <w:color w:val="auto"/>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pStyle w:val="9"/>
        <w:rPr>
          <w:color w:val="auto"/>
        </w:rPr>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auto"/>
        </w:rPr>
      </w:pPr>
      <w:r>
        <w:rPr>
          <w:rFonts w:hint="eastAsia"/>
          <w:color w:val="auto"/>
        </w:rPr>
        <w:t>本项目严格按照</w:t>
      </w:r>
      <w:r>
        <w:rPr>
          <w:rFonts w:hint="eastAsia"/>
          <w:color w:val="auto"/>
          <w:lang w:eastAsia="zh-CN"/>
        </w:rPr>
        <w:t>学前三年免费教育补助资金项目</w:t>
      </w:r>
      <w:r>
        <w:rPr>
          <w:rFonts w:hint="eastAsia"/>
          <w:color w:val="auto"/>
        </w:rPr>
        <w:t>绩效评价原则，采用</w:t>
      </w:r>
      <w:r>
        <w:rPr>
          <w:rFonts w:hint="eastAsia"/>
          <w:color w:val="auto"/>
          <w:lang w:val="en-US" w:eastAsia="zh-CN"/>
        </w:rPr>
        <w:t>因素分析</w:t>
      </w:r>
      <w:r>
        <w:rPr>
          <w:rFonts w:hint="eastAsia"/>
          <w:color w:val="auto"/>
        </w:rPr>
        <w:t>评价方法，坚持</w:t>
      </w:r>
      <w:r>
        <w:rPr>
          <w:rFonts w:hint="eastAsia"/>
          <w:color w:val="auto"/>
          <w:lang w:val="en-US" w:eastAsia="zh-CN"/>
        </w:rPr>
        <w:t>计划标准</w:t>
      </w:r>
      <w:r>
        <w:rPr>
          <w:rFonts w:hint="eastAsia"/>
          <w:color w:val="auto"/>
        </w:rPr>
        <w:t>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lang w:eastAsia="zh-CN"/>
        </w:rPr>
        <w:t>苗苗幼儿园学前三年免费教育补助资金</w:t>
      </w: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w:t>
      </w:r>
      <w:r>
        <w:rPr>
          <w:rFonts w:hint="eastAsia"/>
          <w:color w:val="auto"/>
          <w:lang w:val="en-US" w:eastAsia="zh-CN"/>
        </w:rPr>
        <w:t>100</w:t>
      </w:r>
      <w:r>
        <w:rPr>
          <w:rFonts w:hint="eastAsia"/>
          <w:color w:val="auto"/>
        </w:rPr>
        <w:t>分，项目达成年度指标。</w:t>
      </w: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rFonts w:hint="eastAsia"/>
          <w:color w:val="auto"/>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pPr>
        <w:spacing w:line="360" w:lineRule="auto"/>
      </w:pPr>
      <w:r>
        <w:rPr>
          <w:rFonts w:hint="eastAsia"/>
        </w:rPr>
        <w:t>2、立项程序规范性</w:t>
      </w:r>
    </w:p>
    <w:p>
      <w:pPr>
        <w:spacing w:line="360" w:lineRule="auto"/>
        <w:ind w:firstLine="600" w:firstLineChars="200"/>
        <w:rPr>
          <w:color w:val="auto"/>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事前已经过必要的可行性研究、风险评估、绩效评估、集体决策。</w:t>
      </w:r>
    </w:p>
    <w:p>
      <w:pPr>
        <w:spacing w:line="360" w:lineRule="auto"/>
      </w:pPr>
      <w:r>
        <w:rPr>
          <w:rFonts w:hint="eastAsia"/>
        </w:rPr>
        <w:t>3、绩效目标合理性</w:t>
      </w:r>
    </w:p>
    <w:p>
      <w:pPr>
        <w:spacing w:line="360" w:lineRule="auto"/>
        <w:ind w:firstLine="600" w:firstLineChars="200"/>
        <w:rPr>
          <w:rFonts w:hint="eastAsia"/>
        </w:rPr>
      </w:pPr>
      <w:r>
        <w:rPr>
          <w:rFonts w:hint="eastAsia"/>
          <w:lang w:val="en-US" w:eastAsia="zh-CN"/>
        </w:rPr>
        <w:t>焉耆县苗苗幼儿园学前三年免费教育补助资金</w:t>
      </w:r>
      <w:r>
        <w:rPr>
          <w:rFonts w:hint="eastAsia"/>
        </w:rPr>
        <w:t>项目设立了项目绩效目标，与</w:t>
      </w:r>
      <w:r>
        <w:rPr>
          <w:rFonts w:hint="eastAsia"/>
          <w:lang w:val="en-US" w:eastAsia="zh-CN"/>
        </w:rPr>
        <w:t>学前三年免费教育补助资金</w:t>
      </w:r>
      <w:r>
        <w:rPr>
          <w:rFonts w:hint="eastAsia"/>
        </w:rPr>
        <w:t>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auto"/>
        </w:rPr>
      </w:pPr>
      <w:bookmarkStart w:id="12" w:name="_Hlk68699917"/>
      <w:r>
        <w:rPr>
          <w:rFonts w:hint="eastAsia"/>
          <w:lang w:val="en-US" w:eastAsia="zh-CN"/>
        </w:rPr>
        <w:t>焉耆县苗苗幼儿园学前三年免费教育补助资金</w:t>
      </w:r>
      <w:r>
        <w:rPr>
          <w:rFonts w:hint="eastAsia"/>
          <w:color w:val="auto"/>
        </w:rPr>
        <w:t>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w:t>
      </w:r>
      <w:r>
        <w:rPr>
          <w:rFonts w:hint="eastAsia"/>
          <w:color w:val="auto"/>
          <w:highlight w:val="none"/>
        </w:rPr>
        <w:t>标共</w:t>
      </w:r>
      <w:r>
        <w:rPr>
          <w:rFonts w:hint="eastAsia"/>
          <w:color w:val="auto"/>
          <w:highlight w:val="none"/>
          <w:lang w:val="en-US" w:eastAsia="zh-CN"/>
        </w:rPr>
        <w:t>9</w:t>
      </w:r>
      <w:r>
        <w:rPr>
          <w:rFonts w:hint="eastAsia"/>
          <w:color w:val="auto"/>
          <w:highlight w:val="none"/>
        </w:rPr>
        <w:t>条</w:t>
      </w:r>
      <w:r>
        <w:rPr>
          <w:rFonts w:hint="eastAsia"/>
          <w:color w:val="auto"/>
        </w:rPr>
        <w:t>，其中量化指标条数共</w:t>
      </w:r>
      <w:r>
        <w:rPr>
          <w:rFonts w:hint="eastAsia"/>
          <w:color w:val="auto"/>
          <w:lang w:val="en-US" w:eastAsia="zh-CN"/>
        </w:rPr>
        <w:t>8</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rFonts w:hint="eastAsia"/>
        </w:rPr>
      </w:pPr>
      <w:r>
        <w:rPr>
          <w:rFonts w:hint="eastAsia"/>
          <w:lang w:eastAsia="zh-CN"/>
        </w:rPr>
        <w:t>该项目</w:t>
      </w:r>
      <w:r>
        <w:rPr>
          <w:rFonts w:hint="eastAsia"/>
        </w:rPr>
        <w:t>预算编制经过科学论证</w:t>
      </w:r>
      <w:r>
        <w:rPr>
          <w:rFonts w:hint="eastAsia"/>
          <w:lang w:eastAsia="zh-CN"/>
        </w:rPr>
        <w:t>，</w:t>
      </w:r>
      <w:r>
        <w:rPr>
          <w:rFonts w:hint="eastAsia"/>
        </w:rPr>
        <w:t>预算内容与项目内容匹配</w:t>
      </w:r>
      <w:r>
        <w:rPr>
          <w:rFonts w:hint="eastAsia"/>
          <w:lang w:eastAsia="zh-CN"/>
        </w:rPr>
        <w:t>，</w:t>
      </w:r>
      <w:r>
        <w:rPr>
          <w:rFonts w:hint="eastAsia"/>
        </w:rPr>
        <w:t>预算额度测算依据充分，按照标准编制</w:t>
      </w:r>
      <w:r>
        <w:rPr>
          <w:rFonts w:hint="eastAsia"/>
          <w:lang w:eastAsia="zh-CN"/>
        </w:rPr>
        <w:t>，</w:t>
      </w:r>
      <w:r>
        <w:rPr>
          <w:rFonts w:hint="eastAsia"/>
        </w:rPr>
        <w:t>预算确定的项目投资额或资金量与工作任务相匹配。</w:t>
      </w:r>
    </w:p>
    <w:p>
      <w:pPr>
        <w:spacing w:line="360" w:lineRule="auto"/>
      </w:pPr>
      <w:r>
        <w:rPr>
          <w:rFonts w:hint="eastAsia"/>
        </w:rPr>
        <w:t>6、资金分配合理性</w:t>
      </w:r>
    </w:p>
    <w:p>
      <w:pPr>
        <w:spacing w:line="360" w:lineRule="auto"/>
        <w:ind w:firstLine="600" w:firstLineChars="200"/>
        <w:rPr>
          <w:rFonts w:hint="eastAsia"/>
        </w:rPr>
      </w:pPr>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p>
    <w:p>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color w:val="auto"/>
        </w:rPr>
      </w:pPr>
      <w:r>
        <w:rPr>
          <w:rFonts w:hint="eastAsia"/>
          <w:color w:val="auto"/>
        </w:rPr>
        <w:t>实际到位资金</w:t>
      </w:r>
      <w:r>
        <w:rPr>
          <w:rFonts w:hint="eastAsia"/>
          <w:color w:val="auto"/>
          <w:lang w:val="en-US" w:eastAsia="zh-CN"/>
        </w:rPr>
        <w:t>9.7</w:t>
      </w:r>
      <w:r>
        <w:rPr>
          <w:rFonts w:hint="eastAsia"/>
          <w:color w:val="auto"/>
        </w:rPr>
        <w:t>万元，预算资金</w:t>
      </w:r>
      <w:r>
        <w:rPr>
          <w:rFonts w:hint="eastAsia"/>
          <w:color w:val="auto"/>
          <w:lang w:val="en-US" w:eastAsia="zh-CN"/>
        </w:rPr>
        <w:t>9.7</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rPr>
          <w:color w:val="auto"/>
        </w:rPr>
      </w:pPr>
      <w:r>
        <w:rPr>
          <w:rFonts w:hint="eastAsia"/>
          <w:color w:val="auto"/>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9.7</w:t>
      </w:r>
      <w:r>
        <w:rPr>
          <w:rFonts w:hint="eastAsia"/>
          <w:color w:val="auto"/>
        </w:rPr>
        <w:t>万元，全年预算数</w:t>
      </w:r>
      <w:r>
        <w:rPr>
          <w:rFonts w:hint="eastAsia"/>
          <w:color w:val="auto"/>
          <w:lang w:val="en-US" w:eastAsia="zh-CN"/>
        </w:rPr>
        <w:t>9.7</w:t>
      </w:r>
      <w:r>
        <w:rPr>
          <w:rFonts w:hint="eastAsia"/>
          <w:color w:val="auto"/>
        </w:rPr>
        <w:t>万元</w:t>
      </w:r>
      <w:r>
        <w:rPr>
          <w:rFonts w:hint="eastAsia"/>
          <w:color w:val="auto"/>
          <w:lang w:eastAsia="zh-CN"/>
        </w:rPr>
        <w:t>，</w:t>
      </w:r>
      <w:r>
        <w:rPr>
          <w:rFonts w:hint="eastAsia"/>
          <w:color w:val="auto"/>
        </w:rPr>
        <w:t xml:space="preserve">全年执行数 </w:t>
      </w:r>
      <w:r>
        <w:rPr>
          <w:rFonts w:hint="eastAsia"/>
          <w:color w:val="auto"/>
          <w:lang w:val="en-US" w:eastAsia="zh-CN"/>
        </w:rPr>
        <w:t>9.7</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pPr>
      <w:r>
        <w:rPr>
          <w:rFonts w:hint="eastAsia"/>
        </w:rPr>
        <w:t>3、资金使用合规性</w:t>
      </w:r>
    </w:p>
    <w:p>
      <w:pPr>
        <w:spacing w:line="360" w:lineRule="auto"/>
        <w:ind w:firstLine="600" w:firstLineChars="200"/>
        <w:rPr>
          <w:rFonts w:hint="eastAsia"/>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pPr>
      <w:r>
        <w:rPr>
          <w:rFonts w:hint="eastAsia"/>
        </w:rPr>
        <w:t>4、管理制度健全性</w:t>
      </w:r>
    </w:p>
    <w:p>
      <w:pPr>
        <w:spacing w:line="360" w:lineRule="auto"/>
        <w:ind w:firstLine="600" w:firstLineChars="200"/>
        <w:rPr>
          <w:rFonts w:hint="eastAsia"/>
          <w:color w:val="auto"/>
          <w:lang w:val="en-US" w:eastAsia="zh-CN"/>
        </w:rPr>
      </w:pPr>
      <w:r>
        <w:rPr>
          <w:rFonts w:hint="eastAsia"/>
          <w:color w:val="auto"/>
        </w:rPr>
        <w:t>严格遵守《会计法》、《预算法》、《行政单位财务规则》等法律和有关财政财务规章，财务和业务管理制度合法、合规、完整</w:t>
      </w:r>
      <w:r>
        <w:rPr>
          <w:rFonts w:hint="eastAsia"/>
          <w:color w:val="auto"/>
          <w:lang w:val="en-US" w:eastAsia="zh-CN"/>
        </w:rPr>
        <w:t>，项目资金管理实施专款专用，严格管理，集体会议决定，专人审支付。县财政部门积极督促资金本单位对照绩效目标做好核绩效监控，确保项目顺利实施。</w:t>
      </w:r>
    </w:p>
    <w:p>
      <w:pPr>
        <w:spacing w:line="360" w:lineRule="auto"/>
        <w:ind w:firstLine="600" w:firstLineChars="200"/>
      </w:pPr>
      <w:r>
        <w:rPr>
          <w:rFonts w:hint="eastAsia"/>
        </w:rPr>
        <w:t>5、制度执行有效性</w:t>
      </w:r>
    </w:p>
    <w:p>
      <w:pPr>
        <w:pStyle w:val="4"/>
        <w:spacing w:line="360" w:lineRule="auto"/>
        <w:ind w:firstLine="640" w:firstLineChars="200"/>
        <w:rPr>
          <w:rFonts w:hint="eastAsia" w:ascii="仿宋" w:hAnsi="仿宋" w:eastAsia="仿宋" w:cs="仿宋"/>
          <w:b w:val="0"/>
          <w:bCs/>
          <w:color w:val="auto"/>
          <w:kern w:val="2"/>
          <w:sz w:val="32"/>
          <w:szCs w:val="32"/>
          <w:lang w:val="en-US" w:eastAsia="zh-CN" w:bidi="ar-SA"/>
        </w:rPr>
      </w:pPr>
      <w:bookmarkStart w:id="14" w:name="_Toc68703840"/>
      <w:r>
        <w:rPr>
          <w:rFonts w:hint="eastAsia" w:ascii="仿宋" w:hAnsi="仿宋" w:eastAsia="仿宋" w:cs="仿宋"/>
          <w:b w:val="0"/>
          <w:bCs/>
          <w:color w:val="auto"/>
          <w:kern w:val="2"/>
          <w:sz w:val="32"/>
          <w:szCs w:val="32"/>
          <w:lang w:val="en-US" w:eastAsia="zh-CN" w:bidi="ar-SA"/>
        </w:rPr>
        <w:t>该项目实施遵守相关法律法规和相关管理规定；项目调整及支出调整手续完备，项目实施过程中县教科局加强项目的监督管理，确保项目按时按量完成。认真对资料进行整理和收集，共同管理好项目资金支付，提高资金使用效益。</w:t>
      </w:r>
    </w:p>
    <w:p>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4"/>
    </w:p>
    <w:p>
      <w:pPr>
        <w:spacing w:line="360" w:lineRule="auto"/>
        <w:ind w:firstLine="600" w:firstLineChars="200"/>
        <w:rPr>
          <w:rFonts w:hint="eastAsia"/>
          <w:color w:val="auto"/>
          <w:lang w:eastAsia="zh-CN"/>
        </w:rPr>
      </w:pPr>
      <w:r>
        <w:rPr>
          <w:rFonts w:hint="eastAsia"/>
          <w:color w:val="auto"/>
        </w:rPr>
        <w:t>1、产出数量指标：指标1：</w:t>
      </w:r>
      <w:r>
        <w:rPr>
          <w:rFonts w:hint="eastAsia"/>
          <w:color w:val="auto"/>
          <w:lang w:eastAsia="zh-CN"/>
        </w:rPr>
        <w:t>经费补助幼儿人数</w:t>
      </w:r>
      <w:r>
        <w:rPr>
          <w:rFonts w:hint="eastAsia"/>
          <w:color w:val="auto"/>
        </w:rPr>
        <w:t>，指标值：</w:t>
      </w:r>
      <w:r>
        <w:rPr>
          <w:rFonts w:hint="eastAsia"/>
          <w:color w:val="auto"/>
          <w:lang w:val="en-US" w:eastAsia="zh-CN"/>
        </w:rPr>
        <w:t>=280人</w:t>
      </w:r>
      <w:r>
        <w:rPr>
          <w:rFonts w:hint="eastAsia"/>
          <w:color w:val="auto"/>
        </w:rPr>
        <w:t>，实际完成值</w:t>
      </w:r>
      <w:r>
        <w:rPr>
          <w:rFonts w:hint="eastAsia"/>
          <w:color w:val="auto"/>
          <w:lang w:val="en-US" w:eastAsia="zh-CN"/>
        </w:rPr>
        <w:t>=280人</w:t>
      </w:r>
      <w:r>
        <w:rPr>
          <w:rFonts w:hint="eastAsia"/>
          <w:color w:val="auto"/>
        </w:rPr>
        <w:t>，指标完成率</w:t>
      </w:r>
      <w:r>
        <w:rPr>
          <w:color w:val="auto"/>
        </w:rPr>
        <w:t>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pPr>
        <w:spacing w:line="360" w:lineRule="auto"/>
        <w:ind w:firstLine="600" w:firstLineChars="200"/>
        <w:rPr>
          <w:rFonts w:hint="eastAsia"/>
          <w:color w:val="auto"/>
          <w:lang w:eastAsia="zh-CN"/>
        </w:rPr>
      </w:pPr>
      <w:r>
        <w:rPr>
          <w:rFonts w:hint="eastAsia"/>
          <w:color w:val="auto"/>
        </w:rPr>
        <w:t>指标</w:t>
      </w:r>
      <w:r>
        <w:rPr>
          <w:rFonts w:hint="eastAsia"/>
          <w:color w:val="auto"/>
          <w:lang w:val="en-US" w:eastAsia="zh-CN"/>
        </w:rPr>
        <w:t>2</w:t>
      </w:r>
      <w:r>
        <w:rPr>
          <w:rFonts w:hint="eastAsia"/>
          <w:color w:val="auto"/>
        </w:rPr>
        <w:t>：</w:t>
      </w:r>
      <w:r>
        <w:rPr>
          <w:rFonts w:hint="eastAsia"/>
          <w:color w:val="auto"/>
          <w:lang w:eastAsia="zh-CN"/>
        </w:rPr>
        <w:t>经费补助种类</w:t>
      </w:r>
      <w:r>
        <w:rPr>
          <w:rFonts w:hint="eastAsia"/>
          <w:color w:val="auto"/>
        </w:rPr>
        <w:t>，指标值：</w:t>
      </w:r>
      <w:r>
        <w:rPr>
          <w:rFonts w:hint="eastAsia"/>
          <w:color w:val="auto"/>
          <w:lang w:val="en-US" w:eastAsia="zh-CN"/>
        </w:rPr>
        <w:t>=2种</w:t>
      </w:r>
      <w:r>
        <w:rPr>
          <w:rFonts w:hint="eastAsia"/>
          <w:color w:val="auto"/>
        </w:rPr>
        <w:t>，实际完成值</w:t>
      </w:r>
      <w:r>
        <w:rPr>
          <w:rFonts w:hint="eastAsia"/>
          <w:color w:val="auto"/>
          <w:lang w:val="en-US" w:eastAsia="zh-CN"/>
        </w:rPr>
        <w:t>=2种</w:t>
      </w:r>
      <w:r>
        <w:rPr>
          <w:rFonts w:hint="eastAsia"/>
          <w:color w:val="auto"/>
        </w:rPr>
        <w:t>，指标完成率</w:t>
      </w:r>
      <w:r>
        <w:rPr>
          <w:color w:val="auto"/>
        </w:rPr>
        <w:t>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pPr>
        <w:spacing w:line="360" w:lineRule="auto"/>
        <w:ind w:firstLine="600" w:firstLineChars="200"/>
        <w:rPr>
          <w:rFonts w:hint="eastAsia"/>
          <w:color w:val="auto"/>
        </w:rPr>
      </w:pPr>
      <w:r>
        <w:rPr>
          <w:rFonts w:hint="eastAsia"/>
          <w:color w:val="auto"/>
        </w:rPr>
        <w:t>2质量指标：</w:t>
      </w:r>
      <w:r>
        <w:rPr>
          <w:rFonts w:hint="eastAsia"/>
          <w:color w:val="auto"/>
          <w:lang w:eastAsia="zh-CN"/>
        </w:rPr>
        <w:t>补助经费覆盖率</w:t>
      </w:r>
      <w:r>
        <w:rPr>
          <w:rFonts w:hint="eastAsia"/>
          <w:color w:val="auto"/>
        </w:rPr>
        <w:t>，</w:t>
      </w:r>
      <w:bookmarkStart w:id="15" w:name="_Hlk98607777"/>
      <w:r>
        <w:rPr>
          <w:rFonts w:hint="eastAsia"/>
          <w:color w:val="auto"/>
        </w:rPr>
        <w:t>指标值：</w:t>
      </w:r>
      <w:r>
        <w:rPr>
          <w:rFonts w:hint="eastAsia" w:ascii="宋体" w:hAnsi="宋体" w:eastAsia="宋体" w:cs="宋体"/>
          <w:color w:val="auto"/>
        </w:rPr>
        <w:t>≧</w:t>
      </w:r>
      <w:r>
        <w:rPr>
          <w:rFonts w:hint="eastAsia" w:eastAsia="宋体"/>
          <w:color w:val="auto"/>
          <w:lang w:val="en-US" w:eastAsia="zh-CN"/>
        </w:rPr>
        <w:t>98%</w:t>
      </w:r>
      <w:r>
        <w:rPr>
          <w:rFonts w:hint="eastAsia"/>
          <w:color w:val="auto"/>
        </w:rPr>
        <w:t xml:space="preserve">，实际完成值 </w:t>
      </w:r>
      <w:r>
        <w:rPr>
          <w:color w:val="auto"/>
        </w:rPr>
        <w:t xml:space="preserve">    </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bookmarkEnd w:id="15"/>
      <w:bookmarkEnd w:id="16"/>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pPr>
        <w:numPr>
          <w:ilvl w:val="0"/>
          <w:numId w:val="2"/>
        </w:numPr>
        <w:spacing w:line="360" w:lineRule="auto"/>
        <w:ind w:firstLine="600" w:firstLineChars="200"/>
        <w:rPr>
          <w:color w:val="auto"/>
        </w:rPr>
      </w:pPr>
      <w:r>
        <w:rPr>
          <w:rFonts w:hint="eastAsia"/>
          <w:color w:val="auto"/>
        </w:rPr>
        <w:t>时效指标：补助经费支付及时率</w:t>
      </w:r>
      <w:r>
        <w:rPr>
          <w:rFonts w:hint="eastAsia"/>
          <w:color w:val="auto"/>
          <w:lang w:eastAsia="zh-CN"/>
        </w:rPr>
        <w:t>，</w:t>
      </w:r>
      <w:r>
        <w:rPr>
          <w:rFonts w:hint="eastAsia"/>
          <w:color w:val="auto"/>
        </w:rPr>
        <w:t>指标值</w:t>
      </w:r>
      <w:r>
        <w:rPr>
          <w:rFonts w:hint="eastAsia" w:ascii="宋体" w:hAnsi="宋体" w:eastAsia="宋体" w:cs="宋体"/>
          <w:color w:val="auto"/>
        </w:rPr>
        <w:t>≧</w:t>
      </w:r>
      <w:r>
        <w:rPr>
          <w:rFonts w:hint="eastAsia" w:eastAsia="宋体"/>
          <w:color w:val="auto"/>
          <w:lang w:val="en-US" w:eastAsia="zh-CN"/>
        </w:rPr>
        <w:t>98%</w:t>
      </w:r>
      <w:r>
        <w:rPr>
          <w:rFonts w:hint="eastAsia"/>
          <w:color w:val="auto"/>
        </w:rPr>
        <w:t>，完成值</w:t>
      </w:r>
      <w:r>
        <w:rPr>
          <w:rFonts w:hint="eastAsia"/>
          <w:color w:val="auto"/>
          <w:lang w:val="en-US" w:eastAsia="zh-CN"/>
        </w:rPr>
        <w:t>=100%</w:t>
      </w:r>
      <w:r>
        <w:rPr>
          <w:rFonts w:hint="eastAsia"/>
          <w:color w:val="auto"/>
        </w:rPr>
        <w:t>。指标完成率</w:t>
      </w:r>
      <w:r>
        <w:rPr>
          <w:color w:val="auto"/>
        </w:rPr>
        <w:t xml:space="preserve"> </w:t>
      </w:r>
      <w:r>
        <w:rPr>
          <w:rFonts w:hint="eastAsia"/>
          <w:color w:val="auto"/>
          <w:lang w:val="en-US" w:eastAsia="zh-CN"/>
        </w:rPr>
        <w:t>100</w:t>
      </w:r>
      <w:r>
        <w:rPr>
          <w:rFonts w:hint="eastAsia"/>
          <w:color w:val="auto"/>
        </w:rPr>
        <w:t>%</w:t>
      </w:r>
      <w:r>
        <w:rPr>
          <w:color w:val="auto"/>
        </w:rPr>
        <w:t xml:space="preserve"> </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pPr>
        <w:numPr>
          <w:ilvl w:val="0"/>
          <w:numId w:val="2"/>
        </w:numPr>
        <w:spacing w:line="360" w:lineRule="auto"/>
        <w:ind w:firstLine="600" w:firstLineChars="200"/>
        <w:rPr>
          <w:color w:val="auto"/>
        </w:rPr>
      </w:pPr>
      <w:r>
        <w:rPr>
          <w:rFonts w:hint="eastAsia"/>
          <w:color w:val="auto"/>
          <w:lang w:eastAsia="zh-CN"/>
        </w:rPr>
        <w:t>经济</w:t>
      </w:r>
      <w:r>
        <w:rPr>
          <w:rFonts w:hint="eastAsia"/>
          <w:color w:val="auto"/>
        </w:rPr>
        <w:t>成本指标：</w:t>
      </w:r>
      <w:r>
        <w:rPr>
          <w:rFonts w:hint="eastAsia"/>
          <w:color w:val="auto"/>
          <w:lang w:eastAsia="zh-CN"/>
        </w:rPr>
        <w:t>指标</w:t>
      </w:r>
      <w:r>
        <w:rPr>
          <w:rFonts w:hint="eastAsia"/>
          <w:color w:val="auto"/>
          <w:lang w:val="en-US" w:eastAsia="zh-CN"/>
        </w:rPr>
        <w:t>1</w:t>
      </w:r>
      <w:r>
        <w:rPr>
          <w:rFonts w:hint="eastAsia"/>
          <w:color w:val="auto"/>
        </w:rPr>
        <w:t>：</w:t>
      </w:r>
      <w:r>
        <w:rPr>
          <w:rFonts w:hint="eastAsia"/>
          <w:color w:val="auto"/>
          <w:lang w:eastAsia="zh-CN"/>
        </w:rPr>
        <w:t>保教费人均补助标准，</w:t>
      </w:r>
      <w:r>
        <w:rPr>
          <w:rFonts w:hint="eastAsia"/>
          <w:color w:val="auto"/>
        </w:rPr>
        <w:t>指标值： ≤</w:t>
      </w:r>
      <w:r>
        <w:rPr>
          <w:rFonts w:hint="eastAsia"/>
          <w:color w:val="auto"/>
          <w:lang w:val="en-US" w:eastAsia="zh-CN"/>
        </w:rPr>
        <w:t>1100元/生/年</w:t>
      </w:r>
      <w:r>
        <w:rPr>
          <w:color w:val="auto"/>
        </w:rPr>
        <w:t xml:space="preserve"> </w:t>
      </w:r>
      <w:r>
        <w:rPr>
          <w:rFonts w:hint="eastAsia"/>
          <w:color w:val="auto"/>
        </w:rPr>
        <w:t>，实际完成值</w:t>
      </w:r>
      <w:r>
        <w:rPr>
          <w:rFonts w:hint="eastAsia"/>
          <w:color w:val="auto"/>
          <w:lang w:val="en-US" w:eastAsia="zh-CN"/>
        </w:rPr>
        <w:t>=1100元/生/年</w:t>
      </w:r>
      <w:r>
        <w:rPr>
          <w:rFonts w:hint="eastAsia"/>
          <w:color w:val="auto"/>
        </w:rPr>
        <w:t>，指标完成率</w:t>
      </w:r>
      <w:r>
        <w:rPr>
          <w:color w:val="auto"/>
        </w:rPr>
        <w:t xml:space="preserve"> 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pPr>
        <w:numPr>
          <w:ilvl w:val="0"/>
          <w:numId w:val="0"/>
        </w:numPr>
        <w:spacing w:line="360" w:lineRule="auto"/>
        <w:ind w:firstLine="600" w:firstLineChars="200"/>
        <w:rPr>
          <w:color w:val="auto"/>
        </w:rPr>
      </w:pPr>
      <w:r>
        <w:rPr>
          <w:rFonts w:hint="eastAsia"/>
          <w:color w:val="auto"/>
          <w:lang w:eastAsia="zh-CN"/>
        </w:rPr>
        <w:t>指标</w:t>
      </w:r>
      <w:r>
        <w:rPr>
          <w:rFonts w:hint="eastAsia"/>
          <w:color w:val="auto"/>
          <w:lang w:val="en-US" w:eastAsia="zh-CN"/>
        </w:rPr>
        <w:t>2</w:t>
      </w:r>
      <w:r>
        <w:rPr>
          <w:rFonts w:hint="eastAsia"/>
          <w:color w:val="auto"/>
        </w:rPr>
        <w:t>：</w:t>
      </w:r>
      <w:r>
        <w:rPr>
          <w:rFonts w:hint="eastAsia"/>
          <w:color w:val="auto"/>
          <w:lang w:eastAsia="zh-CN"/>
        </w:rPr>
        <w:t>伙食费人均补助标准，</w:t>
      </w:r>
      <w:r>
        <w:rPr>
          <w:rFonts w:hint="eastAsia"/>
          <w:color w:val="auto"/>
        </w:rPr>
        <w:t>指标值： ≤</w:t>
      </w:r>
      <w:r>
        <w:rPr>
          <w:rFonts w:hint="eastAsia"/>
          <w:color w:val="auto"/>
          <w:lang w:val="en-US" w:eastAsia="zh-CN"/>
        </w:rPr>
        <w:t>1450元/生/年</w:t>
      </w:r>
      <w:r>
        <w:rPr>
          <w:color w:val="auto"/>
        </w:rPr>
        <w:t xml:space="preserve"> </w:t>
      </w:r>
      <w:r>
        <w:rPr>
          <w:rFonts w:hint="eastAsia"/>
          <w:color w:val="auto"/>
        </w:rPr>
        <w:t>，实际完成值</w:t>
      </w:r>
      <w:r>
        <w:rPr>
          <w:rFonts w:hint="eastAsia"/>
          <w:color w:val="auto"/>
          <w:lang w:val="en-US" w:eastAsia="zh-CN"/>
        </w:rPr>
        <w:t>=1450元/生/年</w:t>
      </w:r>
      <w:r>
        <w:rPr>
          <w:rFonts w:hint="eastAsia"/>
          <w:color w:val="auto"/>
        </w:rPr>
        <w:t>，指标完成率</w:t>
      </w:r>
      <w:r>
        <w:rPr>
          <w:color w:val="auto"/>
        </w:rPr>
        <w:t xml:space="preserve"> 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pPr>
        <w:pStyle w:val="4"/>
        <w:spacing w:line="360" w:lineRule="auto"/>
        <w:rPr>
          <w:rFonts w:ascii="仿宋_GB2312" w:eastAsia="仿宋_GB2312"/>
          <w:b w:val="0"/>
          <w:bCs w:val="0"/>
          <w:color w:val="auto"/>
        </w:rPr>
      </w:pPr>
      <w:bookmarkStart w:id="17" w:name="_Toc68703841"/>
      <w:r>
        <w:rPr>
          <w:rFonts w:hint="eastAsia" w:ascii="仿宋_GB2312" w:eastAsia="仿宋_GB2312"/>
          <w:b w:val="0"/>
          <w:bCs w:val="0"/>
          <w:color w:val="auto"/>
        </w:rPr>
        <w:t>（四）项目效益情况。</w:t>
      </w:r>
      <w:bookmarkEnd w:id="17"/>
    </w:p>
    <w:p>
      <w:pPr>
        <w:spacing w:line="360" w:lineRule="auto"/>
        <w:ind w:firstLine="600" w:firstLineChars="200"/>
        <w:rPr>
          <w:color w:val="auto"/>
        </w:rPr>
      </w:pPr>
      <w:r>
        <w:rPr>
          <w:rFonts w:hint="eastAsia"/>
          <w:color w:val="auto"/>
          <w:lang w:val="en-US" w:eastAsia="zh-CN"/>
        </w:rPr>
        <w:t>1、</w:t>
      </w:r>
      <w:r>
        <w:rPr>
          <w:rFonts w:hint="eastAsia"/>
          <w:color w:val="auto"/>
        </w:rPr>
        <w:t>社会效益指标：</w:t>
      </w:r>
      <w:r>
        <w:rPr>
          <w:rFonts w:hint="eastAsia"/>
          <w:color w:val="auto"/>
          <w:lang w:eastAsia="zh-CN"/>
        </w:rPr>
        <w:t>提升教育教学质量</w:t>
      </w:r>
      <w:bookmarkStart w:id="18" w:name="_Hlk98607522"/>
      <w:r>
        <w:rPr>
          <w:rFonts w:hint="eastAsia"/>
          <w:color w:val="auto"/>
          <w:lang w:eastAsia="zh-CN"/>
        </w:rPr>
        <w:t>，</w:t>
      </w:r>
      <w:r>
        <w:rPr>
          <w:rFonts w:hint="eastAsia"/>
          <w:color w:val="auto"/>
        </w:rPr>
        <w:t>指标值：</w:t>
      </w:r>
      <w:r>
        <w:rPr>
          <w:rFonts w:hint="eastAsia"/>
          <w:color w:val="auto"/>
          <w:lang w:eastAsia="zh-CN"/>
        </w:rPr>
        <w:t>有效提升</w:t>
      </w:r>
      <w:r>
        <w:rPr>
          <w:rFonts w:hint="eastAsia"/>
          <w:color w:val="auto"/>
        </w:rPr>
        <w:t>，实际完成值</w:t>
      </w:r>
      <w:r>
        <w:rPr>
          <w:rFonts w:hint="eastAsia"/>
          <w:color w:val="auto"/>
          <w:lang w:eastAsia="zh-CN"/>
        </w:rPr>
        <w:t>有效提升</w:t>
      </w:r>
      <w:r>
        <w:rPr>
          <w:rFonts w:hint="eastAsia"/>
          <w:color w:val="auto"/>
        </w:rPr>
        <w:t>，指标完成率</w:t>
      </w:r>
      <w:r>
        <w:rPr>
          <w:color w:val="auto"/>
        </w:rPr>
        <w:t xml:space="preserve"> 100</w:t>
      </w:r>
      <w:r>
        <w:rPr>
          <w:rFonts w:hint="eastAsia"/>
          <w:color w:val="auto"/>
        </w:rPr>
        <w:t>%</w:t>
      </w:r>
      <w:bookmarkEnd w:id="18"/>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zh-CN" w:eastAsia="zh-CN"/>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lang w:val="zh-CN" w:eastAsia="zh-CN"/>
        </w:rPr>
        <w:t>满意度指标：指标</w:t>
      </w:r>
      <w:r>
        <w:rPr>
          <w:rFonts w:hint="eastAsia" w:ascii="仿宋" w:hAnsi="仿宋" w:eastAsia="仿宋" w:cs="仿宋"/>
          <w:bCs/>
          <w:color w:val="auto"/>
          <w:sz w:val="32"/>
          <w:szCs w:val="32"/>
          <w:lang w:val="en-US" w:eastAsia="zh-CN"/>
        </w:rPr>
        <w:t>1：家长</w:t>
      </w:r>
      <w:r>
        <w:rPr>
          <w:rFonts w:hint="eastAsia" w:ascii="仿宋" w:hAnsi="仿宋" w:eastAsia="仿宋" w:cs="仿宋"/>
          <w:bCs/>
          <w:color w:val="auto"/>
          <w:sz w:val="32"/>
          <w:szCs w:val="32"/>
          <w:lang w:val="zh-CN" w:eastAsia="zh-CN"/>
        </w:rPr>
        <w:t>满意度，指标值：≥9</w:t>
      </w:r>
      <w:r>
        <w:rPr>
          <w:rFonts w:hint="eastAsia" w:ascii="仿宋" w:hAnsi="仿宋" w:eastAsia="仿宋" w:cs="仿宋"/>
          <w:bCs/>
          <w:color w:val="auto"/>
          <w:sz w:val="32"/>
          <w:szCs w:val="32"/>
          <w:lang w:val="en-US" w:eastAsia="zh-CN"/>
        </w:rPr>
        <w:t>5</w:t>
      </w:r>
      <w:r>
        <w:rPr>
          <w:rFonts w:hint="eastAsia" w:ascii="仿宋" w:hAnsi="仿宋" w:eastAsia="仿宋" w:cs="仿宋"/>
          <w:bCs/>
          <w:color w:val="auto"/>
          <w:sz w:val="32"/>
          <w:szCs w:val="32"/>
          <w:lang w:val="zh-CN" w:eastAsia="zh-CN"/>
        </w:rPr>
        <w:t>%，实际完成值</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%，指标完成率</w:t>
      </w:r>
      <w:r>
        <w:rPr>
          <w:rFonts w:hint="eastAsia" w:ascii="仿宋" w:hAnsi="仿宋" w:eastAsia="仿宋" w:cs="仿宋"/>
          <w:bCs/>
          <w:color w:val="auto"/>
          <w:sz w:val="32"/>
          <w:szCs w:val="32"/>
          <w:lang w:val="en-US" w:eastAsia="zh-CN"/>
        </w:rPr>
        <w:t>100</w:t>
      </w:r>
      <w:bookmarkStart w:id="24" w:name="_GoBack"/>
      <w:bookmarkEnd w:id="24"/>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zh-CN" w:eastAsia="zh-CN"/>
        </w:rPr>
        <w:t>指标</w:t>
      </w:r>
      <w:r>
        <w:rPr>
          <w:rFonts w:hint="eastAsia" w:ascii="仿宋" w:hAnsi="仿宋" w:eastAsia="仿宋" w:cs="仿宋"/>
          <w:bCs/>
          <w:color w:val="auto"/>
          <w:sz w:val="32"/>
          <w:szCs w:val="32"/>
          <w:lang w:val="en-US" w:eastAsia="zh-CN"/>
        </w:rPr>
        <w:t>2：幼儿</w:t>
      </w:r>
      <w:r>
        <w:rPr>
          <w:rFonts w:hint="eastAsia" w:ascii="仿宋" w:hAnsi="仿宋" w:eastAsia="仿宋" w:cs="仿宋"/>
          <w:bCs/>
          <w:color w:val="auto"/>
          <w:sz w:val="32"/>
          <w:szCs w:val="32"/>
          <w:lang w:val="zh-CN" w:eastAsia="zh-CN"/>
        </w:rPr>
        <w:t>满意度，指标值：≥9</w:t>
      </w:r>
      <w:r>
        <w:rPr>
          <w:rFonts w:hint="eastAsia" w:ascii="仿宋" w:hAnsi="仿宋" w:eastAsia="仿宋" w:cs="仿宋"/>
          <w:bCs/>
          <w:color w:val="auto"/>
          <w:sz w:val="32"/>
          <w:szCs w:val="32"/>
          <w:lang w:val="en-US" w:eastAsia="zh-CN"/>
        </w:rPr>
        <w:t>5</w:t>
      </w:r>
      <w:r>
        <w:rPr>
          <w:rFonts w:hint="eastAsia" w:ascii="仿宋" w:hAnsi="仿宋" w:eastAsia="仿宋" w:cs="仿宋"/>
          <w:bCs/>
          <w:color w:val="auto"/>
          <w:sz w:val="32"/>
          <w:szCs w:val="32"/>
          <w:lang w:val="zh-CN" w:eastAsia="zh-CN"/>
        </w:rPr>
        <w:t>%，实际完成值</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%，指标完成率</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w:t>
      </w:r>
      <w:r>
        <w:rPr>
          <w:rFonts w:hint="eastAsia" w:ascii="仿宋" w:hAnsi="仿宋" w:eastAsia="仿宋" w:cs="仿宋"/>
          <w:bCs/>
          <w:color w:val="auto"/>
          <w:sz w:val="32"/>
          <w:szCs w:val="32"/>
          <w:lang w:val="en-US" w:eastAsia="zh-CN"/>
        </w:rPr>
        <w:t>无偏差</w:t>
      </w:r>
      <w:r>
        <w:rPr>
          <w:rFonts w:hint="eastAsia" w:ascii="仿宋" w:hAnsi="仿宋" w:eastAsia="仿宋" w:cs="仿宋"/>
          <w:bCs/>
          <w:color w:val="auto"/>
          <w:sz w:val="32"/>
          <w:szCs w:val="32"/>
          <w:lang w:val="zh-CN" w:eastAsia="zh-CN"/>
        </w:rPr>
        <w:t>。</w:t>
      </w:r>
    </w:p>
    <w:p>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pStyle w:val="4"/>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pPr>
        <w:spacing w:line="360" w:lineRule="auto"/>
        <w:ind w:firstLine="600" w:firstLineChars="200"/>
        <w:rPr>
          <w:rFonts w:hint="eastAsia"/>
          <w:color w:val="auto"/>
        </w:rPr>
      </w:pPr>
      <w:bookmarkStart w:id="21" w:name="_Toc68703844"/>
      <w:r>
        <w:rPr>
          <w:rFonts w:hint="eastAsia"/>
          <w:color w:val="auto"/>
          <w:lang w:val="en-US" w:eastAsia="zh-CN"/>
        </w:rPr>
        <w:t>1、</w:t>
      </w:r>
      <w:r>
        <w:rPr>
          <w:rFonts w:hint="eastAsia"/>
          <w:color w:val="auto"/>
        </w:rPr>
        <w:t>项目实施过程中，按照年度计划规范地组织实施，有条不紊开展相关工作，并做好资料收集整理工作。</w:t>
      </w:r>
    </w:p>
    <w:p>
      <w:pPr>
        <w:spacing w:line="360" w:lineRule="auto"/>
        <w:ind w:firstLine="600" w:firstLineChars="200"/>
        <w:rPr>
          <w:rFonts w:hint="eastAsia"/>
          <w:color w:val="auto"/>
        </w:rPr>
      </w:pPr>
      <w:r>
        <w:rPr>
          <w:rFonts w:hint="eastAsia"/>
          <w:color w:val="auto"/>
          <w:lang w:val="en-US" w:eastAsia="zh-CN"/>
        </w:rPr>
        <w:t>2、</w:t>
      </w:r>
      <w:r>
        <w:rPr>
          <w:rFonts w:hint="eastAsia"/>
          <w:color w:val="auto"/>
        </w:rPr>
        <w:t>成立项目绩效管理领导小组，将项目的运行，资金使用情况全部纳入领导小组的全程监管之下。</w:t>
      </w:r>
    </w:p>
    <w:p>
      <w:pPr>
        <w:pStyle w:val="4"/>
        <w:spacing w:line="360" w:lineRule="auto"/>
        <w:rPr>
          <w:rFonts w:ascii="仿宋_GB2312" w:eastAsia="仿宋_GB2312"/>
          <w:b w:val="0"/>
          <w:bCs w:val="0"/>
        </w:rPr>
      </w:pPr>
      <w:r>
        <w:rPr>
          <w:rFonts w:hint="eastAsia" w:ascii="仿宋_GB2312" w:eastAsia="仿宋_GB2312"/>
          <w:b w:val="0"/>
          <w:bCs w:val="0"/>
        </w:rPr>
        <w:t>（二）存在的问题及原因分析</w:t>
      </w:r>
      <w:bookmarkEnd w:id="21"/>
    </w:p>
    <w:p>
      <w:pPr>
        <w:ind w:firstLine="640" w:firstLineChars="200"/>
        <w:rPr>
          <w:rFonts w:hint="eastAsia" w:ascii="仿宋_GB2312" w:eastAsia="仿宋_GB2312" w:hAnsiTheme="majorHAnsi" w:cstheme="majorBidi"/>
          <w:b w:val="0"/>
          <w:bCs w:val="0"/>
          <w:kern w:val="2"/>
          <w:sz w:val="32"/>
          <w:szCs w:val="32"/>
          <w:lang w:val="en-US" w:eastAsia="zh-CN" w:bidi="ar-SA"/>
        </w:rPr>
      </w:pPr>
      <w:bookmarkStart w:id="22" w:name="_Toc68703845"/>
      <w:r>
        <w:rPr>
          <w:rFonts w:hint="eastAsia" w:ascii="仿宋_GB2312" w:hAnsiTheme="majorHAnsi" w:cstheme="majorBidi"/>
          <w:b w:val="0"/>
          <w:bCs w:val="0"/>
          <w:kern w:val="2"/>
          <w:sz w:val="32"/>
          <w:szCs w:val="32"/>
          <w:lang w:val="en-US" w:eastAsia="zh-CN" w:bidi="ar-SA"/>
        </w:rPr>
        <w:t>1.存在的问题：</w:t>
      </w:r>
      <w:r>
        <w:rPr>
          <w:rFonts w:hint="eastAsia" w:ascii="仿宋_GB2312" w:eastAsia="仿宋_GB2312" w:hAnsiTheme="majorHAnsi" w:cstheme="majorBidi"/>
          <w:b w:val="0"/>
          <w:bCs w:val="0"/>
          <w:kern w:val="2"/>
          <w:sz w:val="32"/>
          <w:szCs w:val="32"/>
          <w:lang w:val="en-US" w:eastAsia="zh-CN" w:bidi="ar-SA"/>
        </w:rPr>
        <w:t>财政绩效管理</w:t>
      </w:r>
      <w:r>
        <w:rPr>
          <w:rFonts w:hint="eastAsia" w:ascii="仿宋_GB2312" w:hAnsiTheme="majorHAnsi" w:cstheme="majorBidi"/>
          <w:b w:val="0"/>
          <w:bCs w:val="0"/>
          <w:kern w:val="2"/>
          <w:sz w:val="32"/>
          <w:szCs w:val="32"/>
          <w:lang w:val="en-US" w:eastAsia="zh-CN" w:bidi="ar-SA"/>
        </w:rPr>
        <w:t>水平</w:t>
      </w:r>
      <w:r>
        <w:rPr>
          <w:rFonts w:hint="eastAsia" w:ascii="仿宋_GB2312" w:eastAsia="仿宋_GB2312" w:hAnsiTheme="majorHAnsi" w:cstheme="majorBidi"/>
          <w:b w:val="0"/>
          <w:bCs w:val="0"/>
          <w:kern w:val="2"/>
          <w:sz w:val="32"/>
          <w:szCs w:val="32"/>
          <w:lang w:val="en-US" w:eastAsia="zh-CN" w:bidi="ar-SA"/>
        </w:rPr>
        <w:t>有待提高。</w:t>
      </w:r>
    </w:p>
    <w:p>
      <w:pPr>
        <w:ind w:firstLine="640" w:firstLineChars="200"/>
        <w:rPr>
          <w:color w:val="FF0000"/>
        </w:rPr>
      </w:pPr>
      <w:r>
        <w:rPr>
          <w:rFonts w:hint="eastAsia" w:ascii="仿宋_GB2312" w:hAnsiTheme="majorHAnsi" w:cstheme="majorBidi"/>
          <w:b w:val="0"/>
          <w:bCs w:val="0"/>
          <w:kern w:val="2"/>
          <w:sz w:val="32"/>
          <w:szCs w:val="32"/>
          <w:lang w:val="en-US" w:eastAsia="zh-CN" w:bidi="ar-SA"/>
        </w:rPr>
        <w:t>2.原因分析：</w:t>
      </w:r>
      <w:r>
        <w:rPr>
          <w:rFonts w:hint="eastAsia" w:ascii="仿宋_GB2312" w:eastAsia="仿宋_GB2312" w:hAnsiTheme="majorHAnsi" w:cstheme="majorBidi"/>
          <w:b w:val="0"/>
          <w:bCs w:val="0"/>
          <w:kern w:val="2"/>
          <w:sz w:val="32"/>
          <w:szCs w:val="32"/>
          <w:lang w:val="en-US" w:eastAsia="zh-CN" w:bidi="ar-SA"/>
        </w:rPr>
        <w:t>按照财政支出绩效管理要求，不断完善绩效评价的评价体系及工作流程，提高财政资金使用管理的水平和效率。</w:t>
      </w:r>
    </w:p>
    <w:p>
      <w:pPr>
        <w:pStyle w:val="3"/>
        <w:numPr>
          <w:ilvl w:val="0"/>
          <w:numId w:val="3"/>
        </w:numPr>
        <w:spacing w:line="360" w:lineRule="auto"/>
        <w:rPr>
          <w:rFonts w:hint="eastAsia" w:ascii="宋体" w:hAnsi="宋体" w:eastAsia="宋体"/>
          <w:sz w:val="32"/>
          <w:szCs w:val="32"/>
        </w:rPr>
      </w:pPr>
      <w:r>
        <w:rPr>
          <w:rFonts w:hint="eastAsia" w:ascii="宋体" w:hAnsi="宋体" w:eastAsia="宋体"/>
          <w:sz w:val="32"/>
          <w:szCs w:val="32"/>
        </w:rPr>
        <w:t>有关建议</w:t>
      </w:r>
      <w:bookmarkEnd w:id="22"/>
    </w:p>
    <w:p>
      <w:pPr>
        <w:spacing w:line="360" w:lineRule="auto"/>
        <w:ind w:firstLine="600" w:firstLineChars="200"/>
        <w:rPr>
          <w:rFonts w:hint="eastAsia"/>
          <w:color w:val="auto"/>
        </w:rPr>
      </w:pPr>
      <w:bookmarkStart w:id="23" w:name="_Toc68703846"/>
      <w:r>
        <w:rPr>
          <w:rFonts w:hint="eastAsia"/>
          <w:color w:val="auto"/>
        </w:rPr>
        <w:t>进一步提高绩效管理水平，加强与财政部门的紧密配合,开展好整体支出及项目资金绩效管理工作；加强学习。进一步明确全面实施预算绩效管理的要求，充分发挥预算绩效管理工作效用。</w:t>
      </w:r>
    </w:p>
    <w:p>
      <w:pPr>
        <w:pStyle w:val="3"/>
        <w:spacing w:line="360" w:lineRule="auto"/>
        <w:rPr>
          <w:rFonts w:ascii="宋体" w:hAnsi="宋体" w:eastAsia="宋体"/>
          <w:sz w:val="32"/>
          <w:szCs w:val="32"/>
        </w:rPr>
      </w:pPr>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cs="宋体"/>
          <w:color w:val="333333"/>
          <w:sz w:val="32"/>
          <w:szCs w:val="32"/>
        </w:rPr>
      </w:pPr>
      <w:r>
        <w:rPr>
          <w:rFonts w:hint="eastAsia"/>
          <w:color w:val="333333"/>
          <w:sz w:val="32"/>
          <w:szCs w:val="32"/>
        </w:rPr>
        <w:t xml:space="preserve">  </w:t>
      </w:r>
      <w:r>
        <w:rPr>
          <w:rFonts w:hint="eastAsia" w:ascii="仿宋_GB2312" w:hAnsi="仿宋"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96923F9B-CCF7-446C-8118-0CCDA13B38F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783AAE3E-70AA-4424-B281-24EC87FA358D}"/>
  </w:font>
  <w:font w:name="等线 Light">
    <w:altName w:val="宋体"/>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3" w:fontKey="{30C95A5D-C587-4B43-8842-E8ABC2FC1CD0}"/>
  </w:font>
  <w:font w:name="仿宋">
    <w:panose1 w:val="02010609060101010101"/>
    <w:charset w:val="86"/>
    <w:family w:val="modern"/>
    <w:pitch w:val="default"/>
    <w:sig w:usb0="800002BF" w:usb1="38CF7CFA" w:usb2="00000016" w:usb3="00000000" w:csb0="00040001" w:csb1="00000000"/>
    <w:embedRegular r:id="rId4" w:fontKey="{3BA5A4CE-55D5-4C18-AEF3-0083C2562591}"/>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embedRegular r:id="rId5" w:fontKey="{E402F537-E5C5-4CD8-8FDB-8D676A01E0B9}"/>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5E29CD"/>
    <w:multiLevelType w:val="singleLevel"/>
    <w:tmpl w:val="235E29CD"/>
    <w:lvl w:ilvl="0" w:tentative="0">
      <w:start w:val="2"/>
      <w:numFmt w:val="decimal"/>
      <w:suff w:val="nothing"/>
      <w:lvlText w:val="%1、"/>
      <w:lvlJc w:val="left"/>
    </w:lvl>
  </w:abstractNum>
  <w:abstractNum w:abstractNumId="1">
    <w:nsid w:val="29A167BB"/>
    <w:multiLevelType w:val="singleLevel"/>
    <w:tmpl w:val="29A167BB"/>
    <w:lvl w:ilvl="0" w:tentative="0">
      <w:start w:val="6"/>
      <w:numFmt w:val="chineseCounting"/>
      <w:suff w:val="nothing"/>
      <w:lvlText w:val="%1、"/>
      <w:lvlJc w:val="left"/>
      <w:rPr>
        <w:rFonts w:hint="eastAsia"/>
      </w:rPr>
    </w:lvl>
  </w:abstractNum>
  <w:abstractNum w:abstractNumId="2">
    <w:nsid w:val="3D22C456"/>
    <w:multiLevelType w:val="singleLevel"/>
    <w:tmpl w:val="3D22C456"/>
    <w:lvl w:ilvl="0" w:tentative="0">
      <w:start w:val="3"/>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Y1OTZmMDAwOTg1MzAxOTc3OWNhMWFjNjI0OTBhMWUifQ=="/>
  </w:docVars>
  <w:rsids>
    <w:rsidRoot w:val="007D49C5"/>
    <w:rsid w:val="000B223C"/>
    <w:rsid w:val="00376D6A"/>
    <w:rsid w:val="003D757B"/>
    <w:rsid w:val="004850D4"/>
    <w:rsid w:val="00571796"/>
    <w:rsid w:val="006124B7"/>
    <w:rsid w:val="00614288"/>
    <w:rsid w:val="007D49C5"/>
    <w:rsid w:val="008032CD"/>
    <w:rsid w:val="008464B5"/>
    <w:rsid w:val="008C631D"/>
    <w:rsid w:val="00977705"/>
    <w:rsid w:val="00987A38"/>
    <w:rsid w:val="00BA7845"/>
    <w:rsid w:val="00EF1FE3"/>
    <w:rsid w:val="0C272714"/>
    <w:rsid w:val="15DA37C6"/>
    <w:rsid w:val="17F825CA"/>
    <w:rsid w:val="1C536E87"/>
    <w:rsid w:val="1E4A575F"/>
    <w:rsid w:val="2732278A"/>
    <w:rsid w:val="39A55DD4"/>
    <w:rsid w:val="3F3020FF"/>
    <w:rsid w:val="4D746FF8"/>
    <w:rsid w:val="53B0023C"/>
    <w:rsid w:val="59791BAD"/>
    <w:rsid w:val="622575EA"/>
    <w:rsid w:val="6CB45731"/>
    <w:rsid w:val="71AE7A4A"/>
    <w:rsid w:val="72A61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Balloon Text"/>
    <w:basedOn w:val="1"/>
    <w:link w:val="19"/>
    <w:semiHidden/>
    <w:unhideWhenUsed/>
    <w:qFormat/>
    <w:uiPriority w:val="99"/>
    <w:rPr>
      <w:sz w:val="18"/>
      <w:szCs w:val="18"/>
    </w:rPr>
  </w:style>
  <w:style w:type="paragraph" w:styleId="6">
    <w:name w:val="footer"/>
    <w:basedOn w:val="1"/>
    <w:link w:val="18"/>
    <w:autoRedefine/>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autoRedefine/>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autoRedefine/>
    <w:qFormat/>
    <w:uiPriority w:val="9"/>
    <w:rPr>
      <w:rFonts w:asciiTheme="majorHAnsi" w:hAnsiTheme="majorHAnsi" w:eastAsiaTheme="majorEastAsia" w:cstheme="majorBidi"/>
      <w:b/>
      <w:bCs/>
      <w:sz w:val="32"/>
      <w:szCs w:val="32"/>
    </w:rPr>
  </w:style>
  <w:style w:type="paragraph" w:customStyle="1" w:styleId="16">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autoRedefine/>
    <w:qFormat/>
    <w:uiPriority w:val="99"/>
    <w:rPr>
      <w:rFonts w:ascii="Times New Roman" w:hAnsi="Times New Roman" w:eastAsia="仿宋_GB2312" w:cs="Times New Roman"/>
      <w:sz w:val="18"/>
      <w:szCs w:val="18"/>
    </w:rPr>
  </w:style>
  <w:style w:type="character" w:customStyle="1" w:styleId="18">
    <w:name w:val="页脚 Char"/>
    <w:basedOn w:val="12"/>
    <w:link w:val="6"/>
    <w:autoRedefine/>
    <w:qFormat/>
    <w:uiPriority w:val="99"/>
    <w:rPr>
      <w:rFonts w:ascii="Times New Roman" w:hAnsi="Times New Roman" w:eastAsia="仿宋_GB2312" w:cs="Times New Roman"/>
      <w:sz w:val="18"/>
      <w:szCs w:val="18"/>
    </w:rPr>
  </w:style>
  <w:style w:type="character" w:customStyle="1" w:styleId="19">
    <w:name w:val="批注框文本 Char"/>
    <w:basedOn w:val="12"/>
    <w:link w:val="5"/>
    <w:autoRedefine/>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1088</Words>
  <Characters>6204</Characters>
  <Lines>51</Lines>
  <Paragraphs>14</Paragraphs>
  <TotalTime>16</TotalTime>
  <ScaleCrop>false</ScaleCrop>
  <LinksUpToDate>false</LinksUpToDate>
  <CharactersWithSpaces>7278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2024-05-16T11:35:12Z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C10A60A6D9144BF185A63F71A217C929_12</vt:lpwstr>
  </property>
</Properties>
</file>