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第一小学</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bookmarkStart w:id="18" w:name="_GoBack"/>
      <w:r>
        <w:rPr>
          <w:rFonts w:hint="eastAsia" w:ascii="宋体" w:hAnsi="宋体" w:eastAsia="宋体" w:cs="宋体"/>
          <w:sz w:val="32"/>
          <w:szCs w:val="32"/>
          <w:lang w:eastAsia="zh-CN"/>
        </w:rPr>
        <w:drawing>
          <wp:anchor distT="0" distB="0" distL="114300" distR="114300" simplePos="0" relativeHeight="251659264" behindDoc="0" locked="0" layoutInCell="1" allowOverlap="1">
            <wp:simplePos x="0" y="0"/>
            <wp:positionH relativeFrom="column">
              <wp:posOffset>1847850</wp:posOffset>
            </wp:positionH>
            <wp:positionV relativeFrom="paragraph">
              <wp:posOffset>115570</wp:posOffset>
            </wp:positionV>
            <wp:extent cx="2524125" cy="2590800"/>
            <wp:effectExtent l="0" t="0" r="0" b="0"/>
            <wp:wrapNone/>
            <wp:docPr id="1" name="图片 1" descr="学校章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校章子"/>
                    <pic:cNvPicPr>
                      <a:picLocks noChangeAspect="1"/>
                    </pic:cNvPicPr>
                  </pic:nvPicPr>
                  <pic:blipFill>
                    <a:blip r:embed="rId4"/>
                    <a:stretch>
                      <a:fillRect/>
                    </a:stretch>
                  </pic:blipFill>
                  <pic:spPr>
                    <a:xfrm>
                      <a:off x="0" y="0"/>
                      <a:ext cx="2524125" cy="2590800"/>
                    </a:xfrm>
                    <a:prstGeom prst="rect">
                      <a:avLst/>
                    </a:prstGeom>
                  </pic:spPr>
                </pic:pic>
              </a:graphicData>
            </a:graphic>
          </wp:anchor>
        </w:drawing>
      </w:r>
      <w:bookmarkEnd w:id="18"/>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color w:val="000000"/>
          <w:kern w:val="0"/>
          <w:sz w:val="32"/>
          <w:szCs w:val="32"/>
          <w:lang w:val="en-US" w:eastAsia="zh-CN"/>
        </w:rPr>
        <w:t>焉耆县第一小学</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eastAsia" w:ascii="宋体" w:hAnsi="宋体" w:eastAsia="宋体" w:cs="宋体"/>
          <w:b/>
          <w:kern w:val="0"/>
          <w:sz w:val="32"/>
          <w:szCs w:val="32"/>
          <w:lang w:eastAsia="zh-CN"/>
        </w:rPr>
      </w:pPr>
      <w:r>
        <w:rPr>
          <w:rFonts w:hint="eastAsia" w:ascii="宋体" w:hAnsi="宋体" w:eastAsia="宋体" w:cs="宋体"/>
          <w:b/>
          <w:bCs/>
          <w:kern w:val="0"/>
          <w:sz w:val="32"/>
          <w:szCs w:val="32"/>
        </w:rPr>
        <w:t>实施单位（公章）：</w:t>
      </w:r>
      <w:r>
        <w:rPr>
          <w:rFonts w:hint="eastAsia" w:ascii="宋体" w:hAnsi="宋体" w:eastAsia="宋体" w:cs="宋体"/>
          <w:b/>
          <w:bCs/>
          <w:kern w:val="0"/>
          <w:sz w:val="32"/>
          <w:szCs w:val="32"/>
          <w:lang w:eastAsia="zh-CN"/>
        </w:rPr>
        <w:t>焉耆县第一小学</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default" w:ascii="宋体" w:hAnsi="宋体" w:eastAsia="宋体" w:cs="宋体"/>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val="en-US" w:eastAsia="zh-CN"/>
        </w:rPr>
        <w:t>买跃丽</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填报时间：</w:t>
      </w:r>
      <w:r>
        <w:rPr>
          <w:rFonts w:hint="eastAsia" w:ascii="宋体" w:hAnsi="宋体" w:eastAsia="宋体" w:cs="宋体"/>
          <w:sz w:val="32"/>
          <w:szCs w:val="32"/>
        </w:rPr>
        <w:t>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1"/>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lang w:eastAsia="zh-CN"/>
        </w:rPr>
        <w:t>焉耆县第一小学</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w:t>
      </w:r>
      <w:r>
        <w:rPr>
          <w:rFonts w:hint="eastAsia" w:ascii="宋体" w:hAnsi="宋体" w:eastAsia="宋体" w:cs="宋体"/>
          <w:color w:val="333333"/>
          <w:sz w:val="32"/>
          <w:szCs w:val="32"/>
          <w:highlight w:val="none"/>
          <w:shd w:val="clear" w:color="auto" w:fill="FFFFFF"/>
        </w:rPr>
        <w:t>2023年事业岗基本工资</w:t>
      </w:r>
      <w:r>
        <w:rPr>
          <w:rFonts w:hint="eastAsia" w:ascii="宋体" w:hAnsi="宋体" w:eastAsia="宋体" w:cs="宋体"/>
          <w:sz w:val="32"/>
          <w:szCs w:val="32"/>
          <w:highlight w:val="none"/>
        </w:rPr>
        <w:t>项目经费”</w:t>
      </w:r>
      <w:r>
        <w:rPr>
          <w:rFonts w:hint="eastAsia" w:ascii="宋体" w:hAnsi="宋体" w:eastAsia="宋体" w:cs="宋体"/>
          <w:sz w:val="32"/>
          <w:szCs w:val="32"/>
          <w:highlight w:val="none"/>
          <w:lang w:eastAsia="zh-CN"/>
        </w:rPr>
        <w:t>5.</w:t>
      </w:r>
      <w:r>
        <w:rPr>
          <w:rFonts w:hint="eastAsia" w:ascii="宋体" w:hAnsi="宋体" w:eastAsia="宋体" w:cs="宋体"/>
          <w:sz w:val="32"/>
          <w:szCs w:val="32"/>
          <w:highlight w:val="none"/>
          <w:lang w:val="en-US" w:eastAsia="zh-CN"/>
        </w:rPr>
        <w:t>36</w:t>
      </w:r>
      <w:r>
        <w:rPr>
          <w:rFonts w:hint="eastAsia" w:ascii="宋体" w:hAnsi="宋体" w:eastAsia="宋体" w:cs="宋体"/>
          <w:sz w:val="32"/>
          <w:szCs w:val="32"/>
          <w:highlight w:val="none"/>
        </w:rPr>
        <w:t>万。该项目年初预算数</w:t>
      </w:r>
      <w:r>
        <w:rPr>
          <w:rFonts w:hint="eastAsia" w:ascii="宋体" w:hAnsi="宋体" w:eastAsia="宋体" w:cs="宋体"/>
          <w:sz w:val="32"/>
          <w:szCs w:val="32"/>
          <w:highlight w:val="none"/>
          <w:lang w:eastAsia="zh-CN"/>
        </w:rPr>
        <w:t>5.</w:t>
      </w:r>
      <w:r>
        <w:rPr>
          <w:rFonts w:hint="eastAsia" w:ascii="宋体" w:hAnsi="宋体" w:eastAsia="宋体" w:cs="宋体"/>
          <w:sz w:val="32"/>
          <w:szCs w:val="32"/>
          <w:highlight w:val="none"/>
          <w:lang w:val="en-US" w:eastAsia="zh-CN"/>
        </w:rPr>
        <w:t>36</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eastAsia="zh-CN"/>
        </w:rPr>
        <w:t>5.36</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w:t>
      </w:r>
      <w:r>
        <w:rPr>
          <w:rFonts w:hint="eastAsia" w:ascii="宋体" w:hAnsi="宋体" w:eastAsia="宋体" w:cs="宋体"/>
          <w:sz w:val="32"/>
          <w:szCs w:val="32"/>
          <w:lang w:eastAsia="zh-CN"/>
        </w:rPr>
        <w:t>焉耆县第一小学</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spacing w:line="360" w:lineRule="auto"/>
        <w:ind w:firstLine="640" w:firstLineChars="200"/>
        <w:rPr>
          <w:rFonts w:hint="eastAsia" w:ascii="宋体" w:hAnsi="宋体" w:eastAsia="宋体" w:cs="宋体"/>
          <w:b w:val="0"/>
          <w:bCs w:val="0"/>
        </w:rPr>
      </w:pPr>
      <w:r>
        <w:rPr>
          <w:rFonts w:hint="eastAsia" w:ascii="宋体" w:hAnsi="宋体" w:eastAsia="宋体" w:cs="宋体"/>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874" w:type="dxa"/>
            <w:shd w:val="clear" w:color="auto"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74" w:type="dxa"/>
            <w:shd w:val="clear" w:color="000000" w:fill="FFFFFF"/>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98.33</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本次主要采用了因素分析法，主要原因是：因素分析法能结合我单位实际，组织相关人员根据项目绩效报表指标内容，对所有项目内容进行核实和考评。</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highlight w:val="yellow"/>
        </w:rPr>
      </w:pPr>
      <w:bookmarkStart w:id="6" w:name="_Toc68703833"/>
      <w:r>
        <w:rPr>
          <w:rFonts w:hint="eastAsia" w:ascii="宋体" w:hAnsi="宋体" w:eastAsia="宋体" w:cs="宋体"/>
          <w:sz w:val="32"/>
          <w:szCs w:val="32"/>
          <w:lang w:val="en-US" w:eastAsia="zh-CN"/>
        </w:rPr>
        <w:t>本次项目支出绩效自评采用计划标准。原因是：本项目通过项目实施方案及项目指标数据确定三级指标进行自评，使评价结果更加科学真实。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360" w:lineRule="auto"/>
        <w:ind w:firstLine="640" w:firstLineChars="200"/>
        <w:rPr>
          <w:rFonts w:ascii="宋体" w:hAnsi="宋体" w:eastAsia="宋体" w:cs="宋体"/>
          <w:sz w:val="32"/>
          <w:szCs w:val="32"/>
          <w:highlight w:val="yellow"/>
        </w:rPr>
      </w:pPr>
      <w:r>
        <w:rPr>
          <w:rFonts w:hint="eastAsia" w:ascii="宋体" w:hAnsi="宋体" w:eastAsia="宋体" w:cs="宋体"/>
          <w:sz w:val="32"/>
          <w:szCs w:val="32"/>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12"/>
        <w:spacing w:line="360" w:lineRule="auto"/>
        <w:rPr>
          <w:rFonts w:ascii="宋体" w:hAnsi="宋体" w:eastAsia="宋体" w:cs="宋体"/>
          <w:sz w:val="32"/>
          <w:szCs w:val="32"/>
        </w:rPr>
      </w:pP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评价方法，坚持以计划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38.33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98.33</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w:t>
      </w:r>
      <w:r>
        <w:rPr>
          <w:rFonts w:hint="eastAsia" w:ascii="宋体" w:hAnsi="宋体" w:eastAsia="宋体" w:cs="宋体"/>
          <w:color w:val="333333"/>
          <w:sz w:val="32"/>
          <w:szCs w:val="32"/>
          <w:highlight w:val="none"/>
        </w:rPr>
        <w:t>求，最终得分为</w:t>
      </w:r>
      <w:r>
        <w:rPr>
          <w:rFonts w:hint="eastAsia" w:ascii="宋体" w:hAnsi="宋体" w:eastAsia="宋体" w:cs="宋体"/>
          <w:color w:val="333333"/>
          <w:sz w:val="32"/>
          <w:szCs w:val="32"/>
          <w:highlight w:val="none"/>
          <w:lang w:val="en-US" w:eastAsia="zh-CN"/>
        </w:rPr>
        <w:t>98.33</w:t>
      </w:r>
      <w:r>
        <w:rPr>
          <w:rFonts w:hint="eastAsia" w:ascii="宋体" w:hAnsi="宋体" w:eastAsia="宋体" w:cs="宋体"/>
          <w:color w:val="333333"/>
          <w:sz w:val="32"/>
          <w:szCs w:val="32"/>
          <w:highlight w:val="none"/>
        </w:rPr>
        <w:t>分，项目达成年度指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4</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lang w:val="en-US" w:eastAsia="zh-CN"/>
        </w:rPr>
        <w:t>71</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val="en-US" w:eastAsia="zh-CN"/>
        </w:rPr>
        <w:t>全年</w:t>
      </w:r>
      <w:r>
        <w:rPr>
          <w:rFonts w:hint="eastAsia" w:ascii="宋体" w:hAnsi="宋体" w:eastAsia="宋体" w:cs="宋体"/>
          <w:sz w:val="32"/>
          <w:szCs w:val="32"/>
          <w:highlight w:val="none"/>
        </w:rPr>
        <w:t xml:space="preserve">预算资金 </w:t>
      </w:r>
      <w:r>
        <w:rPr>
          <w:rFonts w:hint="eastAsia" w:ascii="宋体" w:hAnsi="宋体" w:eastAsia="宋体" w:cs="宋体"/>
          <w:sz w:val="32"/>
          <w:szCs w:val="32"/>
          <w:highlight w:val="none"/>
          <w:lang w:val="en-US" w:eastAsia="zh-CN"/>
        </w:rPr>
        <w:t>4</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lang w:val="en-US" w:eastAsia="zh-CN"/>
        </w:rPr>
        <w:t>71</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eastAsia="zh-CN"/>
        </w:rPr>
        <w:t>5.36</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4.71</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Ansi="宋体" w:eastAsia="宋体" w:cs="宋体"/>
          <w:sz w:val="32"/>
          <w:szCs w:val="32"/>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项目遵守相关法律法规和相关管理规定；项目调整及支出调整手续完备；项目合同书、验收报告、技术鉴定等资料齐全并及时归档；项目实施的人员条件、场地设备、信息支撑等落实到位。</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1</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1</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10次，指标完成率83.33%，</w:t>
      </w:r>
      <w:r>
        <w:rPr>
          <w:rStyle w:val="17"/>
          <w:rFonts w:hint="eastAsia" w:ascii="宋体" w:hAnsi="宋体" w:eastAsia="宋体" w:cs="宋体"/>
          <w:b w:val="0"/>
          <w:spacing w:val="-4"/>
          <w:sz w:val="32"/>
          <w:szCs w:val="32"/>
        </w:rPr>
        <w:t>偏差率16.67%，偏差原因：2023年11-12月基本工资在2024年1月发放。改进措施为：通过多种渠道广泛宣传优惠政策，确保所有符合条件的事业岗教师都能得到帮助,相应减轻家庭经济负担</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指标1：工资发放覆盖率，指标值：</w:t>
      </w:r>
      <w:r>
        <w:rPr>
          <w:rFonts w:hint="eastAsia" w:ascii="宋体" w:hAnsi="宋体" w:eastAsia="宋体" w:cs="宋体"/>
          <w:sz w:val="32"/>
          <w:szCs w:val="32"/>
          <w:lang w:val="en-US" w:eastAsia="zh-CN"/>
        </w:rPr>
        <w:t>=100</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3、时效指标：</w:t>
      </w:r>
    </w:p>
    <w:p>
      <w:p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 工资发放及时率，指标值：≥</w:t>
      </w:r>
      <w:r>
        <w:rPr>
          <w:rFonts w:hint="eastAsia" w:ascii="宋体" w:hAnsi="宋体" w:eastAsia="宋体" w:cs="宋体"/>
          <w:sz w:val="32"/>
          <w:szCs w:val="32"/>
          <w:lang w:val="en-US" w:eastAsia="zh-CN"/>
        </w:rPr>
        <w:t>=</w:t>
      </w:r>
      <w:r>
        <w:rPr>
          <w:rFonts w:hint="eastAsia" w:ascii="宋体" w:hAnsi="宋体" w:eastAsia="宋体" w:cs="宋体"/>
          <w:sz w:val="32"/>
          <w:szCs w:val="32"/>
        </w:rPr>
        <w:t>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偏差率</w:t>
      </w:r>
      <w:r>
        <w:rPr>
          <w:rStyle w:val="17"/>
          <w:rFonts w:hint="eastAsia" w:ascii="宋体" w:hAnsi="宋体" w:eastAsia="宋体" w:cs="宋体"/>
          <w:b w:val="0"/>
          <w:spacing w:val="-4"/>
          <w:sz w:val="32"/>
          <w:szCs w:val="32"/>
          <w:lang w:val="en-US" w:eastAsia="zh-CN"/>
        </w:rPr>
        <w:t>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及</w:t>
      </w:r>
      <w:r>
        <w:rPr>
          <w:rStyle w:val="17"/>
          <w:rFonts w:hint="eastAsia" w:ascii="宋体" w:hAnsi="宋体" w:eastAsia="宋体" w:cs="宋体"/>
          <w:b w:val="0"/>
          <w:spacing w:val="-4"/>
          <w:sz w:val="32"/>
          <w:szCs w:val="32"/>
        </w:rPr>
        <w:t>改进措施：</w:t>
      </w:r>
      <w:r>
        <w:rPr>
          <w:rStyle w:val="17"/>
          <w:rFonts w:hint="eastAsia" w:ascii="宋体" w:hAnsi="宋体" w:eastAsia="宋体" w:cs="宋体"/>
          <w:b w:val="0"/>
          <w:spacing w:val="-4"/>
          <w:sz w:val="32"/>
          <w:szCs w:val="32"/>
          <w:lang w:eastAsia="zh-CN"/>
        </w:rPr>
        <w:t>无</w:t>
      </w:r>
      <w:r>
        <w:rPr>
          <w:rStyle w:val="17"/>
          <w:rFonts w:hint="eastAsia" w:ascii="宋体" w:hAnsi="宋体" w:eastAsia="宋体" w:cs="宋体"/>
          <w:b w:val="0"/>
          <w:spacing w:val="-4"/>
          <w:sz w:val="32"/>
          <w:szCs w:val="32"/>
        </w:rPr>
        <w:t>。</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4.成本指标：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，实际完成值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6"/>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default" w:ascii="宋体" w:hAnsi="宋体" w:eastAsia="宋体"/>
          <w:sz w:val="32"/>
          <w:szCs w:val="32"/>
          <w:highlight w:val="none"/>
          <w:lang w:val="en-US" w:eastAsia="zh-CN"/>
        </w:rPr>
      </w:pPr>
      <w:r>
        <w:rPr>
          <w:rFonts w:hint="eastAsia" w:ascii="宋体" w:hAnsi="宋体" w:eastAsia="宋体"/>
          <w:sz w:val="32"/>
          <w:szCs w:val="32"/>
          <w:highlight w:val="none"/>
          <w:lang w:val="en-US" w:eastAsia="zh-CN"/>
        </w:rPr>
        <w:t>2023年事业岗工资</w:t>
      </w:r>
      <w:r>
        <w:rPr>
          <w:rFonts w:hint="eastAsia" w:ascii="宋体" w:hAnsi="宋体" w:eastAsia="宋体"/>
          <w:sz w:val="32"/>
          <w:szCs w:val="32"/>
          <w:highlight w:val="none"/>
        </w:rPr>
        <w:t>项目年初预算数</w:t>
      </w:r>
      <w:r>
        <w:rPr>
          <w:rFonts w:hint="eastAsia" w:ascii="宋体" w:hAnsi="宋体" w:eastAsia="宋体"/>
          <w:sz w:val="32"/>
          <w:szCs w:val="32"/>
          <w:highlight w:val="none"/>
          <w:lang w:eastAsia="zh-CN"/>
        </w:rPr>
        <w:t>5.36</w:t>
      </w:r>
      <w:r>
        <w:rPr>
          <w:rFonts w:hint="eastAsia" w:ascii="宋体" w:hAnsi="宋体" w:eastAsia="宋体"/>
          <w:sz w:val="32"/>
          <w:szCs w:val="32"/>
          <w:highlight w:val="none"/>
        </w:rPr>
        <w:t>万元，全年预算数</w:t>
      </w:r>
      <w:r>
        <w:rPr>
          <w:rFonts w:hint="eastAsia" w:ascii="宋体" w:hAnsi="宋体" w:eastAsia="宋体"/>
          <w:sz w:val="32"/>
          <w:szCs w:val="32"/>
          <w:highlight w:val="none"/>
          <w:lang w:eastAsia="zh-CN"/>
        </w:rPr>
        <w:t>4.71</w:t>
      </w:r>
      <w:r>
        <w:rPr>
          <w:rFonts w:hint="eastAsia" w:ascii="宋体" w:hAnsi="宋体" w:eastAsia="宋体"/>
          <w:sz w:val="32"/>
          <w:szCs w:val="32"/>
          <w:highlight w:val="none"/>
        </w:rPr>
        <w:t>万元，全年执行数</w:t>
      </w:r>
      <w:r>
        <w:rPr>
          <w:rFonts w:hint="eastAsia" w:ascii="宋体" w:hAnsi="宋体" w:eastAsia="宋体"/>
          <w:sz w:val="32"/>
          <w:szCs w:val="32"/>
          <w:highlight w:val="none"/>
          <w:lang w:val="en-US" w:eastAsia="zh-CN"/>
        </w:rPr>
        <w:t>4.71万元</w:t>
      </w:r>
      <w:r>
        <w:rPr>
          <w:rFonts w:hint="eastAsia" w:ascii="宋体" w:hAnsi="宋体" w:eastAsia="宋体"/>
          <w:sz w:val="32"/>
          <w:szCs w:val="32"/>
          <w:highlight w:val="none"/>
        </w:rPr>
        <w:t>，</w:t>
      </w:r>
      <w:r>
        <w:rPr>
          <w:rFonts w:hint="eastAsia" w:ascii="宋体" w:hAnsi="宋体" w:eastAsia="宋体"/>
          <w:sz w:val="32"/>
          <w:szCs w:val="32"/>
          <w:highlight w:val="none"/>
          <w:lang w:val="en-US" w:eastAsia="zh-CN"/>
        </w:rPr>
        <w:t>预算执行率为100%，项目绩效指标总体完成率为97.62%</w:t>
      </w:r>
      <w:r>
        <w:rPr>
          <w:rFonts w:hint="eastAsia" w:ascii="宋体" w:hAnsi="宋体" w:eastAsia="宋体"/>
          <w:sz w:val="32"/>
          <w:szCs w:val="32"/>
          <w:highlight w:val="none"/>
        </w:rPr>
        <w:t>，</w:t>
      </w:r>
      <w:r>
        <w:rPr>
          <w:rFonts w:hint="eastAsia" w:ascii="宋体" w:hAnsi="宋体" w:eastAsia="宋体"/>
          <w:sz w:val="32"/>
          <w:szCs w:val="32"/>
          <w:highlight w:val="none"/>
          <w:lang w:val="en-US" w:eastAsia="zh-CN"/>
        </w:rPr>
        <w:t>总体</w:t>
      </w:r>
      <w:r>
        <w:rPr>
          <w:rFonts w:hint="eastAsia" w:ascii="宋体" w:hAnsi="宋体" w:eastAsia="宋体"/>
          <w:sz w:val="32"/>
          <w:szCs w:val="32"/>
          <w:highlight w:val="none"/>
        </w:rPr>
        <w:t>预算执行率为</w:t>
      </w:r>
      <w:r>
        <w:rPr>
          <w:rFonts w:hint="eastAsia" w:ascii="宋体" w:hAnsi="宋体" w:eastAsia="宋体"/>
          <w:sz w:val="32"/>
          <w:szCs w:val="32"/>
          <w:highlight w:val="none"/>
          <w:lang w:val="en-US" w:eastAsia="zh-CN"/>
        </w:rPr>
        <w:t>2.38</w:t>
      </w:r>
      <w:r>
        <w:rPr>
          <w:rFonts w:hint="eastAsia" w:ascii="宋体" w:hAnsi="宋体" w:eastAsia="宋体"/>
          <w:sz w:val="32"/>
          <w:szCs w:val="32"/>
          <w:highlight w:val="none"/>
        </w:rPr>
        <w:t>%，偏差</w:t>
      </w:r>
      <w:r>
        <w:rPr>
          <w:rFonts w:hint="eastAsia" w:ascii="宋体" w:hAnsi="宋体" w:eastAsia="宋体"/>
          <w:sz w:val="32"/>
          <w:szCs w:val="32"/>
          <w:highlight w:val="none"/>
          <w:lang w:eastAsia="zh-CN"/>
        </w:rPr>
        <w:t>原因：</w:t>
      </w:r>
      <w:r>
        <w:rPr>
          <w:rStyle w:val="17"/>
          <w:rFonts w:hint="eastAsia" w:ascii="宋体" w:hAnsi="宋体" w:eastAsia="宋体" w:cs="宋体"/>
          <w:b w:val="0"/>
          <w:spacing w:val="-4"/>
          <w:sz w:val="32"/>
          <w:szCs w:val="32"/>
          <w:highlight w:val="none"/>
        </w:rPr>
        <w:t>2023年11-12月基本工资在2024年1月发放。</w:t>
      </w:r>
      <w:r>
        <w:rPr>
          <w:rFonts w:hint="eastAsia" w:ascii="宋体" w:hAnsi="宋体" w:eastAsia="宋体"/>
          <w:sz w:val="32"/>
          <w:szCs w:val="32"/>
          <w:highlight w:val="none"/>
          <w:lang w:eastAsia="zh-CN"/>
        </w:rPr>
        <w:t>，改进措施</w:t>
      </w:r>
      <w:r>
        <w:rPr>
          <w:rFonts w:hint="eastAsia" w:ascii="宋体" w:hAnsi="宋体" w:eastAsia="宋体"/>
          <w:sz w:val="32"/>
          <w:szCs w:val="32"/>
          <w:highlight w:val="none"/>
          <w:lang w:val="en-US" w:eastAsia="zh-CN"/>
        </w:rPr>
        <w:t>:按照要求及时发放工资</w:t>
      </w:r>
      <w:r>
        <w:rPr>
          <w:rFonts w:hint="eastAsia" w:ascii="宋体" w:hAnsi="宋体" w:eastAsia="宋体"/>
          <w:sz w:val="32"/>
          <w:szCs w:val="32"/>
          <w:highlight w:val="none"/>
        </w:rPr>
        <w:t>。</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bookmarkEnd w:id="17"/>
    <w:p>
      <w:pPr>
        <w:spacing w:line="360" w:lineRule="auto"/>
        <w:rPr>
          <w:rFonts w:hint="eastAsia" w:ascii="宋体" w:hAnsi="宋体" w:eastAsia="宋体" w:cs="宋体"/>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mUzZWQ4MDM2NjVhZjhiYzBiMGRjMTNiYjQzZGYifQ=="/>
  </w:docVars>
  <w:rsids>
    <w:rsidRoot w:val="007D49C5"/>
    <w:rsid w:val="00092664"/>
    <w:rsid w:val="000B223C"/>
    <w:rsid w:val="00125F68"/>
    <w:rsid w:val="00345F5A"/>
    <w:rsid w:val="00376D6A"/>
    <w:rsid w:val="00420750"/>
    <w:rsid w:val="004850D4"/>
    <w:rsid w:val="00506762"/>
    <w:rsid w:val="005627F0"/>
    <w:rsid w:val="00571796"/>
    <w:rsid w:val="00614288"/>
    <w:rsid w:val="00675481"/>
    <w:rsid w:val="007D49C5"/>
    <w:rsid w:val="008032CD"/>
    <w:rsid w:val="008464B5"/>
    <w:rsid w:val="008C631D"/>
    <w:rsid w:val="00944DB3"/>
    <w:rsid w:val="00977705"/>
    <w:rsid w:val="00987A38"/>
    <w:rsid w:val="00BA7845"/>
    <w:rsid w:val="00C36404"/>
    <w:rsid w:val="00CF3752"/>
    <w:rsid w:val="00E256B6"/>
    <w:rsid w:val="00EF1FE3"/>
    <w:rsid w:val="01AC75F0"/>
    <w:rsid w:val="027D0F8C"/>
    <w:rsid w:val="062108C7"/>
    <w:rsid w:val="067F3525"/>
    <w:rsid w:val="074E2EF7"/>
    <w:rsid w:val="081E6D6D"/>
    <w:rsid w:val="085602B5"/>
    <w:rsid w:val="08566507"/>
    <w:rsid w:val="086701CE"/>
    <w:rsid w:val="08A96637"/>
    <w:rsid w:val="08BD0334"/>
    <w:rsid w:val="090B5543"/>
    <w:rsid w:val="09153CCC"/>
    <w:rsid w:val="0A1E12A6"/>
    <w:rsid w:val="0A2F7010"/>
    <w:rsid w:val="0A762E91"/>
    <w:rsid w:val="0AB539B9"/>
    <w:rsid w:val="0B04224A"/>
    <w:rsid w:val="0B1C57E6"/>
    <w:rsid w:val="0BA94BA0"/>
    <w:rsid w:val="0C801DA5"/>
    <w:rsid w:val="0D044784"/>
    <w:rsid w:val="0D40160C"/>
    <w:rsid w:val="0DB22432"/>
    <w:rsid w:val="0E567261"/>
    <w:rsid w:val="0E602898"/>
    <w:rsid w:val="0E7B0A75"/>
    <w:rsid w:val="0EBD2E3C"/>
    <w:rsid w:val="0F76123D"/>
    <w:rsid w:val="0FE565AD"/>
    <w:rsid w:val="11E22BBA"/>
    <w:rsid w:val="12744159"/>
    <w:rsid w:val="129B7938"/>
    <w:rsid w:val="12A04F4F"/>
    <w:rsid w:val="12A83E03"/>
    <w:rsid w:val="12AA7B7B"/>
    <w:rsid w:val="1323348A"/>
    <w:rsid w:val="138959E3"/>
    <w:rsid w:val="13A75E69"/>
    <w:rsid w:val="15DA37C6"/>
    <w:rsid w:val="16C45B72"/>
    <w:rsid w:val="17797B1C"/>
    <w:rsid w:val="17D73287"/>
    <w:rsid w:val="18517C7B"/>
    <w:rsid w:val="18C66D91"/>
    <w:rsid w:val="199E386A"/>
    <w:rsid w:val="19C86B39"/>
    <w:rsid w:val="19CD414F"/>
    <w:rsid w:val="1A455EC6"/>
    <w:rsid w:val="1A6525DA"/>
    <w:rsid w:val="1AA475A6"/>
    <w:rsid w:val="1BE539D2"/>
    <w:rsid w:val="1C120E90"/>
    <w:rsid w:val="1C6012AB"/>
    <w:rsid w:val="1CF57803"/>
    <w:rsid w:val="1D1A3B4F"/>
    <w:rsid w:val="1DD43CFE"/>
    <w:rsid w:val="1E276524"/>
    <w:rsid w:val="1E5A29B0"/>
    <w:rsid w:val="1E63196B"/>
    <w:rsid w:val="1E682698"/>
    <w:rsid w:val="1F264A2D"/>
    <w:rsid w:val="1F7D3F22"/>
    <w:rsid w:val="1F8D0609"/>
    <w:rsid w:val="20000DDB"/>
    <w:rsid w:val="209E23A2"/>
    <w:rsid w:val="20B56069"/>
    <w:rsid w:val="20D12777"/>
    <w:rsid w:val="214B077B"/>
    <w:rsid w:val="215A6C10"/>
    <w:rsid w:val="21B72F49"/>
    <w:rsid w:val="223B434C"/>
    <w:rsid w:val="23BC14BC"/>
    <w:rsid w:val="23ED3D6C"/>
    <w:rsid w:val="24482D50"/>
    <w:rsid w:val="250D1ACE"/>
    <w:rsid w:val="25EE5B79"/>
    <w:rsid w:val="2701013C"/>
    <w:rsid w:val="2732278A"/>
    <w:rsid w:val="274912B9"/>
    <w:rsid w:val="28773C04"/>
    <w:rsid w:val="289F315B"/>
    <w:rsid w:val="29D3130E"/>
    <w:rsid w:val="2A3C3357"/>
    <w:rsid w:val="2A8820F8"/>
    <w:rsid w:val="2AAE58D7"/>
    <w:rsid w:val="2ACD0453"/>
    <w:rsid w:val="2AF21C68"/>
    <w:rsid w:val="2B146082"/>
    <w:rsid w:val="2B980A61"/>
    <w:rsid w:val="2BC53B61"/>
    <w:rsid w:val="2C043A01"/>
    <w:rsid w:val="2C7F577D"/>
    <w:rsid w:val="2CF25F4F"/>
    <w:rsid w:val="2D6E20D4"/>
    <w:rsid w:val="2DBE22D5"/>
    <w:rsid w:val="2DDD6BFF"/>
    <w:rsid w:val="2ECE02F6"/>
    <w:rsid w:val="2F2F348A"/>
    <w:rsid w:val="2F5173D4"/>
    <w:rsid w:val="2F642A08"/>
    <w:rsid w:val="2F995402"/>
    <w:rsid w:val="307750E9"/>
    <w:rsid w:val="3152520E"/>
    <w:rsid w:val="31AA504A"/>
    <w:rsid w:val="31F6028F"/>
    <w:rsid w:val="32036508"/>
    <w:rsid w:val="322272D6"/>
    <w:rsid w:val="3240150B"/>
    <w:rsid w:val="32C43EEA"/>
    <w:rsid w:val="34A73AC3"/>
    <w:rsid w:val="34E56399"/>
    <w:rsid w:val="34FA1E45"/>
    <w:rsid w:val="355552CD"/>
    <w:rsid w:val="359978AF"/>
    <w:rsid w:val="359E6C74"/>
    <w:rsid w:val="35D77444"/>
    <w:rsid w:val="36FE3EA5"/>
    <w:rsid w:val="38692F75"/>
    <w:rsid w:val="396D4F75"/>
    <w:rsid w:val="39BE5B37"/>
    <w:rsid w:val="3A26548A"/>
    <w:rsid w:val="3A5C0EAC"/>
    <w:rsid w:val="3AA82343"/>
    <w:rsid w:val="3BE23632"/>
    <w:rsid w:val="3C85293C"/>
    <w:rsid w:val="3CC1149A"/>
    <w:rsid w:val="3DD85CCB"/>
    <w:rsid w:val="3DE9514C"/>
    <w:rsid w:val="3E691DE9"/>
    <w:rsid w:val="3E79027E"/>
    <w:rsid w:val="3F3020FF"/>
    <w:rsid w:val="3F746C97"/>
    <w:rsid w:val="4004001B"/>
    <w:rsid w:val="40AB493B"/>
    <w:rsid w:val="41154705"/>
    <w:rsid w:val="411F30AB"/>
    <w:rsid w:val="41DD2262"/>
    <w:rsid w:val="41E33C60"/>
    <w:rsid w:val="41E9396D"/>
    <w:rsid w:val="42554B5E"/>
    <w:rsid w:val="43120CA1"/>
    <w:rsid w:val="432509D4"/>
    <w:rsid w:val="43993170"/>
    <w:rsid w:val="43CC07A5"/>
    <w:rsid w:val="43E51F12"/>
    <w:rsid w:val="444574A1"/>
    <w:rsid w:val="44E421C9"/>
    <w:rsid w:val="451505D5"/>
    <w:rsid w:val="459040FF"/>
    <w:rsid w:val="45EB3C86"/>
    <w:rsid w:val="46020B59"/>
    <w:rsid w:val="462705C0"/>
    <w:rsid w:val="463827CD"/>
    <w:rsid w:val="476D46F8"/>
    <w:rsid w:val="48272AF9"/>
    <w:rsid w:val="487F0B87"/>
    <w:rsid w:val="49941D36"/>
    <w:rsid w:val="49D157AD"/>
    <w:rsid w:val="4A9B5A20"/>
    <w:rsid w:val="4AB4263E"/>
    <w:rsid w:val="4AE50A49"/>
    <w:rsid w:val="4B645E12"/>
    <w:rsid w:val="4BEB02E1"/>
    <w:rsid w:val="4BED5E07"/>
    <w:rsid w:val="4BFA22D2"/>
    <w:rsid w:val="4C765DFD"/>
    <w:rsid w:val="4CAA5AA7"/>
    <w:rsid w:val="4D227D33"/>
    <w:rsid w:val="4D6B792C"/>
    <w:rsid w:val="4D774864"/>
    <w:rsid w:val="4DAE5A6A"/>
    <w:rsid w:val="4E395334"/>
    <w:rsid w:val="4E45017D"/>
    <w:rsid w:val="4EB86BA1"/>
    <w:rsid w:val="4ECF7A46"/>
    <w:rsid w:val="4EF120B3"/>
    <w:rsid w:val="4F6B03B8"/>
    <w:rsid w:val="4F6C1739"/>
    <w:rsid w:val="4F7A20A8"/>
    <w:rsid w:val="4FF04118"/>
    <w:rsid w:val="505C0224"/>
    <w:rsid w:val="50D91050"/>
    <w:rsid w:val="5153495F"/>
    <w:rsid w:val="51910C8D"/>
    <w:rsid w:val="5272350A"/>
    <w:rsid w:val="52BB5BF9"/>
    <w:rsid w:val="52FC2DD4"/>
    <w:rsid w:val="533802B0"/>
    <w:rsid w:val="54300F87"/>
    <w:rsid w:val="545C7FCE"/>
    <w:rsid w:val="54A379AB"/>
    <w:rsid w:val="54D20290"/>
    <w:rsid w:val="55BF30CD"/>
    <w:rsid w:val="568B06F7"/>
    <w:rsid w:val="56B57E6A"/>
    <w:rsid w:val="56C65BD3"/>
    <w:rsid w:val="56F42740"/>
    <w:rsid w:val="58421289"/>
    <w:rsid w:val="58615BB3"/>
    <w:rsid w:val="5898534D"/>
    <w:rsid w:val="591E78D7"/>
    <w:rsid w:val="59215342"/>
    <w:rsid w:val="5955323E"/>
    <w:rsid w:val="59936167"/>
    <w:rsid w:val="59995821"/>
    <w:rsid w:val="59B21A74"/>
    <w:rsid w:val="59B60181"/>
    <w:rsid w:val="5A0122E4"/>
    <w:rsid w:val="5A2B3B43"/>
    <w:rsid w:val="5B6F6839"/>
    <w:rsid w:val="5C9A163B"/>
    <w:rsid w:val="5D857AA6"/>
    <w:rsid w:val="5D9E1657"/>
    <w:rsid w:val="5DC7295C"/>
    <w:rsid w:val="5E23390B"/>
    <w:rsid w:val="5E5C7D57"/>
    <w:rsid w:val="5EC55BA3"/>
    <w:rsid w:val="60343BAD"/>
    <w:rsid w:val="607A4621"/>
    <w:rsid w:val="6099545F"/>
    <w:rsid w:val="60F15F42"/>
    <w:rsid w:val="61A46B11"/>
    <w:rsid w:val="61F652E1"/>
    <w:rsid w:val="61F93300"/>
    <w:rsid w:val="622540F5"/>
    <w:rsid w:val="622575EA"/>
    <w:rsid w:val="622814F0"/>
    <w:rsid w:val="628F156F"/>
    <w:rsid w:val="62B40FD5"/>
    <w:rsid w:val="632B573B"/>
    <w:rsid w:val="63EE0517"/>
    <w:rsid w:val="64B230AE"/>
    <w:rsid w:val="65534AD5"/>
    <w:rsid w:val="65896749"/>
    <w:rsid w:val="68152516"/>
    <w:rsid w:val="68282249"/>
    <w:rsid w:val="683055A2"/>
    <w:rsid w:val="69020CEC"/>
    <w:rsid w:val="69F12B0F"/>
    <w:rsid w:val="6A3C1FDC"/>
    <w:rsid w:val="6A4C5F97"/>
    <w:rsid w:val="6B0D3978"/>
    <w:rsid w:val="6BC26511"/>
    <w:rsid w:val="6BD840CA"/>
    <w:rsid w:val="6C186A79"/>
    <w:rsid w:val="6CC2719F"/>
    <w:rsid w:val="6D3C6797"/>
    <w:rsid w:val="6D4D4500"/>
    <w:rsid w:val="6D9D7236"/>
    <w:rsid w:val="6E8C2E06"/>
    <w:rsid w:val="6EDC5B3C"/>
    <w:rsid w:val="6F03131A"/>
    <w:rsid w:val="6F0C3CCB"/>
    <w:rsid w:val="6F347726"/>
    <w:rsid w:val="6F4B4A6F"/>
    <w:rsid w:val="6F651FD5"/>
    <w:rsid w:val="6FA04DBB"/>
    <w:rsid w:val="710650F2"/>
    <w:rsid w:val="72ED47BB"/>
    <w:rsid w:val="73E31007"/>
    <w:rsid w:val="743957DE"/>
    <w:rsid w:val="74A215D5"/>
    <w:rsid w:val="74E4574A"/>
    <w:rsid w:val="75C8506C"/>
    <w:rsid w:val="75D91027"/>
    <w:rsid w:val="788D1D40"/>
    <w:rsid w:val="79075EAB"/>
    <w:rsid w:val="7A15284A"/>
    <w:rsid w:val="7B166879"/>
    <w:rsid w:val="7B893F59"/>
    <w:rsid w:val="7BBD0AA3"/>
    <w:rsid w:val="7BF72207"/>
    <w:rsid w:val="7C1E3C37"/>
    <w:rsid w:val="7C9C4B5C"/>
    <w:rsid w:val="7D126BCC"/>
    <w:rsid w:val="7D3F1325"/>
    <w:rsid w:val="7D4D7B17"/>
    <w:rsid w:val="7DC0487A"/>
    <w:rsid w:val="7DD6409E"/>
    <w:rsid w:val="7E307C52"/>
    <w:rsid w:val="7E977CD1"/>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paragraph" w:styleId="6">
    <w:name w:val="heading 4"/>
    <w:basedOn w:val="1"/>
    <w:next w:val="1"/>
    <w:link w:val="25"/>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7">
    <w:name w:val="Body Text Indent"/>
    <w:basedOn w:val="1"/>
    <w:semiHidden/>
    <w:unhideWhenUsed/>
    <w:qFormat/>
    <w:uiPriority w:val="99"/>
    <w:pPr>
      <w:spacing w:after="120"/>
      <w:ind w:left="420" w:leftChars="200"/>
    </w:pPr>
  </w:style>
  <w:style w:type="paragraph" w:styleId="8">
    <w:name w:val="Balloon Text"/>
    <w:basedOn w:val="1"/>
    <w:link w:val="24"/>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footnote text"/>
    <w:basedOn w:val="1"/>
    <w:autoRedefine/>
    <w:qFormat/>
    <w:uiPriority w:val="0"/>
    <w:pPr>
      <w:snapToGrid w:val="0"/>
      <w:jc w:val="left"/>
    </w:pPr>
    <w:rPr>
      <w:sz w:val="18"/>
      <w:szCs w:val="18"/>
    </w:rPr>
  </w:style>
  <w:style w:type="paragraph" w:styleId="13">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Body Text First Indent 2"/>
    <w:basedOn w:val="7"/>
    <w:autoRedefine/>
    <w:qFormat/>
    <w:uiPriority w:val="0"/>
    <w:pPr>
      <w:spacing w:line="312" w:lineRule="auto"/>
      <w:ind w:firstLine="420"/>
    </w:pPr>
    <w:rPr>
      <w:rFonts w:ascii="宋体"/>
      <w:bCs/>
      <w:sz w:val="24"/>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rPr>
  </w:style>
  <w:style w:type="character" w:customStyle="1" w:styleId="19">
    <w:name w:val="标题 1 Char"/>
    <w:basedOn w:val="16"/>
    <w:link w:val="3"/>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autoRedefine/>
    <w:qFormat/>
    <w:uiPriority w:val="9"/>
    <w:rPr>
      <w:rFonts w:asciiTheme="majorHAnsi" w:hAnsiTheme="majorHAnsi" w:eastAsiaTheme="majorEastAsia" w:cstheme="majorBidi"/>
      <w:b/>
      <w:bCs/>
      <w:sz w:val="32"/>
      <w:szCs w:val="32"/>
    </w:rPr>
  </w:style>
  <w:style w:type="paragraph" w:customStyle="1" w:styleId="21">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6"/>
    <w:link w:val="10"/>
    <w:autoRedefine/>
    <w:qFormat/>
    <w:uiPriority w:val="99"/>
    <w:rPr>
      <w:rFonts w:ascii="Times New Roman" w:hAnsi="Times New Roman" w:eastAsia="仿宋_GB2312" w:cs="Times New Roman"/>
      <w:sz w:val="18"/>
      <w:szCs w:val="18"/>
    </w:rPr>
  </w:style>
  <w:style w:type="character" w:customStyle="1" w:styleId="23">
    <w:name w:val="页脚 Char"/>
    <w:basedOn w:val="16"/>
    <w:link w:val="9"/>
    <w:autoRedefine/>
    <w:qFormat/>
    <w:uiPriority w:val="99"/>
    <w:rPr>
      <w:rFonts w:ascii="Times New Roman" w:hAnsi="Times New Roman" w:eastAsia="仿宋_GB2312" w:cs="Times New Roman"/>
      <w:sz w:val="18"/>
      <w:szCs w:val="18"/>
    </w:rPr>
  </w:style>
  <w:style w:type="character" w:customStyle="1" w:styleId="24">
    <w:name w:val="批注框文本 Char"/>
    <w:basedOn w:val="16"/>
    <w:link w:val="8"/>
    <w:autoRedefine/>
    <w:semiHidden/>
    <w:qFormat/>
    <w:uiPriority w:val="99"/>
    <w:rPr>
      <w:rFonts w:eastAsia="仿宋_GB2312"/>
      <w:kern w:val="2"/>
      <w:sz w:val="18"/>
      <w:szCs w:val="18"/>
    </w:rPr>
  </w:style>
  <w:style w:type="character" w:customStyle="1" w:styleId="25">
    <w:name w:val="标题 4 Char"/>
    <w:basedOn w:val="16"/>
    <w:link w:val="6"/>
    <w:autoRedefine/>
    <w:semiHidden/>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0</TotalTime>
  <ScaleCrop>false</ScaleCrop>
  <LinksUpToDate>false</LinksUpToDate>
  <CharactersWithSpaces>9219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2024-05-16T11:10:54Z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076E6B39D8AC4C57AC86C5FF34BE19AD_13</vt:lpwstr>
  </property>
</Properties>
</file>