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ascii="宋体" w:hAnsi="宋体" w:eastAsia="宋体" w:cs="宋体"/>
          <w:kern w:val="0"/>
          <w:sz w:val="32"/>
          <w:szCs w:val="32"/>
        </w:rPr>
        <w:t xml:space="preserve"> </w:t>
      </w:r>
      <w:r>
        <w:rPr>
          <w:rFonts w:hint="eastAsia" w:ascii="宋体" w:hAnsi="宋体" w:eastAsia="宋体" w:cs="宋体"/>
          <w:kern w:val="0"/>
          <w:sz w:val="32"/>
          <w:szCs w:val="32"/>
        </w:rPr>
        <w:t>州直关闭破产困难企业退休人员生活补贴资金</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实施单位（公章）：焉耆回族自治县社会保险中心</w:t>
      </w:r>
      <w:r>
        <w:rPr>
          <w:rFonts w:ascii="宋体" w:hAnsi="宋体" w:eastAsia="宋体" w:cs="宋体"/>
          <w:kern w:val="0"/>
          <w:sz w:val="32"/>
          <w:szCs w:val="32"/>
        </w:rPr>
        <w:t xml:space="preserve"> </w:t>
      </w:r>
    </w:p>
    <w:p>
      <w:pPr>
        <w:spacing w:line="560" w:lineRule="exact"/>
        <w:ind w:firstLine="321" w:firstLineChars="100"/>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宋体"/>
          <w:kern w:val="0"/>
          <w:sz w:val="32"/>
          <w:szCs w:val="32"/>
        </w:rPr>
        <w:t>焉耆回族自治县</w:t>
      </w:r>
      <w:r>
        <w:rPr>
          <w:rFonts w:hint="eastAsia" w:ascii="宋体" w:hAnsi="宋体" w:eastAsia="宋体" w:cs="宋体"/>
          <w:kern w:val="0"/>
          <w:sz w:val="32"/>
          <w:szCs w:val="32"/>
          <w:lang w:eastAsia="zh-CN"/>
        </w:rPr>
        <w:t>人力资源和社会保障局</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张丽君</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5"/>
            <w:jc w:val="center"/>
            <w:rPr>
              <w:rFonts w:ascii="宋体" w:hAnsi="宋体" w:eastAsia="宋体"/>
              <w:b/>
              <w:bCs/>
              <w:color w:val="auto"/>
              <w:lang w:val="zh-CN"/>
            </w:rPr>
          </w:pPr>
          <w:r>
            <w:rPr>
              <w:rFonts w:ascii="宋体" w:hAnsi="宋体" w:eastAsia="宋体"/>
              <w:b/>
              <w:bCs/>
              <w:color w:val="auto"/>
              <w:lang w:val="zh-CN"/>
            </w:rPr>
            <w:t>目录</w:t>
          </w:r>
        </w:p>
        <w:p>
          <w:pPr>
            <w:pStyle w:val="7"/>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2"/>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"_Toc68703828" </w:instrText>
          </w:r>
          <w:r>
            <w:fldChar w:fldCharType="separate"/>
          </w:r>
          <w:r>
            <w:rPr>
              <w:rStyle w:val="12"/>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"_Toc68703829" </w:instrText>
          </w:r>
          <w:r>
            <w:fldChar w:fldCharType="separate"/>
          </w:r>
          <w:r>
            <w:rPr>
              <w:rStyle w:val="12"/>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"_Toc68703830" </w:instrText>
          </w:r>
          <w:r>
            <w:fldChar w:fldCharType="separate"/>
          </w:r>
          <w:r>
            <w:rPr>
              <w:rStyle w:val="12"/>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"_Toc68703831" </w:instrText>
          </w:r>
          <w:r>
            <w:fldChar w:fldCharType="separate"/>
          </w:r>
          <w:r>
            <w:rPr>
              <w:rStyle w:val="12"/>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"_Toc68703832" </w:instrText>
          </w:r>
          <w:r>
            <w:fldChar w:fldCharType="separate"/>
          </w:r>
          <w:r>
            <w:rPr>
              <w:rStyle w:val="12"/>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"_Toc68703833" </w:instrText>
          </w:r>
          <w:r>
            <w:fldChar w:fldCharType="separate"/>
          </w:r>
          <w:r>
            <w:rPr>
              <w:rStyle w:val="12"/>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"_Toc68703834" </w:instrText>
          </w:r>
          <w:r>
            <w:fldChar w:fldCharType="separate"/>
          </w:r>
          <w:r>
            <w:rPr>
              <w:rStyle w:val="12"/>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"_Toc68703835" </w:instrText>
          </w:r>
          <w:r>
            <w:fldChar w:fldCharType="separate"/>
          </w:r>
          <w:r>
            <w:rPr>
              <w:rStyle w:val="12"/>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"_Toc68703836" </w:instrText>
          </w:r>
          <w:r>
            <w:fldChar w:fldCharType="separate"/>
          </w:r>
          <w:r>
            <w:rPr>
              <w:rStyle w:val="12"/>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"_Toc68703837" </w:instrText>
          </w:r>
          <w:r>
            <w:fldChar w:fldCharType="separate"/>
          </w:r>
          <w:r>
            <w:rPr>
              <w:rStyle w:val="12"/>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"_Toc68703838" </w:instrText>
          </w:r>
          <w:r>
            <w:fldChar w:fldCharType="separate"/>
          </w:r>
          <w:r>
            <w:rPr>
              <w:rStyle w:val="12"/>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"_Toc68703839" </w:instrText>
          </w:r>
          <w:r>
            <w:fldChar w:fldCharType="separate"/>
          </w:r>
          <w:r>
            <w:rPr>
              <w:rStyle w:val="12"/>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"_Toc68703840" </w:instrText>
          </w:r>
          <w:r>
            <w:fldChar w:fldCharType="separate"/>
          </w:r>
          <w:r>
            <w:rPr>
              <w:rStyle w:val="12"/>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"_Toc68703841" </w:instrText>
          </w:r>
          <w:r>
            <w:fldChar w:fldCharType="separate"/>
          </w:r>
          <w:r>
            <w:rPr>
              <w:rStyle w:val="12"/>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"_Toc68703842" </w:instrText>
          </w:r>
          <w:r>
            <w:fldChar w:fldCharType="separate"/>
          </w:r>
          <w:r>
            <w:rPr>
              <w:rStyle w:val="12"/>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"_Toc68703843" </w:instrText>
          </w:r>
          <w:r>
            <w:fldChar w:fldCharType="separate"/>
          </w:r>
          <w:r>
            <w:rPr>
              <w:rStyle w:val="12"/>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"_Toc68703844" </w:instrText>
          </w:r>
          <w:r>
            <w:fldChar w:fldCharType="separate"/>
          </w:r>
          <w:r>
            <w:rPr>
              <w:rStyle w:val="12"/>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"_Toc68703845" </w:instrText>
          </w:r>
          <w:r>
            <w:fldChar w:fldCharType="separate"/>
          </w:r>
          <w:r>
            <w:rPr>
              <w:rStyle w:val="12"/>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"_Toc68703846" </w:instrText>
          </w:r>
          <w:r>
            <w:fldChar w:fldCharType="separate"/>
          </w:r>
          <w:r>
            <w:rPr>
              <w:rStyle w:val="12"/>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line="36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pPr>
        <w:spacing w:line="600" w:lineRule="exact"/>
        <w:ind w:firstLine="600" w:firstLineChars="200"/>
        <w:outlineLvl w:val="0"/>
        <w:rPr>
          <w:rFonts w:hint="eastAsia" w:ascii="仿宋_GB2312"/>
        </w:rPr>
      </w:pPr>
      <w:r>
        <w:rPr>
          <w:rFonts w:hint="eastAsia" w:ascii="仿宋_GB2312"/>
          <w:lang w:val="en-US" w:eastAsia="zh-CN"/>
        </w:rPr>
        <w:t>1、</w:t>
      </w:r>
      <w:r>
        <w:rPr>
          <w:rFonts w:hint="eastAsia" w:ascii="仿宋_GB2312"/>
        </w:rPr>
        <w:t>项目背景</w:t>
      </w:r>
    </w:p>
    <w:p>
      <w:pPr>
        <w:spacing w:line="600" w:lineRule="exact"/>
        <w:ind w:firstLine="600" w:firstLineChars="200"/>
        <w:outlineLvl w:val="0"/>
        <w:rPr>
          <w:rFonts w:hint="eastAsia" w:ascii="仿宋_GB2312"/>
        </w:rPr>
      </w:pPr>
      <w:r>
        <w:rPr>
          <w:rFonts w:hint="eastAsia" w:ascii="仿宋_GB2312"/>
          <w:lang w:eastAsia="zh-CN"/>
        </w:rPr>
        <w:t>根据巴财社【</w:t>
      </w:r>
      <w:r>
        <w:rPr>
          <w:rFonts w:hint="eastAsia" w:ascii="仿宋_GB2312"/>
          <w:lang w:val="en-US" w:eastAsia="zh-CN"/>
        </w:rPr>
        <w:t>2023</w:t>
      </w:r>
      <w:r>
        <w:rPr>
          <w:rFonts w:hint="eastAsia" w:ascii="仿宋_GB2312"/>
          <w:lang w:eastAsia="zh-CN"/>
        </w:rPr>
        <w:t>】</w:t>
      </w:r>
      <w:r>
        <w:rPr>
          <w:rFonts w:hint="eastAsia" w:ascii="仿宋_GB2312"/>
          <w:lang w:val="en-US" w:eastAsia="zh-CN"/>
        </w:rPr>
        <w:t>6号（关于下达2023年州直关闭破产困难企业1995年底前退休人员生活补贴资金的通知）</w:t>
      </w:r>
    </w:p>
    <w:p>
      <w:pPr>
        <w:spacing w:line="360" w:lineRule="auto"/>
        <w:ind w:firstLine="600" w:firstLineChars="200"/>
        <w:rPr>
          <w:rFonts w:ascii="仿宋_GB2312"/>
        </w:rPr>
      </w:pPr>
      <w:r>
        <w:rPr>
          <w:rFonts w:hint="eastAsia" w:ascii="仿宋_GB2312"/>
          <w:lang w:val="en-US" w:eastAsia="zh-CN"/>
        </w:rPr>
        <w:t>2、</w:t>
      </w:r>
      <w:r>
        <w:rPr>
          <w:rFonts w:hint="eastAsia" w:ascii="仿宋_GB2312"/>
        </w:rPr>
        <w:t>主要内容</w:t>
      </w:r>
      <w:r>
        <w:rPr>
          <w:rFonts w:hint="eastAsia"/>
        </w:rPr>
        <w:t>及</w:t>
      </w:r>
      <w:r>
        <w:rPr>
          <w:rFonts w:hint="eastAsia" w:ascii="仿宋_GB2312"/>
        </w:rPr>
        <w:t>实施情况</w:t>
      </w:r>
    </w:p>
    <w:p>
      <w:pPr>
        <w:spacing w:line="600" w:lineRule="exact"/>
        <w:ind w:firstLine="600" w:firstLineChars="200"/>
        <w:outlineLvl w:val="0"/>
        <w:rPr>
          <w:rFonts w:hint="eastAsia" w:ascii="仿宋_GB2312" w:eastAsia="仿宋_GB2312"/>
          <w:lang w:eastAsia="zh-CN"/>
        </w:rPr>
      </w:pPr>
      <w:r>
        <w:rPr>
          <w:rFonts w:hint="eastAsia" w:ascii="仿宋_GB2312"/>
        </w:rPr>
        <w:t>主要内容：我县按照“以民为本、为民解困”的工作理念和发展理念要求，对1995年底前法律法规和政策规定范围的所有破产企业退休职工进行补助，确保每位破产企业职工生活补助按时按期发放到位</w:t>
      </w:r>
      <w:r>
        <w:rPr>
          <w:rFonts w:hint="eastAsia" w:ascii="仿宋_GB2312"/>
          <w:lang w:eastAsia="zh-CN"/>
        </w:rPr>
        <w:t>。</w:t>
      </w:r>
    </w:p>
    <w:p>
      <w:pPr>
        <w:spacing w:line="360" w:lineRule="auto"/>
        <w:ind w:firstLine="600" w:firstLineChars="200"/>
        <w:rPr>
          <w:rFonts w:ascii="仿宋_GB2312"/>
          <w:color w:val="FF0000"/>
        </w:rPr>
      </w:pPr>
      <w:r>
        <w:rPr>
          <w:rFonts w:hint="eastAsia" w:ascii="仿宋_GB2312"/>
        </w:rPr>
        <w:t>实施情况：截至目前，我县共有州直破产企业退休职工</w:t>
      </w:r>
      <w:r>
        <w:rPr>
          <w:rFonts w:hint="eastAsia" w:ascii="仿宋_GB2312"/>
          <w:lang w:val="en-US" w:eastAsia="zh-CN"/>
        </w:rPr>
        <w:t>246</w:t>
      </w:r>
      <w:r>
        <w:rPr>
          <w:rFonts w:hint="eastAsia" w:ascii="仿宋_GB2312"/>
        </w:rPr>
        <w:t>人，此类人员每月按120元标准进行补助，202</w:t>
      </w:r>
      <w:r>
        <w:rPr>
          <w:rFonts w:hint="eastAsia" w:ascii="仿宋_GB2312"/>
          <w:lang w:val="en-US" w:eastAsia="zh-CN"/>
        </w:rPr>
        <w:t>3</w:t>
      </w:r>
      <w:r>
        <w:rPr>
          <w:rFonts w:hint="eastAsia" w:ascii="仿宋_GB2312"/>
        </w:rPr>
        <w:t>年破产企业人员生活补助资金预算</w:t>
      </w:r>
      <w:r>
        <w:rPr>
          <w:rFonts w:hint="eastAsia" w:ascii="仿宋_GB2312"/>
          <w:lang w:val="en-US" w:eastAsia="zh-CN"/>
        </w:rPr>
        <w:t>42.77</w:t>
      </w:r>
      <w:r>
        <w:rPr>
          <w:rFonts w:hint="eastAsia" w:ascii="仿宋_GB2312"/>
        </w:rPr>
        <w:t>万元，实际到位资金</w:t>
      </w:r>
      <w:r>
        <w:rPr>
          <w:rFonts w:hint="eastAsia" w:ascii="仿宋_GB2312"/>
          <w:lang w:val="en-US" w:eastAsia="zh-CN"/>
        </w:rPr>
        <w:t>42.77</w:t>
      </w:r>
      <w:r>
        <w:rPr>
          <w:rFonts w:hint="eastAsia" w:ascii="仿宋_GB2312"/>
        </w:rPr>
        <w:t>万元，已按时足额拨付到位。</w:t>
      </w:r>
    </w:p>
    <w:p>
      <w:pPr>
        <w:spacing w:line="360" w:lineRule="auto"/>
        <w:ind w:firstLine="600" w:firstLineChars="200"/>
        <w:rPr>
          <w:rFonts w:ascii="仿宋_GB2312"/>
        </w:rPr>
      </w:pPr>
      <w:r>
        <w:rPr>
          <w:rFonts w:hint="eastAsia" w:ascii="仿宋_GB2312"/>
          <w:lang w:val="en-US" w:eastAsia="zh-CN"/>
        </w:rPr>
        <w:t>3、</w:t>
      </w:r>
      <w:r>
        <w:rPr>
          <w:rFonts w:hint="eastAsia" w:ascii="仿宋_GB2312"/>
        </w:rPr>
        <w:t>资金投入和使用情况</w:t>
      </w:r>
    </w:p>
    <w:p>
      <w:pPr>
        <w:spacing w:line="360" w:lineRule="auto"/>
        <w:ind w:firstLine="600" w:firstLineChars="200"/>
        <w:rPr>
          <w:color w:val="auto"/>
        </w:rPr>
      </w:pPr>
      <w:r>
        <w:rPr>
          <w:rFonts w:hint="eastAsia"/>
        </w:rPr>
        <w:t>资金投入情况：</w:t>
      </w:r>
      <w:r>
        <w:rPr>
          <w:rFonts w:hint="eastAsia"/>
          <w:color w:val="auto"/>
        </w:rPr>
        <w:t>该项目年初预算数</w:t>
      </w:r>
      <w:r>
        <w:rPr>
          <w:rFonts w:hint="eastAsia"/>
          <w:color w:val="auto"/>
          <w:lang w:val="en-US" w:eastAsia="zh-CN"/>
        </w:rPr>
        <w:t>42.77</w:t>
      </w:r>
      <w:r>
        <w:rPr>
          <w:rFonts w:hint="eastAsia"/>
          <w:color w:val="auto"/>
        </w:rPr>
        <w:t>万元，全年预算数</w:t>
      </w:r>
      <w:r>
        <w:rPr>
          <w:rFonts w:hint="eastAsia"/>
          <w:color w:val="auto"/>
          <w:lang w:val="en-US" w:eastAsia="zh-CN"/>
        </w:rPr>
        <w:t>42.77万</w:t>
      </w:r>
      <w:r>
        <w:rPr>
          <w:rFonts w:hint="eastAsia"/>
          <w:color w:val="auto"/>
        </w:rPr>
        <w:t>元，实际总投入</w:t>
      </w:r>
      <w:r>
        <w:rPr>
          <w:rFonts w:hint="eastAsia"/>
          <w:color w:val="auto"/>
          <w:lang w:val="en-US" w:eastAsia="zh-CN"/>
        </w:rPr>
        <w:t>42.77</w:t>
      </w:r>
      <w:r>
        <w:rPr>
          <w:rFonts w:hint="eastAsia"/>
          <w:color w:val="auto"/>
        </w:rPr>
        <w:t>万元，该项目资金已全部落实到位，资金来源为</w:t>
      </w:r>
      <w:r>
        <w:rPr>
          <w:rFonts w:hint="eastAsia"/>
          <w:color w:val="auto"/>
          <w:lang w:eastAsia="zh-CN"/>
        </w:rPr>
        <w:t>上级拨付</w:t>
      </w:r>
      <w:r>
        <w:rPr>
          <w:rFonts w:hint="eastAsia"/>
          <w:color w:val="auto"/>
        </w:rPr>
        <w:t>。</w:t>
      </w:r>
    </w:p>
    <w:p>
      <w:pPr>
        <w:spacing w:line="360" w:lineRule="auto"/>
        <w:ind w:firstLine="600" w:firstLineChars="200"/>
        <w:rPr>
          <w:color w:val="FF0000"/>
        </w:rPr>
      </w:pPr>
      <w:r>
        <w:rPr>
          <w:rFonts w:hint="eastAsia"/>
        </w:rPr>
        <w:t>资金使用情况</w:t>
      </w:r>
      <w:r>
        <w:rPr>
          <w:rFonts w:hint="eastAsia"/>
          <w:color w:val="auto"/>
        </w:rPr>
        <w:t>：该项目年初预算数</w:t>
      </w:r>
      <w:r>
        <w:rPr>
          <w:rFonts w:hint="eastAsia"/>
          <w:color w:val="auto"/>
          <w:lang w:val="en-US" w:eastAsia="zh-CN"/>
        </w:rPr>
        <w:t>42.77</w:t>
      </w:r>
      <w:r>
        <w:rPr>
          <w:rFonts w:hint="eastAsia"/>
          <w:color w:val="auto"/>
        </w:rPr>
        <w:t>万元，全年预算数</w:t>
      </w:r>
      <w:r>
        <w:rPr>
          <w:rFonts w:hint="eastAsia"/>
          <w:color w:val="auto"/>
          <w:lang w:val="en-US" w:eastAsia="zh-CN"/>
        </w:rPr>
        <w:t>42.77</w:t>
      </w:r>
      <w:r>
        <w:rPr>
          <w:rFonts w:hint="eastAsia"/>
          <w:color w:val="auto"/>
        </w:rPr>
        <w:t>万元，全年执行数</w:t>
      </w:r>
      <w:r>
        <w:rPr>
          <w:rFonts w:hint="eastAsia"/>
          <w:color w:val="auto"/>
          <w:lang w:val="en-US" w:eastAsia="zh-CN"/>
        </w:rPr>
        <w:t>42.77</w:t>
      </w:r>
      <w:r>
        <w:rPr>
          <w:rFonts w:hint="eastAsia"/>
          <w:color w:val="auto"/>
        </w:rPr>
        <w:t>万元，预算执行率为</w:t>
      </w:r>
      <w:r>
        <w:rPr>
          <w:rFonts w:hint="eastAsia"/>
          <w:color w:val="auto"/>
          <w:lang w:val="en-US" w:eastAsia="zh-CN"/>
        </w:rPr>
        <w:t>100</w:t>
      </w:r>
      <w:r>
        <w:rPr>
          <w:rFonts w:hint="eastAsia"/>
          <w:color w:val="auto"/>
        </w:rPr>
        <w:t>%，用于：</w:t>
      </w:r>
      <w:r>
        <w:rPr>
          <w:rFonts w:hint="eastAsia"/>
          <w:color w:val="auto"/>
          <w:lang w:val="en-US" w:eastAsia="zh-CN"/>
        </w:rPr>
        <w:t>42.77</w:t>
      </w:r>
      <w:r>
        <w:rPr>
          <w:rFonts w:hint="eastAsia"/>
          <w:color w:val="auto"/>
        </w:rPr>
        <w:t>万元</w:t>
      </w:r>
      <w:r>
        <w:rPr>
          <w:rFonts w:hint="eastAsia"/>
          <w:color w:val="auto"/>
          <w:lang w:eastAsia="zh-CN"/>
        </w:rPr>
        <w:t>用于</w:t>
      </w:r>
      <w:r>
        <w:rPr>
          <w:rFonts w:hint="eastAsia"/>
          <w:color w:val="auto"/>
        </w:rPr>
        <w:t>对我县破产企业人员生活补助的发放，在一定程度上解决了此类困难群众基本的生活费问题。从而拉近了贫富差距，妥善解决关闭破产企业退休人员的生活问题，使我县能够和谐稳定发展。</w:t>
      </w:r>
    </w:p>
    <w:p>
      <w:pPr>
        <w:pStyle w:val="4"/>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spacing w:line="360" w:lineRule="auto"/>
        <w:ind w:firstLine="600" w:firstLineChars="200"/>
        <w:rPr>
          <w:rFonts w:hint="eastAsia"/>
        </w:rPr>
      </w:pPr>
      <w:r>
        <w:rPr>
          <w:rFonts w:hint="eastAsia"/>
        </w:rPr>
        <w:t>1、总体目标：</w:t>
      </w:r>
    </w:p>
    <w:p>
      <w:pPr>
        <w:spacing w:line="360" w:lineRule="auto"/>
        <w:ind w:firstLine="600" w:firstLineChars="200"/>
        <w:rPr>
          <w:rFonts w:hint="eastAsia"/>
          <w:highlight w:val="none"/>
        </w:rPr>
      </w:pPr>
      <w:r>
        <w:rPr>
          <w:rFonts w:hint="eastAsia"/>
        </w:rPr>
        <w:t>截至目前，我县共有州直破产企业退休职工2</w:t>
      </w:r>
      <w:r>
        <w:rPr>
          <w:rFonts w:hint="eastAsia"/>
          <w:lang w:val="en-US" w:eastAsia="zh-CN"/>
        </w:rPr>
        <w:t>60</w:t>
      </w:r>
      <w:r>
        <w:rPr>
          <w:rFonts w:hint="eastAsia"/>
        </w:rPr>
        <w:t>人，此类人员每月按120元标准进行补助，州直破产企业人员生活补助根据社会保险基金预算，投入县财政补助用于州直破产企业人员生活补助实</w:t>
      </w:r>
      <w:r>
        <w:rPr>
          <w:rFonts w:hint="eastAsia"/>
          <w:highlight w:val="none"/>
        </w:rPr>
        <w:t>行社会化发放。</w:t>
      </w:r>
    </w:p>
    <w:p>
      <w:pPr>
        <w:numPr>
          <w:ilvl w:val="0"/>
          <w:numId w:val="1"/>
        </w:numPr>
        <w:spacing w:line="360" w:lineRule="auto"/>
        <w:ind w:left="600" w:leftChars="200" w:firstLine="0" w:firstLineChars="0"/>
        <w:rPr>
          <w:rFonts w:hint="eastAsia"/>
          <w:highlight w:val="none"/>
        </w:rPr>
      </w:pPr>
      <w:r>
        <w:rPr>
          <w:rFonts w:hint="eastAsia"/>
          <w:highlight w:val="none"/>
        </w:rPr>
        <w:t>阶段性目标：</w:t>
      </w:r>
    </w:p>
    <w:p>
      <w:pPr>
        <w:numPr>
          <w:ilvl w:val="0"/>
          <w:numId w:val="0"/>
        </w:numPr>
        <w:spacing w:line="360" w:lineRule="auto"/>
        <w:ind w:firstLine="600" w:firstLineChars="200"/>
        <w:rPr>
          <w:rFonts w:hint="eastAsia"/>
          <w:highlight w:val="none"/>
        </w:rPr>
      </w:pPr>
      <w:r>
        <w:rPr>
          <w:rFonts w:hint="eastAsia"/>
          <w:highlight w:val="none"/>
        </w:rPr>
        <w:t>保障州直破产企业退休职工246人，投入</w:t>
      </w:r>
      <w:r>
        <w:rPr>
          <w:rFonts w:hint="eastAsia"/>
          <w:highlight w:val="none"/>
          <w:lang w:val="en-US" w:eastAsia="zh-CN"/>
        </w:rPr>
        <w:t>42.77</w:t>
      </w:r>
      <w:r>
        <w:rPr>
          <w:rFonts w:hint="eastAsia"/>
          <w:highlight w:val="none"/>
        </w:rPr>
        <w:t>万元用于补助2023年州直破产企业退休职工发放生活补贴，保障州直破产企业退休职工待遇，按季度足额发放，提升州直破产企业退休职工退休人员生活保障水平。</w:t>
      </w:r>
      <w:bookmarkStart w:id="3" w:name="_Toc68703830"/>
    </w:p>
    <w:p>
      <w:pPr>
        <w:numPr>
          <w:ilvl w:val="0"/>
          <w:numId w:val="2"/>
        </w:numPr>
        <w:spacing w:line="360" w:lineRule="auto"/>
        <w:ind w:firstLine="640" w:firstLineChars="200"/>
        <w:rPr>
          <w:rFonts w:hint="eastAsia" w:ascii="宋体" w:hAnsi="宋体" w:eastAsia="宋体"/>
          <w:sz w:val="32"/>
          <w:szCs w:val="32"/>
        </w:rPr>
      </w:pPr>
      <w:r>
        <w:rPr>
          <w:rFonts w:hint="eastAsia" w:ascii="宋体" w:hAnsi="宋体" w:eastAsia="宋体"/>
          <w:sz w:val="32"/>
          <w:szCs w:val="32"/>
        </w:rPr>
        <w:t>绩效评价工作开展情况</w:t>
      </w:r>
      <w:bookmarkEnd w:id="3"/>
      <w:bookmarkStart w:id="4" w:name="_Toc68703831"/>
    </w:p>
    <w:p>
      <w:pPr>
        <w:numPr>
          <w:ilvl w:val="0"/>
          <w:numId w:val="0"/>
        </w:numPr>
        <w:spacing w:line="360" w:lineRule="auto"/>
        <w:rPr>
          <w:rFonts w:ascii="仿宋_GB2312" w:eastAsia="仿宋_GB2312"/>
          <w:b w:val="0"/>
          <w:bCs w:val="0"/>
        </w:rPr>
      </w:pPr>
      <w:r>
        <w:rPr>
          <w:rFonts w:hint="eastAsia" w:ascii="仿宋_GB2312" w:eastAsia="仿宋_GB2312"/>
          <w:b w:val="0"/>
          <w:bCs w:val="0"/>
        </w:rPr>
        <w:t>（一）绩效评价目的、对象和范围。</w:t>
      </w:r>
      <w:bookmarkEnd w:id="4"/>
    </w:p>
    <w:p>
      <w:pPr>
        <w:spacing w:line="360" w:lineRule="auto"/>
      </w:pPr>
      <w:r>
        <w:rPr>
          <w:rFonts w:hint="eastAsia"/>
        </w:rPr>
        <w:t>1、绩效评价目的：</w:t>
      </w:r>
    </w:p>
    <w:p>
      <w:pPr>
        <w:spacing w:line="360" w:lineRule="auto"/>
        <w:ind w:firstLine="600" w:firstLineChars="200"/>
        <w:rPr>
          <w:rFonts w:hint="eastAsia"/>
          <w:color w:val="auto"/>
        </w:rPr>
      </w:pPr>
      <w:r>
        <w:rPr>
          <w:rFonts w:hint="eastAsia"/>
          <w:color w:val="auto"/>
        </w:rPr>
        <w:t>通过绩效评价，客观地评判项目的管理绩效，了解和掌握</w:t>
      </w:r>
      <w:r>
        <w:rPr>
          <w:rFonts w:hint="eastAsia"/>
          <w:color w:val="auto"/>
          <w:lang w:val="en-US" w:eastAsia="zh-CN"/>
        </w:rPr>
        <w:t>州直关闭破产困难企业1995年底前退休人员生活补贴</w:t>
      </w:r>
      <w:r>
        <w:rPr>
          <w:rFonts w:hint="eastAsia"/>
          <w:color w:val="auto"/>
        </w:rPr>
        <w:t>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pPr>
      <w:r>
        <w:rPr>
          <w:rFonts w:hint="eastAsia"/>
        </w:rPr>
        <w:t>2、绩效评价对象：</w:t>
      </w:r>
    </w:p>
    <w:p>
      <w:pPr>
        <w:spacing w:line="360" w:lineRule="auto"/>
        <w:ind w:firstLine="600" w:firstLineChars="200"/>
        <w:rPr>
          <w:rFonts w:hint="eastAsia"/>
        </w:rPr>
      </w:pPr>
      <w:r>
        <w:rPr>
          <w:rFonts w:hint="eastAsia"/>
        </w:rPr>
        <w:t>州直关闭破产困难企业1995年底前退休人员生活补贴</w:t>
      </w:r>
    </w:p>
    <w:p>
      <w:pPr>
        <w:spacing w:line="360" w:lineRule="auto"/>
        <w:ind w:firstLine="600" w:firstLineChars="200"/>
      </w:pPr>
      <w:r>
        <w:rPr>
          <w:rFonts w:hint="eastAsia"/>
        </w:rPr>
        <w:t>3、绩效评价范围：</w:t>
      </w:r>
    </w:p>
    <w:p>
      <w:pPr>
        <w:spacing w:line="360" w:lineRule="auto"/>
        <w:ind w:firstLine="600" w:firstLineChars="200"/>
        <w:rPr>
          <w:rFonts w:hint="eastAsia"/>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州直关闭破产困难企业1995年底前退休人员生活补贴评价，评价核心为专项资金的支出完成情况和效果。</w:t>
      </w:r>
      <w:bookmarkStart w:id="5" w:name="_Toc68703832"/>
    </w:p>
    <w:p>
      <w:pPr>
        <w:spacing w:line="360" w:lineRule="auto"/>
        <w:ind w:firstLine="600" w:firstLineChars="200"/>
        <w:rPr>
          <w:rFonts w:ascii="仿宋_GB2312" w:eastAsia="仿宋_GB2312"/>
          <w:b w:val="0"/>
          <w:bCs w:val="0"/>
        </w:rPr>
      </w:pPr>
      <w:r>
        <w:rPr>
          <w:rFonts w:hint="eastAsia" w:ascii="仿宋_GB2312" w:eastAsia="仿宋_GB2312"/>
          <w:b w:val="0"/>
          <w:bCs w:val="0"/>
        </w:rPr>
        <w:t>（二）绩效评价原则、评价指标体系、评价方法、评价标准等。</w:t>
      </w:r>
      <w:bookmarkEnd w:id="5"/>
    </w:p>
    <w:p>
      <w:pPr>
        <w:spacing w:line="360" w:lineRule="auto"/>
      </w:pPr>
      <w:r>
        <w:rPr>
          <w:rFonts w:hint="eastAsia"/>
        </w:rPr>
        <w:t>1、绩效评价原则</w:t>
      </w:r>
    </w:p>
    <w:p>
      <w:pPr>
        <w:spacing w:line="600" w:lineRule="exact"/>
        <w:ind w:firstLine="640"/>
        <w:rPr>
          <w:rFonts w:ascii="仿宋_GB2312"/>
          <w:bCs/>
          <w:color w:val="auto"/>
          <w:sz w:val="32"/>
          <w:szCs w:val="32"/>
        </w:rPr>
      </w:pPr>
      <w:r>
        <w:rPr>
          <w:rFonts w:hint="eastAsia" w:ascii="仿宋_GB2312"/>
          <w:bCs/>
          <w:color w:val="auto"/>
          <w:sz w:val="32"/>
          <w:szCs w:val="32"/>
        </w:rPr>
        <w:t>（一）科学公正。绩效评价应当运用科学合理的方法，按照规范的程序，对项目绩效进行客观、公正的反映。</w:t>
      </w:r>
    </w:p>
    <w:p>
      <w:pPr>
        <w:spacing w:line="600" w:lineRule="exact"/>
        <w:ind w:firstLine="640"/>
        <w:rPr>
          <w:rFonts w:ascii="仿宋_GB2312"/>
          <w:bCs/>
          <w:color w:val="auto"/>
          <w:sz w:val="32"/>
          <w:szCs w:val="32"/>
        </w:rPr>
      </w:pPr>
      <w:r>
        <w:rPr>
          <w:rFonts w:hint="eastAsia" w:ascii="仿宋_GB2312"/>
          <w:bCs/>
          <w:color w:val="auto"/>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color w:val="auto"/>
          <w:sz w:val="32"/>
          <w:szCs w:val="32"/>
        </w:rPr>
      </w:pPr>
      <w:r>
        <w:rPr>
          <w:rFonts w:hint="eastAsia" w:ascii="仿宋_GB2312"/>
          <w:bCs/>
          <w:color w:val="auto"/>
          <w:sz w:val="32"/>
          <w:szCs w:val="32"/>
        </w:rPr>
        <w:t>（三）激励约束。绩效评价结果应与预算安排、政策调整、改进管理实质性挂钩，体现奖优罚劣和激励相容导向，有效要安排、低效要压减、无效要问责。</w:t>
      </w:r>
    </w:p>
    <w:p>
      <w:pPr>
        <w:spacing w:line="600" w:lineRule="exact"/>
        <w:ind w:firstLine="640"/>
        <w:rPr>
          <w:rFonts w:ascii="仿宋_GB2312"/>
          <w:bCs/>
          <w:color w:val="auto"/>
          <w:sz w:val="32"/>
          <w:szCs w:val="32"/>
        </w:rPr>
      </w:pPr>
      <w:r>
        <w:rPr>
          <w:rFonts w:hint="eastAsia" w:ascii="仿宋_GB2312"/>
          <w:bCs/>
          <w:color w:val="auto"/>
          <w:sz w:val="32"/>
          <w:szCs w:val="32"/>
        </w:rPr>
        <w:t>（四）公开透明。绩效评价结果应依法依规公开，并自觉接受社会监督。</w:t>
      </w:r>
    </w:p>
    <w:p>
      <w:pPr>
        <w:spacing w:line="360" w:lineRule="auto"/>
      </w:pPr>
      <w:r>
        <w:rPr>
          <w:rFonts w:hint="eastAsia"/>
        </w:rPr>
        <w:t>2、评价指标体系（附表说明）</w:t>
      </w:r>
    </w:p>
    <w:p>
      <w:pPr>
        <w:pStyle w:val="4"/>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州直关闭破产困难企业1995年底前退休人员生活补贴项目支出绩效评价指标体系</w:t>
      </w:r>
    </w:p>
    <w:tbl>
      <w:tblPr>
        <w:tblStyle w:val="10"/>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5</w:t>
            </w:r>
          </w:p>
        </w:tc>
        <w:tc>
          <w:tcPr>
            <w:tcW w:w="874" w:type="dxa"/>
            <w:tcBorders>
              <w:bottom w:val="single" w:color="auto" w:sz="4" w:space="0"/>
            </w:tcBorders>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5</w:t>
            </w:r>
          </w:p>
        </w:tc>
        <w:tc>
          <w:tcPr>
            <w:tcW w:w="874" w:type="dxa"/>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2.5</w:t>
            </w:r>
          </w:p>
        </w:tc>
        <w:tc>
          <w:tcPr>
            <w:tcW w:w="874" w:type="dxa"/>
            <w:shd w:val="clear" w:color="000000"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line="600" w:lineRule="auto"/>
              <w:jc w:val="center"/>
              <w:rPr>
                <w:rFonts w:ascii="Times New Roman" w:hAnsi="Times New Roman" w:eastAsia="仿宋_GB2312" w:cs="Times New Roman"/>
                <w:kern w:val="2"/>
                <w:sz w:val="30"/>
                <w:szCs w:val="24"/>
                <w:lang w:val="en-US" w:eastAsia="zh-CN" w:bidi="ar-SA"/>
              </w:rPr>
            </w:pPr>
            <w:r>
              <w:rPr>
                <w:rFonts w:hint="eastAsia"/>
                <w:lang w:val="en-US" w:eastAsia="zh-CN"/>
              </w:rPr>
              <w:t>2.5</w:t>
            </w:r>
          </w:p>
        </w:tc>
        <w:tc>
          <w:tcPr>
            <w:tcW w:w="874" w:type="dxa"/>
            <w:tcBorders>
              <w:bottom w:val="single" w:color="auto" w:sz="4" w:space="0"/>
            </w:tcBorders>
            <w:shd w:val="clear" w:color="000000" w:fill="FFFFFF"/>
            <w:vAlign w:val="top"/>
          </w:tcPr>
          <w:p>
            <w:pPr>
              <w:spacing w:line="600" w:lineRule="auto"/>
              <w:jc w:val="center"/>
              <w:rPr>
                <w:rFonts w:ascii="Times New Roman" w:hAnsi="Times New Roman" w:eastAsia="仿宋_GB2312" w:cs="Times New Roman"/>
                <w:kern w:val="2"/>
                <w:sz w:val="30"/>
                <w:szCs w:val="24"/>
                <w:lang w:val="en-US" w:eastAsia="zh-CN" w:bidi="ar-SA"/>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rPr>
                <w:rFonts w:ascii="Times New Roman" w:hAnsi="Times New Roman" w:eastAsia="仿宋_GB2312" w:cs="Times New Roman"/>
                <w:kern w:val="2"/>
                <w:sz w:val="30"/>
                <w:szCs w:val="24"/>
                <w:lang w:val="en-US" w:eastAsia="zh-CN" w:bidi="ar-SA"/>
              </w:rPr>
            </w:pPr>
            <w:r>
              <w:rPr>
                <w:rFonts w:hint="eastAsia"/>
                <w:lang w:val="en-US" w:eastAsia="zh-CN"/>
              </w:rPr>
              <w:t>2.5</w:t>
            </w:r>
          </w:p>
        </w:tc>
        <w:tc>
          <w:tcPr>
            <w:tcW w:w="874" w:type="dxa"/>
            <w:tcBorders>
              <w:bottom w:val="single" w:color="auto" w:sz="4" w:space="0"/>
            </w:tcBorders>
            <w:shd w:val="clear" w:color="auto" w:fill="FFFFFF"/>
            <w:vAlign w:val="top"/>
          </w:tcPr>
          <w:p>
            <w:pPr>
              <w:spacing w:line="600" w:lineRule="auto"/>
              <w:jc w:val="center"/>
              <w:rPr>
                <w:rFonts w:ascii="Times New Roman" w:hAnsi="Times New Roman" w:eastAsia="仿宋_GB2312" w:cs="Times New Roman"/>
                <w:kern w:val="2"/>
                <w:sz w:val="30"/>
                <w:szCs w:val="24"/>
                <w:lang w:val="en-US" w:eastAsia="zh-CN" w:bidi="ar-SA"/>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rPr>
                <w:rFonts w:ascii="Times New Roman" w:hAnsi="Times New Roman" w:eastAsia="仿宋_GB2312" w:cs="Times New Roman"/>
                <w:kern w:val="2"/>
                <w:sz w:val="30"/>
                <w:szCs w:val="24"/>
                <w:lang w:val="en-US" w:eastAsia="zh-CN" w:bidi="ar-SA"/>
              </w:rPr>
            </w:pPr>
            <w:r>
              <w:rPr>
                <w:rFonts w:hint="eastAsia"/>
                <w:lang w:val="en-US" w:eastAsia="zh-CN"/>
              </w:rPr>
              <w:t>2.5</w:t>
            </w:r>
          </w:p>
        </w:tc>
        <w:tc>
          <w:tcPr>
            <w:tcW w:w="874" w:type="dxa"/>
            <w:shd w:val="clear" w:color="auto" w:fill="FFFFFF"/>
            <w:vAlign w:val="top"/>
          </w:tcPr>
          <w:p>
            <w:pPr>
              <w:spacing w:line="600" w:lineRule="auto"/>
              <w:jc w:val="center"/>
              <w:rPr>
                <w:rFonts w:ascii="Times New Roman" w:hAnsi="Times New Roman" w:eastAsia="仿宋_GB2312" w:cs="Times New Roman"/>
                <w:kern w:val="2"/>
                <w:sz w:val="30"/>
                <w:szCs w:val="24"/>
                <w:lang w:val="en-US" w:eastAsia="zh-CN" w:bidi="ar-SA"/>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spacing w:line="600" w:lineRule="auto"/>
              <w:jc w:val="center"/>
              <w:rPr>
                <w:rFonts w:ascii="Times New Roman" w:hAnsi="Times New Roman" w:eastAsia="仿宋_GB2312" w:cs="Times New Roman"/>
                <w:kern w:val="2"/>
                <w:sz w:val="30"/>
                <w:szCs w:val="24"/>
                <w:lang w:val="en-US" w:eastAsia="zh-CN" w:bidi="ar-SA"/>
              </w:rPr>
            </w:pPr>
            <w:r>
              <w:rPr>
                <w:rFonts w:hint="eastAsia"/>
                <w:lang w:val="en-US" w:eastAsia="zh-CN"/>
              </w:rPr>
              <w:t>4</w:t>
            </w:r>
          </w:p>
        </w:tc>
        <w:tc>
          <w:tcPr>
            <w:tcW w:w="874" w:type="dxa"/>
            <w:tcBorders>
              <w:bottom w:val="single" w:color="auto" w:sz="4" w:space="0"/>
            </w:tcBorders>
            <w:shd w:val="clear" w:color="auto" w:fill="FFFFFF"/>
            <w:vAlign w:val="top"/>
          </w:tcPr>
          <w:p>
            <w:pPr>
              <w:spacing w:line="600" w:lineRule="auto"/>
              <w:jc w:val="center"/>
              <w:rPr>
                <w:rFonts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line="600" w:lineRule="auto"/>
              <w:jc w:val="center"/>
              <w:rPr>
                <w:rFonts w:ascii="Times New Roman" w:hAnsi="Times New Roman" w:eastAsia="仿宋_GB2312" w:cs="Times New Roman"/>
                <w:kern w:val="2"/>
                <w:sz w:val="30"/>
                <w:szCs w:val="24"/>
                <w:lang w:val="en-US" w:eastAsia="zh-CN" w:bidi="ar-SA"/>
              </w:rP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rPr>
                <w:rFonts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line="600" w:lineRule="auto"/>
              <w:jc w:val="center"/>
              <w:rPr>
                <w:rFonts w:ascii="Times New Roman" w:hAnsi="Times New Roman" w:eastAsia="仿宋_GB2312" w:cs="Times New Roman"/>
                <w:kern w:val="2"/>
                <w:sz w:val="30"/>
                <w:szCs w:val="24"/>
                <w:lang w:val="en-US" w:eastAsia="zh-CN" w:bidi="ar-SA"/>
              </w:rP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rPr>
                <w:rFonts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line="600" w:lineRule="auto"/>
              <w:jc w:val="center"/>
              <w:rPr>
                <w:rFonts w:ascii="Times New Roman" w:hAnsi="Times New Roman" w:eastAsia="仿宋_GB2312" w:cs="Times New Roman"/>
                <w:kern w:val="2"/>
                <w:sz w:val="30"/>
                <w:szCs w:val="24"/>
                <w:lang w:val="en-US" w:eastAsia="zh-CN" w:bidi="ar-SA"/>
              </w:rP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rPr>
                <w:rFonts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10</w:t>
            </w:r>
          </w:p>
        </w:tc>
        <w:tc>
          <w:tcPr>
            <w:tcW w:w="874" w:type="dxa"/>
            <w:shd w:val="clear" w:color="000000"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line="600" w:lineRule="auto"/>
              <w:jc w:val="center"/>
              <w:rPr>
                <w:rFonts w:ascii="Times New Roman" w:hAnsi="Times New Roman" w:eastAsia="仿宋_GB2312" w:cs="Times New Roman"/>
                <w:kern w:val="2"/>
                <w:sz w:val="30"/>
                <w:szCs w:val="24"/>
                <w:lang w:val="en-US" w:eastAsia="zh-CN" w:bidi="ar-SA"/>
              </w:rPr>
            </w:pPr>
            <w:r>
              <w:rPr>
                <w:rFonts w:hint="eastAsia"/>
                <w:lang w:val="en-US" w:eastAsia="zh-CN"/>
              </w:rPr>
              <w:t>10</w:t>
            </w:r>
          </w:p>
        </w:tc>
        <w:tc>
          <w:tcPr>
            <w:tcW w:w="874" w:type="dxa"/>
            <w:shd w:val="clear" w:color="000000" w:fill="FFFFFF"/>
            <w:vAlign w:val="top"/>
          </w:tcPr>
          <w:p>
            <w:pPr>
              <w:spacing w:line="600" w:lineRule="auto"/>
              <w:jc w:val="center"/>
              <w:rPr>
                <w:rFonts w:ascii="Times New Roman" w:hAnsi="Times New Roman" w:eastAsia="仿宋_GB2312" w:cs="Times New Roman"/>
                <w:kern w:val="2"/>
                <w:sz w:val="30"/>
                <w:szCs w:val="24"/>
                <w:lang w:val="en-US" w:eastAsia="zh-CN" w:bidi="ar-SA"/>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line="600" w:lineRule="auto"/>
              <w:jc w:val="center"/>
              <w:rPr>
                <w:rFonts w:ascii="Times New Roman" w:hAnsi="Times New Roman" w:eastAsia="仿宋_GB2312" w:cs="Times New Roman"/>
                <w:kern w:val="2"/>
                <w:sz w:val="30"/>
                <w:szCs w:val="24"/>
                <w:lang w:val="en-US" w:eastAsia="zh-CN" w:bidi="ar-SA"/>
              </w:rPr>
            </w:pPr>
            <w:r>
              <w:rPr>
                <w:rFonts w:hint="eastAsia"/>
                <w:lang w:val="en-US" w:eastAsia="zh-CN"/>
              </w:rPr>
              <w:t>10</w:t>
            </w:r>
          </w:p>
        </w:tc>
        <w:tc>
          <w:tcPr>
            <w:tcW w:w="874" w:type="dxa"/>
            <w:shd w:val="clear" w:color="000000" w:fill="FFFFFF"/>
            <w:vAlign w:val="top"/>
          </w:tcPr>
          <w:p>
            <w:pPr>
              <w:spacing w:line="600" w:lineRule="auto"/>
              <w:jc w:val="center"/>
              <w:rPr>
                <w:rFonts w:ascii="Times New Roman" w:hAnsi="Times New Roman" w:eastAsia="仿宋_GB2312" w:cs="Times New Roman"/>
                <w:kern w:val="2"/>
                <w:sz w:val="30"/>
                <w:szCs w:val="24"/>
                <w:lang w:val="en-US" w:eastAsia="zh-CN" w:bidi="ar-SA"/>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line="600" w:lineRule="auto"/>
              <w:jc w:val="center"/>
              <w:rPr>
                <w:rFonts w:ascii="Times New Roman" w:hAnsi="Times New Roman" w:eastAsia="仿宋_GB2312" w:cs="Times New Roman"/>
                <w:kern w:val="2"/>
                <w:sz w:val="30"/>
                <w:szCs w:val="24"/>
                <w:lang w:val="en-US" w:eastAsia="zh-CN" w:bidi="ar-SA"/>
              </w:rPr>
            </w:pPr>
            <w:r>
              <w:rPr>
                <w:rFonts w:hint="eastAsia"/>
                <w:lang w:val="en-US" w:eastAsia="zh-CN"/>
              </w:rPr>
              <w:t>10</w:t>
            </w:r>
          </w:p>
        </w:tc>
        <w:tc>
          <w:tcPr>
            <w:tcW w:w="874" w:type="dxa"/>
            <w:shd w:val="clear" w:color="auto" w:fill="FFFFFF"/>
            <w:vAlign w:val="top"/>
          </w:tcPr>
          <w:p>
            <w:pPr>
              <w:spacing w:line="600" w:lineRule="auto"/>
              <w:jc w:val="center"/>
              <w:rPr>
                <w:rFonts w:ascii="Times New Roman" w:hAnsi="Times New Roman" w:eastAsia="仿宋_GB2312" w:cs="Times New Roman"/>
                <w:kern w:val="2"/>
                <w:sz w:val="30"/>
                <w:szCs w:val="24"/>
                <w:lang w:val="en-US" w:eastAsia="zh-CN" w:bidi="ar-SA"/>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15</w:t>
            </w:r>
          </w:p>
        </w:tc>
        <w:tc>
          <w:tcPr>
            <w:tcW w:w="874" w:type="dxa"/>
            <w:shd w:val="clear" w:color="auto"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5</w:t>
            </w:r>
          </w:p>
        </w:tc>
        <w:tc>
          <w:tcPr>
            <w:tcW w:w="874" w:type="dxa"/>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pPr>
      <w:r>
        <w:rPr>
          <w:rFonts w:hint="eastAsia"/>
        </w:rPr>
        <w:t>3、评价方法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pPr>
      <w:r>
        <w:rPr>
          <w:rFonts w:hint="eastAsia" w:eastAsia="仿宋_GB2312"/>
          <w:bCs/>
          <w:color w:val="auto"/>
          <w:sz w:val="30"/>
          <w:szCs w:val="30"/>
        </w:rPr>
        <w:t>本次项目支出绩效自评采用因素分析法，原因是：本项目需要考虑内外部因素产生的影响及量化社会效益进行分析评价，因此选择因素分析法能更好的对该项目的资金进行评价。</w:t>
      </w:r>
    </w:p>
    <w:p>
      <w:pPr>
        <w:spacing w:line="360" w:lineRule="auto"/>
      </w:pPr>
      <w:r>
        <w:rPr>
          <w:rFonts w:hint="eastAsia"/>
        </w:rPr>
        <w:t>4、评价标准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eastAsia="仿宋_GB2312"/>
          <w:bCs/>
          <w:color w:val="auto"/>
          <w:sz w:val="30"/>
          <w:szCs w:val="30"/>
        </w:rPr>
      </w:pPr>
      <w:bookmarkStart w:id="6" w:name="_Toc68703833"/>
      <w:r>
        <w:rPr>
          <w:rFonts w:hint="eastAsia" w:eastAsia="仿宋_GB2312"/>
          <w:bCs/>
          <w:color w:val="auto"/>
          <w:sz w:val="30"/>
          <w:szCs w:val="30"/>
        </w:rPr>
        <w:t>本次项目支出绩效自评采用计划标准、历史标准。原因是：该项目设置年初绩效目标申报表时参照了往年历史数据制定的标准，并根据该项目本年度计划实施情况确定三级指标。采用计划标准、历史标准，可提高预算编制和预算额度测算准确率，使评价结果更加科学真实。</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eastAsia="仿宋_GB2312"/>
          <w:bCs/>
          <w:color w:val="auto"/>
          <w:sz w:val="30"/>
          <w:szCs w:val="30"/>
        </w:rPr>
      </w:pPr>
      <w:r>
        <w:rPr>
          <w:rFonts w:hint="eastAsia" w:eastAsia="仿宋_GB2312"/>
          <w:bCs/>
          <w:color w:val="auto"/>
          <w:sz w:val="30"/>
          <w:szCs w:val="30"/>
          <w:lang w:val="en-US" w:eastAsia="zh-CN"/>
        </w:rPr>
        <w:t>1.</w:t>
      </w:r>
      <w:r>
        <w:rPr>
          <w:rFonts w:hint="eastAsia" w:eastAsia="仿宋_GB2312"/>
          <w:bCs/>
          <w:color w:val="auto"/>
          <w:sz w:val="30"/>
          <w:szCs w:val="30"/>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eastAsia="仿宋_GB2312"/>
          <w:bCs/>
          <w:color w:val="auto"/>
          <w:sz w:val="30"/>
          <w:szCs w:val="30"/>
        </w:rPr>
      </w:pPr>
      <w:r>
        <w:rPr>
          <w:rFonts w:hint="eastAsia" w:eastAsia="仿宋_GB2312"/>
          <w:bCs/>
          <w:color w:val="auto"/>
          <w:sz w:val="30"/>
          <w:szCs w:val="30"/>
          <w:lang w:val="en-US" w:eastAsia="zh-CN"/>
        </w:rPr>
        <w:t>2.</w:t>
      </w:r>
      <w:r>
        <w:rPr>
          <w:rFonts w:hint="eastAsia" w:eastAsia="仿宋_GB2312"/>
          <w:bCs/>
          <w:color w:val="auto"/>
          <w:sz w:val="30"/>
          <w:szCs w:val="30"/>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eastAsia="仿宋_GB2312"/>
          <w:bCs/>
          <w:color w:val="auto"/>
          <w:sz w:val="30"/>
          <w:szCs w:val="30"/>
        </w:rPr>
      </w:pPr>
      <w:r>
        <w:rPr>
          <w:rFonts w:hint="eastAsia" w:eastAsia="仿宋_GB2312"/>
          <w:bCs/>
          <w:color w:val="auto"/>
          <w:sz w:val="30"/>
          <w:szCs w:val="30"/>
          <w:lang w:val="en-US" w:eastAsia="zh-CN"/>
        </w:rPr>
        <w:t>3.</w:t>
      </w:r>
      <w:r>
        <w:rPr>
          <w:rFonts w:hint="eastAsia" w:eastAsia="仿宋_GB2312"/>
          <w:bCs/>
          <w:color w:val="auto"/>
          <w:sz w:val="30"/>
          <w:szCs w:val="30"/>
        </w:rPr>
        <w:t>分析评价。根据收集梳理的资料围绕项目立项、资金落实、业务管理、财务管理、项目产出、项目效益等内容，对照已确定的绩效评价指标进行详细全面的分析评价，逐项打分并形成绩效评价最终结果。</w:t>
      </w:r>
    </w:p>
    <w:p>
      <w:pPr>
        <w:pStyle w:val="2"/>
      </w:pPr>
    </w:p>
    <w:p>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eastAsia="仿宋_GB2312"/>
          <w:bCs/>
          <w:color w:val="auto"/>
          <w:sz w:val="30"/>
          <w:szCs w:val="30"/>
        </w:rPr>
      </w:pPr>
      <w:r>
        <w:rPr>
          <w:rFonts w:hint="eastAsia" w:eastAsia="仿宋_GB2312"/>
          <w:bCs/>
          <w:color w:val="auto"/>
          <w:sz w:val="30"/>
          <w:szCs w:val="30"/>
        </w:rPr>
        <w:t>本项目严格按照科学公正、统筹兼顾、激励约束、公开透明绩效评价原则，采用</w:t>
      </w:r>
      <w:r>
        <w:rPr>
          <w:rFonts w:hint="eastAsia" w:eastAsia="仿宋_GB2312"/>
          <w:bCs/>
          <w:color w:val="auto"/>
          <w:sz w:val="30"/>
          <w:szCs w:val="30"/>
          <w:lang w:eastAsia="zh-CN"/>
        </w:rPr>
        <w:t>因素分析法</w:t>
      </w:r>
      <w:r>
        <w:rPr>
          <w:rFonts w:hint="eastAsia" w:eastAsia="仿宋_GB2312"/>
          <w:bCs/>
          <w:color w:val="auto"/>
          <w:sz w:val="30"/>
          <w:szCs w:val="30"/>
        </w:rPr>
        <w:t>评价方法，坚持</w:t>
      </w:r>
      <w:r>
        <w:rPr>
          <w:rFonts w:hint="eastAsia" w:eastAsia="仿宋_GB2312"/>
          <w:bCs/>
          <w:color w:val="auto"/>
          <w:sz w:val="30"/>
          <w:szCs w:val="30"/>
          <w:lang w:eastAsia="zh-CN"/>
        </w:rPr>
        <w:t>计划标准和历史标准</w:t>
      </w:r>
      <w:r>
        <w:rPr>
          <w:rFonts w:hint="eastAsia" w:eastAsia="仿宋_GB2312"/>
          <w:bCs/>
          <w:color w:val="auto"/>
          <w:sz w:val="30"/>
          <w:szCs w:val="30"/>
        </w:rPr>
        <w:t>绩效评价标准对本项目的立项、项绩效目标、资金投入、资金管理、组织实施、产出数量、产出质量、产出时效、产出成本、项目效益进行了综合评价。</w:t>
      </w:r>
    </w:p>
    <w:p>
      <w:pPr>
        <w:spacing w:line="360" w:lineRule="auto"/>
        <w:ind w:firstLine="600" w:firstLineChars="200"/>
        <w:jc w:val="center"/>
        <w:rPr>
          <w:color w:val="auto"/>
        </w:rPr>
      </w:pPr>
      <w:r>
        <w:rPr>
          <w:rFonts w:hint="eastAsia"/>
          <w:color w:val="auto"/>
        </w:rPr>
        <w:t>州直关闭破产困难企业1995年底前退休人员生活补贴项目评价得分情况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kern w:val="2"/>
                <w:sz w:val="22"/>
                <w:szCs w:val="24"/>
                <w:lang w:val="en-US" w:eastAsia="zh-CN" w:bidi="ar-SA"/>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kern w:val="2"/>
                <w:sz w:val="22"/>
                <w:szCs w:val="24"/>
                <w:lang w:val="en-US" w:eastAsia="zh-CN" w:bidi="ar-SA"/>
              </w:rPr>
            </w:pPr>
            <w:r>
              <w:rPr>
                <w:rFonts w:hint="eastAsia"/>
                <w:b/>
                <w:bCs/>
                <w:color w:val="000000"/>
                <w:sz w:val="22"/>
                <w:lang w:val="en-US" w:eastAsia="zh-CN"/>
              </w:rPr>
              <w:t>100</w:t>
            </w:r>
          </w:p>
        </w:tc>
      </w:tr>
    </w:tbl>
    <w:p>
      <w:pPr>
        <w:pStyle w:val="4"/>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pPr>
        <w:spacing w:line="360" w:lineRule="auto"/>
        <w:ind w:firstLine="600" w:firstLineChars="200"/>
        <w:rPr>
          <w:rFonts w:hint="eastAsia"/>
          <w:color w:val="auto"/>
        </w:rPr>
      </w:pPr>
      <w:r>
        <w:rPr>
          <w:rFonts w:hint="eastAsia"/>
          <w:color w:val="auto"/>
        </w:rPr>
        <w:t>本项目的项目决策、项目过程、项目产出、项目效益均达到了预期要求，最终得分为100分，项目达成年度指标。</w:t>
      </w:r>
      <w:bookmarkStart w:id="10" w:name="_Toc68703837"/>
    </w:p>
    <w:p>
      <w:pPr>
        <w:spacing w:line="360" w:lineRule="auto"/>
        <w:ind w:firstLine="640" w:firstLineChars="200"/>
        <w:rPr>
          <w:rFonts w:ascii="宋体" w:hAnsi="宋体" w:eastAsia="宋体"/>
          <w:sz w:val="32"/>
          <w:szCs w:val="32"/>
        </w:rPr>
      </w:pPr>
      <w:r>
        <w:rPr>
          <w:rFonts w:hint="eastAsia" w:ascii="宋体" w:hAnsi="宋体" w:eastAsia="宋体"/>
          <w:sz w:val="32"/>
          <w:szCs w:val="32"/>
        </w:rPr>
        <w:t>四、绩效评价指标分析</w:t>
      </w:r>
      <w:bookmarkEnd w:id="10"/>
    </w:p>
    <w:p>
      <w:pPr>
        <w:pStyle w:val="4"/>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pPr>
      <w:r>
        <w:rPr>
          <w:rFonts w:hint="eastAsia"/>
        </w:rPr>
        <w:t>1、立项依据充分性</w:t>
      </w:r>
    </w:p>
    <w:p>
      <w:pPr>
        <w:spacing w:line="600" w:lineRule="exact"/>
        <w:ind w:firstLine="600" w:firstLineChars="200"/>
        <w:outlineLvl w:val="0"/>
        <w:rPr>
          <w:rFonts w:ascii="仿宋_GB2312"/>
          <w:color w:val="FF0000"/>
        </w:rPr>
      </w:pPr>
      <w:r>
        <w:rPr>
          <w:rFonts w:hint="eastAsia" w:ascii="仿宋_GB2312"/>
          <w:lang w:eastAsia="zh-CN"/>
        </w:rPr>
        <w:t>根据巴财社【</w:t>
      </w:r>
      <w:r>
        <w:rPr>
          <w:rFonts w:hint="eastAsia" w:ascii="仿宋_GB2312"/>
          <w:lang w:val="en-US" w:eastAsia="zh-CN"/>
        </w:rPr>
        <w:t>2023</w:t>
      </w:r>
      <w:r>
        <w:rPr>
          <w:rFonts w:hint="eastAsia" w:ascii="仿宋_GB2312"/>
          <w:lang w:eastAsia="zh-CN"/>
        </w:rPr>
        <w:t>】</w:t>
      </w:r>
      <w:r>
        <w:rPr>
          <w:rFonts w:hint="eastAsia" w:ascii="仿宋_GB2312"/>
          <w:lang w:val="en-US" w:eastAsia="zh-CN"/>
        </w:rPr>
        <w:t>6号（关于下达2023年州直关闭破产困难企业1995年底前退休人员生活补贴资金的通知）</w:t>
      </w:r>
      <w:r>
        <w:rPr>
          <w:rFonts w:hint="eastAsia" w:ascii="仿宋_GB2312"/>
        </w:rPr>
        <w:t>我县按照“以民为本、为民解困”的工作理念和发展理念要求，对1995年底前法律法规和政策规定范围的所有破产企业退休职工进行补助，确保每位破产企业职工生活补助按时按期发放到位</w:t>
      </w:r>
      <w:r>
        <w:rPr>
          <w:rFonts w:hint="eastAsia" w:ascii="仿宋_GB2312"/>
          <w:lang w:eastAsia="zh-CN"/>
        </w:rPr>
        <w:t>。</w:t>
      </w:r>
    </w:p>
    <w:p>
      <w:pPr>
        <w:spacing w:line="360" w:lineRule="auto"/>
        <w:ind w:firstLine="600" w:firstLineChars="200"/>
        <w:rPr>
          <w:rFonts w:hint="eastAsia"/>
        </w:rPr>
      </w:pPr>
      <w:r>
        <w:rPr>
          <w:rFonts w:hint="eastAsia"/>
        </w:rPr>
        <w:t>项目立项与部门职责范围相符，属于部门履职所需；项目属于公共财政支持范围，是地方事权支出责任划分原则；项目未与相关部门同类项目或部门内部相关项目重复。</w:t>
      </w:r>
    </w:p>
    <w:p>
      <w:pPr>
        <w:pStyle w:val="2"/>
        <w:rPr>
          <w:rFonts w:hint="eastAsia"/>
        </w:rPr>
      </w:pPr>
    </w:p>
    <w:p>
      <w:pPr>
        <w:spacing w:line="360" w:lineRule="auto"/>
        <w:rPr>
          <w:highlight w:val="none"/>
        </w:rPr>
      </w:pPr>
      <w:r>
        <w:rPr>
          <w:rFonts w:hint="eastAsia"/>
        </w:rPr>
        <w:t>2、立项程序规范性</w:t>
      </w:r>
    </w:p>
    <w:p>
      <w:pPr>
        <w:spacing w:line="360" w:lineRule="auto"/>
        <w:ind w:firstLine="600" w:firstLineChars="200"/>
        <w:rPr>
          <w:rFonts w:hint="eastAsia" w:eastAsia="仿宋_GB2312"/>
          <w:color w:val="auto"/>
          <w:highlight w:val="none"/>
          <w:lang w:eastAsia="zh-CN"/>
        </w:rPr>
      </w:pPr>
      <w:r>
        <w:rPr>
          <w:rFonts w:hint="eastAsia" w:ascii="仿宋_GB2312"/>
          <w:color w:val="auto"/>
          <w:highlight w:val="none"/>
          <w:lang w:val="en-US" w:eastAsia="zh-CN"/>
        </w:rPr>
        <w:t>州直关闭破产困难企业1995年底前退休人员生活补贴</w:t>
      </w:r>
      <w:r>
        <w:rPr>
          <w:rFonts w:hint="eastAsia"/>
          <w:color w:val="auto"/>
          <w:highlight w:val="none"/>
        </w:rPr>
        <w:t>项目按照规定的程序申请设立；审批文件、材料符合相关要求；事前已经过必要的可行性研究、专家论证、风险评估、绩效评估、集体决策</w:t>
      </w:r>
      <w:r>
        <w:rPr>
          <w:rFonts w:hint="eastAsia"/>
          <w:color w:val="auto"/>
          <w:highlight w:val="none"/>
          <w:lang w:eastAsia="zh-CN"/>
        </w:rPr>
        <w:t>。</w:t>
      </w:r>
    </w:p>
    <w:p>
      <w:pPr>
        <w:spacing w:line="360" w:lineRule="auto"/>
      </w:pPr>
      <w:r>
        <w:rPr>
          <w:rFonts w:hint="eastAsia"/>
        </w:rPr>
        <w:t>3、绩效目标合理性</w:t>
      </w:r>
    </w:p>
    <w:p>
      <w:pPr>
        <w:spacing w:line="600" w:lineRule="exact"/>
        <w:ind w:firstLine="600" w:firstLineChars="200"/>
        <w:outlineLvl w:val="0"/>
        <w:rPr>
          <w:color w:val="auto"/>
        </w:rPr>
      </w:pPr>
      <w:r>
        <w:rPr>
          <w:rFonts w:hint="eastAsia" w:ascii="仿宋_GB2312"/>
          <w:color w:val="auto"/>
          <w:lang w:val="en-US" w:eastAsia="zh-CN"/>
        </w:rPr>
        <w:t>2023年州直关闭破产困难企业1995年底前退休人员生活补贴资金</w:t>
      </w:r>
      <w:r>
        <w:rPr>
          <w:rFonts w:hint="eastAsia"/>
          <w:color w:val="auto"/>
        </w:rPr>
        <w:t>设立了项目绩效目标，与</w:t>
      </w:r>
      <w:r>
        <w:rPr>
          <w:rFonts w:hint="eastAsia" w:ascii="仿宋_GB2312"/>
          <w:color w:val="auto"/>
          <w:lang w:eastAsia="zh-CN"/>
        </w:rPr>
        <w:t>巴财社【</w:t>
      </w:r>
      <w:r>
        <w:rPr>
          <w:rFonts w:hint="eastAsia" w:ascii="仿宋_GB2312"/>
          <w:color w:val="auto"/>
          <w:lang w:val="en-US" w:eastAsia="zh-CN"/>
        </w:rPr>
        <w:t>2023</w:t>
      </w:r>
      <w:r>
        <w:rPr>
          <w:rFonts w:hint="eastAsia" w:ascii="仿宋_GB2312"/>
          <w:color w:val="auto"/>
          <w:lang w:eastAsia="zh-CN"/>
        </w:rPr>
        <w:t>】</w:t>
      </w:r>
      <w:r>
        <w:rPr>
          <w:rFonts w:hint="eastAsia" w:ascii="仿宋_GB2312"/>
          <w:color w:val="auto"/>
          <w:lang w:val="en-US" w:eastAsia="zh-CN"/>
        </w:rPr>
        <w:t>6号（关于下达2023年州直关闭破产困难企业1995年底前退休人员生活补贴资金的通知）</w:t>
      </w:r>
      <w:r>
        <w:rPr>
          <w:rFonts w:hint="eastAsia" w:ascii="仿宋_GB2312"/>
          <w:color w:val="auto"/>
        </w:rPr>
        <w:t>按照“以民为本、为民解困”的工作理念和发展理念要求，对1995年底前法律法规和政策规定范围的所有破产企业退休职工进行补助，确保每位破产企业职工生活补助按时按期发放到位</w:t>
      </w:r>
      <w:r>
        <w:rPr>
          <w:rFonts w:hint="eastAsia"/>
          <w:color w:val="auto"/>
        </w:rPr>
        <w:t>具有相关性，项目的预期产出效益和效果也均能符合正常的业绩水平，并且与预算确定的项目投资额或资金量相匹配。</w:t>
      </w:r>
    </w:p>
    <w:p>
      <w:pPr>
        <w:spacing w:line="360" w:lineRule="auto"/>
      </w:pPr>
      <w:r>
        <w:rPr>
          <w:rFonts w:hint="eastAsia"/>
        </w:rPr>
        <w:t>4、绩效指标明确性</w:t>
      </w:r>
    </w:p>
    <w:p>
      <w:pPr>
        <w:spacing w:line="360" w:lineRule="auto"/>
        <w:ind w:firstLine="600" w:firstLineChars="200"/>
        <w:rPr>
          <w:color w:val="FF0000"/>
        </w:rPr>
      </w:pPr>
      <w:bookmarkStart w:id="12" w:name="_Hlk68699917"/>
      <w:r>
        <w:rPr>
          <w:rFonts w:hint="eastAsia" w:ascii="仿宋_GB2312"/>
          <w:color w:val="auto"/>
          <w:lang w:val="en-US" w:eastAsia="zh-CN"/>
        </w:rPr>
        <w:t>2023年州直关闭破产困难企业1995年底前退休人员生活补贴资金</w:t>
      </w:r>
      <w:r>
        <w:rPr>
          <w:rFonts w:hint="eastAsia"/>
          <w:color w:val="auto"/>
        </w:rPr>
        <w:t>将项目绩效目标细化分解为具体的绩效指标，一级指标共</w:t>
      </w:r>
      <w:r>
        <w:rPr>
          <w:rFonts w:hint="eastAsia"/>
          <w:color w:val="auto"/>
          <w:lang w:val="en-US" w:eastAsia="zh-CN"/>
        </w:rPr>
        <w:t>4</w:t>
      </w:r>
      <w:r>
        <w:rPr>
          <w:rFonts w:hint="eastAsia"/>
          <w:color w:val="auto"/>
        </w:rPr>
        <w:t>条，二级指标共</w:t>
      </w:r>
      <w:r>
        <w:rPr>
          <w:color w:val="auto"/>
        </w:rPr>
        <w:t>6</w:t>
      </w:r>
      <w:r>
        <w:rPr>
          <w:rFonts w:hint="eastAsia"/>
          <w:color w:val="auto"/>
        </w:rPr>
        <w:t>条，三级指标共</w:t>
      </w:r>
      <w:r>
        <w:rPr>
          <w:rFonts w:hint="eastAsia"/>
          <w:color w:val="auto"/>
          <w:lang w:val="en-US" w:eastAsia="zh-CN"/>
        </w:rPr>
        <w:t>7</w:t>
      </w:r>
      <w:r>
        <w:rPr>
          <w:rFonts w:hint="eastAsia"/>
          <w:color w:val="auto"/>
        </w:rPr>
        <w:t>条，其中量化指标条数共</w:t>
      </w:r>
      <w:r>
        <w:rPr>
          <w:rFonts w:hint="eastAsia"/>
          <w:color w:val="auto"/>
          <w:lang w:val="en-US" w:eastAsia="zh-CN"/>
        </w:rPr>
        <w:t>6</w:t>
      </w:r>
      <w:r>
        <w:rPr>
          <w:rFonts w:hint="eastAsia"/>
          <w:color w:val="auto"/>
        </w:rPr>
        <w:t>条，所有绩效指标均通过清晰、可衡量的指标值予以体现，并且做到了与项目目标任务数或计划数相对应。</w:t>
      </w:r>
      <w:bookmarkEnd w:id="12"/>
    </w:p>
    <w:p>
      <w:pPr>
        <w:numPr>
          <w:ilvl w:val="0"/>
          <w:numId w:val="3"/>
        </w:numPr>
        <w:spacing w:line="360" w:lineRule="auto"/>
        <w:rPr>
          <w:rFonts w:hint="eastAsia"/>
        </w:rPr>
      </w:pPr>
      <w:r>
        <w:rPr>
          <w:rFonts w:hint="eastAsia"/>
        </w:rPr>
        <w:t>预算编制科学性</w:t>
      </w:r>
    </w:p>
    <w:p>
      <w:pPr>
        <w:spacing w:line="360" w:lineRule="auto"/>
        <w:ind w:firstLine="600" w:firstLineChars="200"/>
        <w:rPr>
          <w:color w:val="auto"/>
          <w:highlight w:val="none"/>
        </w:rPr>
      </w:pPr>
      <w:r>
        <w:rPr>
          <w:rFonts w:hint="eastAsia"/>
          <w:color w:val="auto"/>
          <w:highlight w:val="none"/>
        </w:rPr>
        <w:t>预算编制经过科学论证；预算内容与项目内容匹配；预算额度测算依据充分，按照标准编制；预算确定的项目投资额或资金量与工作任务相匹配。</w:t>
      </w:r>
    </w:p>
    <w:p>
      <w:pPr>
        <w:pStyle w:val="2"/>
        <w:numPr>
          <w:ilvl w:val="0"/>
          <w:numId w:val="0"/>
        </w:numPr>
      </w:pPr>
    </w:p>
    <w:p>
      <w:pPr>
        <w:spacing w:line="360" w:lineRule="auto"/>
        <w:rPr>
          <w:highlight w:val="none"/>
        </w:rPr>
      </w:pPr>
      <w:r>
        <w:rPr>
          <w:rFonts w:hint="eastAsia"/>
          <w:highlight w:val="none"/>
        </w:rPr>
        <w:t>6、资金分配合理性</w:t>
      </w:r>
    </w:p>
    <w:p>
      <w:pPr>
        <w:spacing w:line="360" w:lineRule="auto"/>
        <w:ind w:firstLine="600" w:firstLineChars="200"/>
        <w:rPr>
          <w:color w:val="auto"/>
          <w:highlight w:val="none"/>
        </w:rPr>
      </w:pPr>
      <w:r>
        <w:rPr>
          <w:rFonts w:hint="eastAsia"/>
          <w:color w:val="auto"/>
          <w:highlight w:val="none"/>
        </w:rPr>
        <w:t>预算资金分配依据充分；资金分配额度合理，与项目相适应。</w:t>
      </w:r>
    </w:p>
    <w:p>
      <w:pPr>
        <w:pStyle w:val="4"/>
        <w:spacing w:line="360" w:lineRule="auto"/>
        <w:rPr>
          <w:rFonts w:ascii="仿宋_GB2312" w:eastAsia="仿宋_GB2312"/>
          <w:b w:val="0"/>
          <w:bCs w:val="0"/>
        </w:rPr>
      </w:pPr>
      <w:bookmarkStart w:id="13" w:name="_Toc68703839"/>
      <w:r>
        <w:rPr>
          <w:rFonts w:hint="eastAsia" w:ascii="仿宋_GB2312" w:eastAsia="仿宋_GB2312"/>
          <w:b w:val="0"/>
          <w:bCs w:val="0"/>
        </w:rPr>
        <w:t>（二）项目过程情况。</w:t>
      </w:r>
      <w:bookmarkEnd w:id="13"/>
    </w:p>
    <w:p>
      <w:pPr>
        <w:spacing w:line="360" w:lineRule="auto"/>
      </w:pPr>
      <w:r>
        <w:rPr>
          <w:rFonts w:hint="eastAsia"/>
        </w:rPr>
        <w:t>1、资金到位率：</w:t>
      </w:r>
    </w:p>
    <w:p>
      <w:pPr>
        <w:spacing w:line="360" w:lineRule="auto"/>
        <w:ind w:firstLine="600" w:firstLineChars="200"/>
        <w:rPr>
          <w:rFonts w:hint="eastAsia" w:eastAsia="仿宋_GB2312"/>
          <w:color w:val="auto"/>
          <w:lang w:eastAsia="zh-CN"/>
        </w:rPr>
      </w:pPr>
      <w:r>
        <w:rPr>
          <w:rFonts w:hint="eastAsia"/>
          <w:color w:val="auto"/>
        </w:rPr>
        <w:t>实际到位资金</w:t>
      </w:r>
      <w:r>
        <w:rPr>
          <w:rFonts w:hint="eastAsia"/>
          <w:color w:val="auto"/>
          <w:lang w:val="en-US" w:eastAsia="zh-CN"/>
        </w:rPr>
        <w:t>42.77</w:t>
      </w:r>
      <w:r>
        <w:rPr>
          <w:rFonts w:hint="eastAsia"/>
          <w:color w:val="auto"/>
        </w:rPr>
        <w:t>万元，预算资金</w:t>
      </w:r>
      <w:r>
        <w:rPr>
          <w:rFonts w:hint="eastAsia"/>
          <w:color w:val="auto"/>
          <w:lang w:val="en-US" w:eastAsia="zh-CN"/>
        </w:rPr>
        <w:t>42.77</w:t>
      </w:r>
      <w:r>
        <w:rPr>
          <w:rFonts w:hint="eastAsia"/>
          <w:color w:val="auto"/>
        </w:rPr>
        <w:t>万元，资金到位率</w:t>
      </w:r>
      <w:r>
        <w:rPr>
          <w:color w:val="auto"/>
        </w:rPr>
        <w:t>100</w:t>
      </w:r>
      <w:r>
        <w:rPr>
          <w:rFonts w:hint="eastAsia"/>
          <w:color w:val="auto"/>
        </w:rPr>
        <w:t>%</w:t>
      </w:r>
      <w:r>
        <w:rPr>
          <w:rFonts w:hint="eastAsia"/>
          <w:color w:val="auto"/>
          <w:lang w:eastAsia="zh-CN"/>
        </w:rPr>
        <w:t>。</w:t>
      </w:r>
    </w:p>
    <w:p>
      <w:pPr>
        <w:spacing w:line="360" w:lineRule="auto"/>
      </w:pPr>
      <w:r>
        <w:rPr>
          <w:rFonts w:hint="eastAsia"/>
        </w:rPr>
        <w:t>2、预算执行率</w:t>
      </w:r>
    </w:p>
    <w:p>
      <w:pPr>
        <w:spacing w:line="360" w:lineRule="auto"/>
        <w:ind w:firstLine="600" w:firstLineChars="200"/>
        <w:rPr>
          <w:rFonts w:hint="eastAsia"/>
          <w:color w:val="auto"/>
          <w:lang w:eastAsia="zh-CN"/>
        </w:rPr>
      </w:pPr>
      <w:r>
        <w:rPr>
          <w:rFonts w:hint="eastAsia"/>
          <w:color w:val="auto"/>
        </w:rPr>
        <w:t>年初预算数</w:t>
      </w:r>
      <w:r>
        <w:rPr>
          <w:rFonts w:hint="eastAsia"/>
          <w:color w:val="auto"/>
          <w:lang w:val="en-US" w:eastAsia="zh-CN"/>
        </w:rPr>
        <w:t>42.77</w:t>
      </w:r>
      <w:r>
        <w:rPr>
          <w:rFonts w:hint="eastAsia"/>
          <w:color w:val="auto"/>
        </w:rPr>
        <w:t>万元，全年预算数</w:t>
      </w:r>
      <w:r>
        <w:rPr>
          <w:rFonts w:hint="eastAsia"/>
          <w:color w:val="auto"/>
          <w:lang w:val="en-US" w:eastAsia="zh-CN"/>
        </w:rPr>
        <w:t>42.77</w:t>
      </w:r>
      <w:r>
        <w:rPr>
          <w:rFonts w:hint="eastAsia"/>
          <w:color w:val="auto"/>
        </w:rPr>
        <w:t xml:space="preserve">万元，全年执行数 </w:t>
      </w:r>
      <w:r>
        <w:rPr>
          <w:color w:val="auto"/>
        </w:rPr>
        <w:t xml:space="preserve">    </w:t>
      </w:r>
      <w:r>
        <w:rPr>
          <w:rFonts w:hint="eastAsia"/>
          <w:color w:val="auto"/>
          <w:lang w:val="en-US" w:eastAsia="zh-CN"/>
        </w:rPr>
        <w:t>42.77</w:t>
      </w:r>
      <w:r>
        <w:rPr>
          <w:rFonts w:hint="eastAsia"/>
          <w:color w:val="auto"/>
        </w:rPr>
        <w:t>万元，预算执行率为</w:t>
      </w:r>
      <w:r>
        <w:rPr>
          <w:color w:val="auto"/>
        </w:rPr>
        <w:t>100</w:t>
      </w:r>
      <w:r>
        <w:rPr>
          <w:rFonts w:hint="eastAsia"/>
          <w:color w:val="auto"/>
        </w:rPr>
        <w:t>%</w:t>
      </w:r>
      <w:r>
        <w:rPr>
          <w:rFonts w:hint="eastAsia"/>
          <w:color w:val="auto"/>
          <w:lang w:eastAsia="zh-CN"/>
        </w:rPr>
        <w:t>。</w:t>
      </w:r>
    </w:p>
    <w:p>
      <w:pPr>
        <w:spacing w:line="360" w:lineRule="auto"/>
        <w:ind w:firstLine="600" w:firstLineChars="200"/>
        <w:rPr>
          <w:highlight w:val="none"/>
        </w:rPr>
      </w:pPr>
      <w:r>
        <w:rPr>
          <w:rFonts w:hint="eastAsia"/>
          <w:highlight w:val="none"/>
        </w:rPr>
        <w:t>3、资金使用合规性</w:t>
      </w:r>
    </w:p>
    <w:p>
      <w:pPr>
        <w:spacing w:line="360" w:lineRule="auto"/>
        <w:ind w:firstLine="600" w:firstLineChars="200"/>
        <w:rPr>
          <w:color w:val="auto"/>
          <w:highlight w:val="none"/>
        </w:rPr>
      </w:pPr>
      <w:r>
        <w:rPr>
          <w:rFonts w:hint="eastAsia" w:ascii="仿宋_GB2312"/>
          <w:color w:val="auto"/>
          <w:highlight w:val="none"/>
          <w:lang w:val="en-US" w:eastAsia="zh-CN"/>
        </w:rPr>
        <w:t>州直关闭破产困难企业1995年底前退休人员生活补贴</w:t>
      </w:r>
      <w:r>
        <w:rPr>
          <w:rFonts w:hint="eastAsia"/>
          <w:color w:val="auto"/>
          <w:highlight w:val="none"/>
        </w:rPr>
        <w:t>项目符合国家财经法规和财务管理制度以及有关专项资金管理办法的规定；资金的拨付有完整的审批程序和手续；项目使用符合项目预算批复或合同规定的用途；不存在截留、挤占、挪用、虚列支出等情况。</w:t>
      </w:r>
    </w:p>
    <w:p>
      <w:pPr>
        <w:spacing w:line="360" w:lineRule="auto"/>
        <w:rPr>
          <w:highlight w:val="none"/>
        </w:rPr>
      </w:pPr>
      <w:r>
        <w:rPr>
          <w:rFonts w:hint="eastAsia"/>
          <w:highlight w:val="none"/>
        </w:rPr>
        <w:t>4、管理制度健全性</w:t>
      </w:r>
    </w:p>
    <w:p>
      <w:pPr>
        <w:spacing w:line="360" w:lineRule="auto"/>
        <w:ind w:firstLine="600" w:firstLineChars="200"/>
        <w:rPr>
          <w:color w:val="auto"/>
          <w:highlight w:val="none"/>
        </w:rPr>
      </w:pPr>
      <w:r>
        <w:rPr>
          <w:rFonts w:hint="eastAsia" w:ascii="仿宋_GB2312"/>
          <w:color w:val="auto"/>
          <w:highlight w:val="none"/>
          <w:lang w:val="en-US" w:eastAsia="zh-CN"/>
        </w:rPr>
        <w:t>州直关闭破产困难企业1995年底前退休人员生活补贴</w:t>
      </w:r>
      <w:r>
        <w:rPr>
          <w:rFonts w:hint="eastAsia"/>
          <w:color w:val="auto"/>
          <w:highlight w:val="none"/>
        </w:rPr>
        <w:t>项目实施制定相应的财务和业务管理制度；财务和业务管理制度合法、合规、完整。</w:t>
      </w:r>
    </w:p>
    <w:p>
      <w:pPr>
        <w:spacing w:line="360" w:lineRule="auto"/>
        <w:rPr>
          <w:highlight w:val="none"/>
        </w:rPr>
      </w:pPr>
      <w:r>
        <w:rPr>
          <w:rFonts w:hint="eastAsia"/>
          <w:highlight w:val="none"/>
        </w:rPr>
        <w:t>5、制度执行有效性</w:t>
      </w:r>
    </w:p>
    <w:p>
      <w:pPr>
        <w:spacing w:line="360" w:lineRule="auto"/>
        <w:ind w:firstLine="600" w:firstLineChars="200"/>
        <w:rPr>
          <w:color w:val="auto"/>
          <w:highlight w:val="none"/>
        </w:rPr>
      </w:pPr>
      <w:r>
        <w:rPr>
          <w:rFonts w:hint="eastAsia" w:ascii="仿宋_GB2312"/>
          <w:color w:val="auto"/>
          <w:highlight w:val="none"/>
          <w:lang w:val="en-US" w:eastAsia="zh-CN"/>
        </w:rPr>
        <w:t>州直关闭破产困难企业1995年底前退休人员生活补贴</w:t>
      </w:r>
      <w:r>
        <w:rPr>
          <w:rFonts w:hint="eastAsia"/>
          <w:color w:val="auto"/>
          <w:highlight w:val="none"/>
        </w:rPr>
        <w:t>项目实施遵守相关法律法规和相关管理规定；项目调整及支出调整手续完备；项目合同书、验收报告、技术鉴定等资料齐全并及时归档；项目实施的人员条件、场地设备、信息支撑等落实到位。</w:t>
      </w:r>
    </w:p>
    <w:p>
      <w:pPr>
        <w:pStyle w:val="4"/>
        <w:spacing w:line="360" w:lineRule="auto"/>
        <w:rPr>
          <w:rFonts w:ascii="仿宋_GB2312" w:eastAsia="仿宋_GB2312"/>
          <w:b w:val="0"/>
          <w:bCs w:val="0"/>
        </w:rPr>
      </w:pPr>
      <w:bookmarkStart w:id="14" w:name="_Toc68703840"/>
      <w:r>
        <w:rPr>
          <w:rFonts w:hint="eastAsia" w:ascii="仿宋_GB2312" w:eastAsia="仿宋_GB2312"/>
          <w:b w:val="0"/>
          <w:bCs w:val="0"/>
        </w:rPr>
        <w:t>（三）项目产出情况。</w:t>
      </w:r>
      <w:bookmarkEnd w:id="14"/>
    </w:p>
    <w:p>
      <w:pPr>
        <w:spacing w:line="360" w:lineRule="auto"/>
        <w:ind w:firstLine="600" w:firstLineChars="200"/>
        <w:rPr>
          <w:rFonts w:hint="eastAsia"/>
          <w:color w:val="auto"/>
        </w:rPr>
      </w:pPr>
      <w:r>
        <w:rPr>
          <w:rFonts w:hint="eastAsia"/>
          <w:color w:val="auto"/>
        </w:rPr>
        <w:t>1、产出数量指标：</w:t>
      </w:r>
      <w:r>
        <w:rPr>
          <w:rFonts w:hint="eastAsia"/>
          <w:color w:val="auto"/>
          <w:lang w:val="en-US" w:eastAsia="zh-CN"/>
        </w:rPr>
        <w:t>1.</w:t>
      </w:r>
      <w:r>
        <w:rPr>
          <w:rFonts w:hint="eastAsia"/>
          <w:color w:val="auto"/>
          <w:lang w:eastAsia="zh-CN"/>
        </w:rPr>
        <w:t>数量指标：</w:t>
      </w:r>
      <w:r>
        <w:rPr>
          <w:rFonts w:hint="eastAsia"/>
          <w:color w:val="auto"/>
        </w:rPr>
        <w:t>指标1：</w:t>
      </w:r>
      <w:r>
        <w:rPr>
          <w:rFonts w:hint="eastAsia"/>
          <w:color w:val="auto"/>
          <w:lang w:eastAsia="zh-CN"/>
        </w:rPr>
        <w:t>州直破产企业人员发放补贴</w:t>
      </w:r>
      <w:r>
        <w:rPr>
          <w:rFonts w:hint="eastAsia"/>
          <w:color w:val="auto"/>
        </w:rPr>
        <w:t>人数</w:t>
      </w:r>
      <w:r>
        <w:rPr>
          <w:color w:val="auto"/>
        </w:rPr>
        <w:t xml:space="preserve"> </w:t>
      </w:r>
      <w:r>
        <w:rPr>
          <w:rFonts w:hint="eastAsia"/>
          <w:color w:val="auto"/>
        </w:rPr>
        <w:t>，指标值：≥26</w:t>
      </w:r>
      <w:r>
        <w:rPr>
          <w:rFonts w:hint="eastAsia"/>
          <w:color w:val="auto"/>
          <w:lang w:val="en-US" w:eastAsia="zh-CN"/>
        </w:rPr>
        <w:t>0</w:t>
      </w:r>
      <w:r>
        <w:rPr>
          <w:rFonts w:hint="eastAsia"/>
          <w:color w:val="auto"/>
          <w:lang w:eastAsia="zh-CN"/>
        </w:rPr>
        <w:t>人</w:t>
      </w:r>
      <w:r>
        <w:rPr>
          <w:rFonts w:hint="eastAsia"/>
          <w:color w:val="auto"/>
        </w:rPr>
        <w:t>，实际完成值</w:t>
      </w:r>
      <w:r>
        <w:rPr>
          <w:rFonts w:hint="eastAsia"/>
          <w:color w:val="auto"/>
          <w:lang w:val="en-US" w:eastAsia="zh-CN"/>
        </w:rPr>
        <w:t>246人</w:t>
      </w:r>
      <w:r>
        <w:rPr>
          <w:rFonts w:hint="eastAsia"/>
          <w:color w:val="auto"/>
        </w:rPr>
        <w:t>，指标完成率</w:t>
      </w:r>
      <w:r>
        <w:rPr>
          <w:rFonts w:hint="eastAsia"/>
          <w:color w:val="auto"/>
          <w:lang w:val="en-US" w:eastAsia="zh-CN"/>
        </w:rPr>
        <w:t>94.61</w:t>
      </w:r>
      <w:r>
        <w:rPr>
          <w:rFonts w:hint="eastAsia"/>
          <w:color w:val="auto"/>
        </w:rPr>
        <w:t>%，偏差原因：</w:t>
      </w:r>
      <w:r>
        <w:rPr>
          <w:rFonts w:hint="eastAsia"/>
          <w:color w:val="auto"/>
          <w:lang w:eastAsia="zh-CN"/>
        </w:rPr>
        <w:t>州直破产企业人员发放补贴</w:t>
      </w:r>
      <w:r>
        <w:rPr>
          <w:rFonts w:hint="eastAsia"/>
          <w:color w:val="auto"/>
        </w:rPr>
        <w:t>人数</w:t>
      </w:r>
      <w:r>
        <w:rPr>
          <w:rFonts w:hint="eastAsia"/>
          <w:color w:val="auto"/>
          <w:lang w:eastAsia="zh-CN"/>
        </w:rPr>
        <w:t>有人员增减变动</w:t>
      </w:r>
      <w:r>
        <w:rPr>
          <w:rFonts w:hint="eastAsia"/>
          <w:color w:val="auto"/>
        </w:rPr>
        <w:t>；</w:t>
      </w:r>
      <w:r>
        <w:rPr>
          <w:rFonts w:hint="eastAsia"/>
          <w:color w:val="auto"/>
          <w:lang w:eastAsia="zh-CN"/>
        </w:rPr>
        <w:t>指标</w:t>
      </w:r>
      <w:r>
        <w:rPr>
          <w:rFonts w:hint="eastAsia"/>
          <w:color w:val="auto"/>
          <w:lang w:val="en-US" w:eastAsia="zh-CN"/>
        </w:rPr>
        <w:t>2：</w:t>
      </w:r>
      <w:r>
        <w:rPr>
          <w:rFonts w:hint="eastAsia"/>
          <w:color w:val="auto"/>
          <w:lang w:eastAsia="zh-CN"/>
        </w:rPr>
        <w:t>州直破产企业人员发放补贴</w:t>
      </w:r>
      <w:r>
        <w:rPr>
          <w:rFonts w:hint="eastAsia"/>
          <w:color w:val="auto"/>
        </w:rPr>
        <w:t>次数</w:t>
      </w:r>
      <w:r>
        <w:rPr>
          <w:rFonts w:hint="eastAsia"/>
          <w:color w:val="auto"/>
          <w:lang w:eastAsia="zh-CN"/>
        </w:rPr>
        <w:t>，</w:t>
      </w:r>
      <w:r>
        <w:rPr>
          <w:rFonts w:hint="eastAsia"/>
          <w:color w:val="auto"/>
        </w:rPr>
        <w:t>指标值：≥</w:t>
      </w:r>
      <w:r>
        <w:rPr>
          <w:rFonts w:hint="eastAsia"/>
          <w:color w:val="auto"/>
          <w:lang w:val="en-US" w:eastAsia="zh-CN"/>
        </w:rPr>
        <w:t>4次</w:t>
      </w:r>
      <w:r>
        <w:rPr>
          <w:rFonts w:hint="eastAsia"/>
          <w:color w:val="auto"/>
        </w:rPr>
        <w:t>，实际完成值</w:t>
      </w:r>
      <w:r>
        <w:rPr>
          <w:rFonts w:hint="eastAsia"/>
          <w:color w:val="auto"/>
          <w:lang w:val="en-US" w:eastAsia="zh-CN"/>
        </w:rPr>
        <w:t>4次</w:t>
      </w:r>
      <w:r>
        <w:rPr>
          <w:rFonts w:hint="eastAsia"/>
          <w:color w:val="auto"/>
        </w:rPr>
        <w:t>，指标完成率</w:t>
      </w:r>
      <w:r>
        <w:rPr>
          <w:color w:val="auto"/>
        </w:rPr>
        <w:t>100</w:t>
      </w:r>
      <w:r>
        <w:rPr>
          <w:rFonts w:hint="eastAsia"/>
          <w:color w:val="auto"/>
        </w:rPr>
        <w:t>%，无偏差原因</w:t>
      </w:r>
      <w:r>
        <w:rPr>
          <w:rFonts w:hint="eastAsia"/>
          <w:color w:val="auto"/>
          <w:lang w:eastAsia="zh-CN"/>
        </w:rPr>
        <w:t>；</w:t>
      </w:r>
      <w:r>
        <w:rPr>
          <w:rFonts w:hint="eastAsia"/>
          <w:color w:val="auto"/>
        </w:rPr>
        <w:t>2</w:t>
      </w:r>
      <w:r>
        <w:rPr>
          <w:rFonts w:hint="eastAsia"/>
          <w:color w:val="auto"/>
          <w:lang w:val="en-US" w:eastAsia="zh-CN"/>
        </w:rPr>
        <w:t>.</w:t>
      </w:r>
      <w:r>
        <w:rPr>
          <w:rFonts w:hint="eastAsia"/>
          <w:color w:val="auto"/>
        </w:rPr>
        <w:t>质量指标：</w:t>
      </w:r>
      <w:r>
        <w:rPr>
          <w:rFonts w:hint="eastAsia"/>
          <w:color w:val="auto"/>
          <w:lang w:eastAsia="zh-CN"/>
        </w:rPr>
        <w:t>指标</w:t>
      </w:r>
      <w:r>
        <w:rPr>
          <w:rFonts w:hint="eastAsia"/>
          <w:color w:val="auto"/>
          <w:lang w:val="en-US" w:eastAsia="zh-CN"/>
        </w:rPr>
        <w:t>1：</w:t>
      </w:r>
      <w:r>
        <w:rPr>
          <w:rFonts w:hint="eastAsia"/>
          <w:color w:val="auto"/>
          <w:lang w:eastAsia="zh-CN"/>
        </w:rPr>
        <w:t>州直破产企业人员发放补贴</w:t>
      </w:r>
      <w:r>
        <w:rPr>
          <w:rFonts w:hint="eastAsia"/>
          <w:color w:val="auto"/>
        </w:rPr>
        <w:t>覆盖率，</w:t>
      </w:r>
      <w:bookmarkStart w:id="15" w:name="_Hlk98607777"/>
      <w:r>
        <w:rPr>
          <w:rFonts w:hint="eastAsia"/>
          <w:color w:val="auto"/>
        </w:rPr>
        <w:t>指标值：</w:t>
      </w:r>
      <w:r>
        <w:rPr>
          <w:rFonts w:hint="eastAsia"/>
          <w:color w:val="auto"/>
          <w:lang w:val="en-US" w:eastAsia="zh-CN"/>
        </w:rPr>
        <w:t>=100%</w:t>
      </w:r>
      <w:r>
        <w:rPr>
          <w:rFonts w:hint="eastAsia"/>
          <w:color w:val="auto"/>
        </w:rPr>
        <w:t>，实际完成值</w:t>
      </w:r>
      <w:r>
        <w:rPr>
          <w:rFonts w:hint="eastAsia"/>
          <w:color w:val="auto"/>
          <w:lang w:val="en-US" w:eastAsia="zh-CN"/>
        </w:rPr>
        <w:t>94.61</w:t>
      </w:r>
      <w:r>
        <w:rPr>
          <w:rFonts w:hint="eastAsia"/>
          <w:color w:val="auto"/>
        </w:rPr>
        <w:t>%，</w:t>
      </w:r>
      <w:bookmarkStart w:id="16" w:name="_Hlk98607678"/>
      <w:r>
        <w:rPr>
          <w:rFonts w:hint="eastAsia"/>
          <w:color w:val="auto"/>
        </w:rPr>
        <w:t>指标完成率</w:t>
      </w:r>
      <w:r>
        <w:rPr>
          <w:rFonts w:hint="eastAsia"/>
          <w:color w:val="auto"/>
          <w:lang w:val="en-US" w:eastAsia="zh-CN"/>
        </w:rPr>
        <w:t>94.61</w:t>
      </w:r>
      <w:r>
        <w:rPr>
          <w:rFonts w:hint="eastAsia"/>
          <w:color w:val="auto"/>
        </w:rPr>
        <w:t>%，偏差原因：</w:t>
      </w:r>
      <w:r>
        <w:rPr>
          <w:rFonts w:hint="eastAsia"/>
          <w:color w:val="auto"/>
          <w:lang w:eastAsia="zh-CN"/>
        </w:rPr>
        <w:t>州直破产企业人员发放补贴</w:t>
      </w:r>
      <w:r>
        <w:rPr>
          <w:rFonts w:hint="eastAsia"/>
          <w:color w:val="auto"/>
        </w:rPr>
        <w:t>人数</w:t>
      </w:r>
      <w:r>
        <w:rPr>
          <w:rFonts w:hint="eastAsia"/>
          <w:color w:val="auto"/>
          <w:lang w:eastAsia="zh-CN"/>
        </w:rPr>
        <w:t>有人员增减变动</w:t>
      </w:r>
      <w:r>
        <w:rPr>
          <w:rFonts w:hint="eastAsia"/>
          <w:color w:val="auto"/>
        </w:rPr>
        <w:t>；</w:t>
      </w:r>
      <w:bookmarkEnd w:id="15"/>
      <w:bookmarkEnd w:id="16"/>
      <w:r>
        <w:rPr>
          <w:rFonts w:hint="eastAsia"/>
          <w:color w:val="auto"/>
        </w:rPr>
        <w:t>3</w:t>
      </w:r>
      <w:r>
        <w:rPr>
          <w:color w:val="auto"/>
        </w:rPr>
        <w:t>.</w:t>
      </w:r>
      <w:r>
        <w:rPr>
          <w:rFonts w:hint="eastAsia"/>
          <w:color w:val="auto"/>
        </w:rPr>
        <w:t>时效指标：</w:t>
      </w:r>
      <w:r>
        <w:rPr>
          <w:rFonts w:hint="eastAsia"/>
          <w:color w:val="auto"/>
          <w:lang w:eastAsia="zh-CN"/>
        </w:rPr>
        <w:t>指标</w:t>
      </w:r>
      <w:r>
        <w:rPr>
          <w:rFonts w:hint="eastAsia"/>
          <w:color w:val="auto"/>
          <w:lang w:val="en-US" w:eastAsia="zh-CN"/>
        </w:rPr>
        <w:t>1：</w:t>
      </w:r>
      <w:r>
        <w:rPr>
          <w:rFonts w:hint="eastAsia"/>
          <w:color w:val="auto"/>
          <w:lang w:eastAsia="zh-CN"/>
        </w:rPr>
        <w:t>州直破产企业人员发放补贴</w:t>
      </w:r>
      <w:r>
        <w:rPr>
          <w:rFonts w:hint="eastAsia"/>
          <w:color w:val="auto"/>
        </w:rPr>
        <w:t>发放及时率</w:t>
      </w:r>
      <w:r>
        <w:rPr>
          <w:rFonts w:hint="eastAsia"/>
          <w:color w:val="auto"/>
          <w:lang w:eastAsia="zh-CN"/>
        </w:rPr>
        <w:t>，</w:t>
      </w:r>
      <w:r>
        <w:rPr>
          <w:rFonts w:hint="eastAsia"/>
          <w:color w:val="auto"/>
        </w:rPr>
        <w:t>指标值：≥</w:t>
      </w:r>
      <w:r>
        <w:rPr>
          <w:rFonts w:hint="eastAsia"/>
          <w:color w:val="auto"/>
          <w:lang w:val="en-US" w:eastAsia="zh-CN"/>
        </w:rPr>
        <w:t>98%</w:t>
      </w:r>
      <w:r>
        <w:rPr>
          <w:rFonts w:hint="eastAsia"/>
          <w:color w:val="auto"/>
        </w:rPr>
        <w:t>，实际完成值</w:t>
      </w:r>
      <w:r>
        <w:rPr>
          <w:rFonts w:hint="eastAsia"/>
          <w:color w:val="auto"/>
          <w:lang w:val="en-US" w:eastAsia="zh-CN"/>
        </w:rPr>
        <w:t>98</w:t>
      </w:r>
      <w:r>
        <w:rPr>
          <w:rFonts w:hint="eastAsia"/>
          <w:color w:val="auto"/>
        </w:rPr>
        <w:t>%</w:t>
      </w:r>
      <w:r>
        <w:rPr>
          <w:rFonts w:hint="eastAsia"/>
          <w:color w:val="auto"/>
          <w:lang w:eastAsia="zh-CN"/>
        </w:rPr>
        <w:t>，</w:t>
      </w:r>
      <w:r>
        <w:rPr>
          <w:rFonts w:hint="eastAsia"/>
          <w:color w:val="auto"/>
        </w:rPr>
        <w:t>指标完成率</w:t>
      </w:r>
      <w:r>
        <w:rPr>
          <w:rFonts w:hint="eastAsia"/>
          <w:color w:val="auto"/>
          <w:lang w:val="en-US" w:eastAsia="zh-CN"/>
        </w:rPr>
        <w:t>100</w:t>
      </w:r>
      <w:r>
        <w:rPr>
          <w:rFonts w:hint="eastAsia"/>
          <w:color w:val="auto"/>
        </w:rPr>
        <w:t>%，无偏差原因；</w:t>
      </w:r>
    </w:p>
    <w:p>
      <w:pPr>
        <w:spacing w:line="360" w:lineRule="auto"/>
        <w:ind w:firstLine="600" w:firstLineChars="200"/>
        <w:rPr>
          <w:color w:val="auto"/>
        </w:rPr>
      </w:pPr>
      <w:r>
        <w:rPr>
          <w:rFonts w:hint="eastAsia"/>
          <w:color w:val="auto"/>
        </w:rPr>
        <w:t>成本指标：</w:t>
      </w:r>
      <w:r>
        <w:rPr>
          <w:rFonts w:hint="eastAsia"/>
          <w:color w:val="auto"/>
          <w:lang w:eastAsia="zh-CN"/>
        </w:rPr>
        <w:t>指标</w:t>
      </w:r>
      <w:r>
        <w:rPr>
          <w:rFonts w:hint="eastAsia"/>
          <w:color w:val="auto"/>
          <w:lang w:val="en-US" w:eastAsia="zh-CN"/>
        </w:rPr>
        <w:t>1：</w:t>
      </w:r>
      <w:r>
        <w:rPr>
          <w:rFonts w:hint="eastAsia"/>
          <w:color w:val="auto"/>
          <w:lang w:eastAsia="zh-CN"/>
        </w:rPr>
        <w:t>预算控制率</w:t>
      </w:r>
      <w:r>
        <w:rPr>
          <w:rFonts w:hint="eastAsia"/>
          <w:color w:val="auto"/>
        </w:rPr>
        <w:t>：指标值： ≤</w:t>
      </w:r>
      <w:r>
        <w:rPr>
          <w:rFonts w:hint="eastAsia"/>
          <w:color w:val="auto"/>
          <w:lang w:val="en-US" w:eastAsia="zh-CN"/>
        </w:rPr>
        <w:t>:100</w:t>
      </w:r>
      <w:r>
        <w:rPr>
          <w:rFonts w:hint="eastAsia"/>
          <w:color w:val="auto"/>
        </w:rPr>
        <w:t>%</w:t>
      </w:r>
      <w:r>
        <w:rPr>
          <w:color w:val="auto"/>
        </w:rPr>
        <w:t xml:space="preserve"> </w:t>
      </w:r>
      <w:r>
        <w:rPr>
          <w:rFonts w:hint="eastAsia"/>
          <w:color w:val="auto"/>
        </w:rPr>
        <w:t>，实际完成值</w:t>
      </w:r>
      <w:r>
        <w:rPr>
          <w:rFonts w:hint="eastAsia"/>
          <w:color w:val="auto"/>
          <w:lang w:val="en-US" w:eastAsia="zh-CN"/>
        </w:rPr>
        <w:t>100</w:t>
      </w:r>
      <w:r>
        <w:rPr>
          <w:rFonts w:hint="eastAsia"/>
          <w:color w:val="auto"/>
        </w:rPr>
        <w:t>%，指标完成率</w:t>
      </w:r>
      <w:r>
        <w:rPr>
          <w:color w:val="auto"/>
        </w:rPr>
        <w:t xml:space="preserve"> 100</w:t>
      </w:r>
      <w:r>
        <w:rPr>
          <w:rFonts w:hint="eastAsia"/>
          <w:color w:val="auto"/>
        </w:rPr>
        <w:t>%，</w:t>
      </w:r>
      <w:r>
        <w:rPr>
          <w:rFonts w:hint="eastAsia"/>
          <w:color w:val="auto"/>
          <w:lang w:eastAsia="zh-CN"/>
        </w:rPr>
        <w:t>无</w:t>
      </w:r>
      <w:r>
        <w:rPr>
          <w:rFonts w:hint="eastAsia"/>
          <w:color w:val="auto"/>
        </w:rPr>
        <w:t>偏差原因；</w:t>
      </w:r>
    </w:p>
    <w:p>
      <w:pPr>
        <w:spacing w:line="360" w:lineRule="auto"/>
        <w:ind w:firstLine="600" w:firstLineChars="200"/>
        <w:rPr>
          <w:rFonts w:hint="eastAsia"/>
          <w:color w:val="auto"/>
        </w:rPr>
      </w:pPr>
      <w:r>
        <w:rPr>
          <w:rFonts w:hint="eastAsia"/>
          <w:color w:val="auto"/>
        </w:rPr>
        <w:t>效益指标：社会效益指标：</w:t>
      </w:r>
      <w:r>
        <w:rPr>
          <w:rFonts w:hint="eastAsia"/>
          <w:color w:val="auto"/>
          <w:lang w:eastAsia="zh-CN"/>
        </w:rPr>
        <w:t>保障州直破产企业人员基本生活</w:t>
      </w:r>
      <w:r>
        <w:rPr>
          <w:rFonts w:hint="eastAsia"/>
          <w:color w:val="auto"/>
        </w:rPr>
        <w:t>：</w:t>
      </w:r>
      <w:bookmarkStart w:id="17" w:name="_Hlk98607522"/>
      <w:r>
        <w:rPr>
          <w:rFonts w:hint="eastAsia"/>
          <w:color w:val="auto"/>
        </w:rPr>
        <w:t>指标值：</w:t>
      </w:r>
      <w:r>
        <w:rPr>
          <w:rFonts w:hint="eastAsia"/>
          <w:color w:val="auto"/>
          <w:lang w:eastAsia="zh-CN"/>
        </w:rPr>
        <w:t>有效保障</w:t>
      </w:r>
      <w:r>
        <w:rPr>
          <w:rFonts w:hint="eastAsia"/>
          <w:color w:val="auto"/>
        </w:rPr>
        <w:t>，实际完成</w:t>
      </w:r>
      <w:r>
        <w:rPr>
          <w:rFonts w:hint="eastAsia"/>
          <w:color w:val="auto"/>
          <w:highlight w:val="none"/>
        </w:rPr>
        <w:t>值</w:t>
      </w:r>
      <w:r>
        <w:rPr>
          <w:rFonts w:hint="eastAsia"/>
          <w:color w:val="auto"/>
          <w:highlight w:val="none"/>
          <w:lang w:eastAsia="zh-CN"/>
        </w:rPr>
        <w:t>：达成目标</w:t>
      </w:r>
      <w:r>
        <w:rPr>
          <w:rFonts w:hint="eastAsia"/>
          <w:color w:val="auto"/>
        </w:rPr>
        <w:t>，指标完成率</w:t>
      </w:r>
      <w:r>
        <w:rPr>
          <w:color w:val="auto"/>
        </w:rPr>
        <w:t xml:space="preserve"> 100</w:t>
      </w:r>
      <w:r>
        <w:rPr>
          <w:rFonts w:hint="eastAsia"/>
          <w:color w:val="auto"/>
        </w:rPr>
        <w:t>%，</w:t>
      </w:r>
      <w:r>
        <w:rPr>
          <w:rFonts w:hint="eastAsia"/>
          <w:color w:val="auto"/>
          <w:lang w:eastAsia="zh-CN"/>
        </w:rPr>
        <w:t>无</w:t>
      </w:r>
      <w:r>
        <w:rPr>
          <w:rFonts w:hint="eastAsia"/>
          <w:color w:val="auto"/>
        </w:rPr>
        <w:t>偏差原因；</w:t>
      </w:r>
      <w:bookmarkEnd w:id="17"/>
    </w:p>
    <w:p>
      <w:pPr>
        <w:spacing w:line="360" w:lineRule="auto"/>
        <w:ind w:firstLine="600" w:firstLineChars="200"/>
        <w:rPr>
          <w:color w:val="auto"/>
        </w:rPr>
      </w:pPr>
      <w:r>
        <w:rPr>
          <w:rFonts w:hint="eastAsia"/>
          <w:color w:val="auto"/>
          <w:lang w:eastAsia="zh-CN"/>
        </w:rPr>
        <w:t>满意度</w:t>
      </w:r>
      <w:r>
        <w:rPr>
          <w:rFonts w:hint="eastAsia"/>
          <w:color w:val="auto"/>
        </w:rPr>
        <w:t>指标：</w:t>
      </w:r>
      <w:r>
        <w:rPr>
          <w:rFonts w:hint="eastAsia"/>
          <w:color w:val="auto"/>
          <w:lang w:eastAsia="zh-CN"/>
        </w:rPr>
        <w:t>州直破产企业人员补助对象满意度：</w:t>
      </w:r>
      <w:r>
        <w:rPr>
          <w:rFonts w:hint="eastAsia"/>
          <w:color w:val="auto"/>
        </w:rPr>
        <w:t>指标值：≥</w:t>
      </w:r>
      <w:r>
        <w:rPr>
          <w:rFonts w:hint="eastAsia"/>
          <w:color w:val="auto"/>
          <w:lang w:val="en-US" w:eastAsia="zh-CN"/>
        </w:rPr>
        <w:t>96%</w:t>
      </w:r>
      <w:r>
        <w:rPr>
          <w:rFonts w:hint="eastAsia"/>
          <w:color w:val="auto"/>
        </w:rPr>
        <w:t>，实际完成值</w:t>
      </w:r>
      <w:r>
        <w:rPr>
          <w:rFonts w:hint="eastAsia"/>
          <w:color w:val="auto"/>
          <w:lang w:val="en-US" w:eastAsia="zh-CN"/>
        </w:rPr>
        <w:t>96%</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无</w:t>
      </w:r>
      <w:r>
        <w:rPr>
          <w:rFonts w:hint="eastAsia"/>
          <w:color w:val="auto"/>
        </w:rPr>
        <w:t>偏差原因。</w:t>
      </w:r>
    </w:p>
    <w:p>
      <w:pPr>
        <w:pStyle w:val="4"/>
        <w:spacing w:line="360" w:lineRule="auto"/>
        <w:rPr>
          <w:rFonts w:ascii="仿宋_GB2312" w:eastAsia="仿宋_GB2312"/>
          <w:b w:val="0"/>
          <w:bCs w:val="0"/>
        </w:rPr>
      </w:pPr>
      <w:bookmarkStart w:id="18" w:name="_Toc68703841"/>
      <w:r>
        <w:rPr>
          <w:rFonts w:hint="eastAsia" w:ascii="仿宋_GB2312" w:eastAsia="仿宋_GB2312"/>
          <w:b w:val="0"/>
          <w:bCs w:val="0"/>
        </w:rPr>
        <w:t>（四）项目效益情况。</w:t>
      </w:r>
      <w:bookmarkEnd w:id="18"/>
    </w:p>
    <w:p>
      <w:pPr>
        <w:spacing w:line="360" w:lineRule="auto"/>
        <w:ind w:firstLine="600" w:firstLineChars="200"/>
        <w:rPr>
          <w:rFonts w:hint="eastAsia"/>
          <w:color w:val="auto"/>
        </w:rPr>
      </w:pPr>
      <w:r>
        <w:rPr>
          <w:rFonts w:hint="eastAsia"/>
          <w:color w:val="auto"/>
        </w:rPr>
        <w:t>效益指标：社会效益指标：</w:t>
      </w:r>
      <w:r>
        <w:rPr>
          <w:rFonts w:hint="eastAsia"/>
          <w:color w:val="auto"/>
          <w:lang w:eastAsia="zh-CN"/>
        </w:rPr>
        <w:t>保障州直破产企业人员基本生活</w:t>
      </w:r>
      <w:r>
        <w:rPr>
          <w:rFonts w:hint="eastAsia"/>
          <w:color w:val="auto"/>
        </w:rPr>
        <w:t>：指标值：</w:t>
      </w:r>
      <w:r>
        <w:rPr>
          <w:rFonts w:hint="eastAsia"/>
          <w:color w:val="auto"/>
          <w:lang w:eastAsia="zh-CN"/>
        </w:rPr>
        <w:t>有效保障</w:t>
      </w:r>
      <w:r>
        <w:rPr>
          <w:rFonts w:hint="eastAsia"/>
          <w:color w:val="auto"/>
        </w:rPr>
        <w:t>，实际完</w:t>
      </w:r>
      <w:r>
        <w:rPr>
          <w:rFonts w:hint="eastAsia"/>
          <w:color w:val="auto"/>
          <w:highlight w:val="none"/>
        </w:rPr>
        <w:t>成值</w:t>
      </w:r>
      <w:r>
        <w:rPr>
          <w:rFonts w:hint="eastAsia"/>
          <w:color w:val="auto"/>
          <w:highlight w:val="none"/>
          <w:lang w:eastAsia="zh-CN"/>
        </w:rPr>
        <w:t>：达成目标</w:t>
      </w:r>
      <w:r>
        <w:rPr>
          <w:rFonts w:hint="eastAsia"/>
          <w:color w:val="auto"/>
          <w:highlight w:val="none"/>
        </w:rPr>
        <w:t>，指</w:t>
      </w:r>
      <w:r>
        <w:rPr>
          <w:rFonts w:hint="eastAsia"/>
          <w:color w:val="auto"/>
        </w:rPr>
        <w:t>标完成率</w:t>
      </w:r>
      <w:r>
        <w:rPr>
          <w:color w:val="auto"/>
        </w:rPr>
        <w:t xml:space="preserve"> 100</w:t>
      </w:r>
      <w:r>
        <w:rPr>
          <w:rFonts w:hint="eastAsia"/>
          <w:color w:val="auto"/>
        </w:rPr>
        <w:t>%，</w:t>
      </w:r>
      <w:r>
        <w:rPr>
          <w:rFonts w:hint="eastAsia"/>
          <w:color w:val="auto"/>
          <w:lang w:eastAsia="zh-CN"/>
        </w:rPr>
        <w:t>无</w:t>
      </w:r>
      <w:r>
        <w:rPr>
          <w:rFonts w:hint="eastAsia"/>
          <w:color w:val="auto"/>
        </w:rPr>
        <w:t>偏差原因；</w:t>
      </w:r>
    </w:p>
    <w:p>
      <w:pPr>
        <w:spacing w:line="360" w:lineRule="auto"/>
        <w:ind w:firstLine="600" w:firstLineChars="200"/>
        <w:rPr>
          <w:color w:val="FF0000"/>
        </w:rPr>
      </w:pPr>
      <w:r>
        <w:rPr>
          <w:rFonts w:hint="eastAsia"/>
          <w:color w:val="auto"/>
          <w:lang w:eastAsia="zh-CN"/>
        </w:rPr>
        <w:t>满意度</w:t>
      </w:r>
      <w:r>
        <w:rPr>
          <w:rFonts w:hint="eastAsia"/>
          <w:color w:val="auto"/>
        </w:rPr>
        <w:t>指标：</w:t>
      </w:r>
      <w:r>
        <w:rPr>
          <w:rFonts w:hint="eastAsia"/>
          <w:color w:val="auto"/>
          <w:lang w:eastAsia="zh-CN"/>
        </w:rPr>
        <w:t>州直破产企业人员补助对象满意度：</w:t>
      </w:r>
      <w:r>
        <w:rPr>
          <w:rFonts w:hint="eastAsia"/>
          <w:color w:val="auto"/>
        </w:rPr>
        <w:t>指标值：≥</w:t>
      </w:r>
      <w:r>
        <w:rPr>
          <w:rFonts w:hint="eastAsia"/>
          <w:color w:val="auto"/>
          <w:lang w:val="en-US" w:eastAsia="zh-CN"/>
        </w:rPr>
        <w:t>96%</w:t>
      </w:r>
      <w:r>
        <w:rPr>
          <w:rFonts w:hint="eastAsia"/>
          <w:color w:val="auto"/>
        </w:rPr>
        <w:t>，实际完成值</w:t>
      </w:r>
      <w:r>
        <w:rPr>
          <w:rFonts w:hint="eastAsia"/>
          <w:color w:val="auto"/>
          <w:lang w:val="en-US" w:eastAsia="zh-CN"/>
        </w:rPr>
        <w:t>96%</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无</w:t>
      </w:r>
      <w:r>
        <w:rPr>
          <w:rFonts w:hint="eastAsia"/>
          <w:color w:val="auto"/>
        </w:rPr>
        <w:t>偏差原因。</w:t>
      </w:r>
    </w:p>
    <w:p>
      <w:pPr>
        <w:pStyle w:val="3"/>
        <w:spacing w:line="360" w:lineRule="auto"/>
        <w:rPr>
          <w:rFonts w:ascii="宋体" w:hAnsi="宋体" w:eastAsia="宋体"/>
          <w:sz w:val="32"/>
          <w:szCs w:val="32"/>
        </w:rPr>
      </w:pPr>
      <w:bookmarkStart w:id="19" w:name="_Toc68703842"/>
      <w:r>
        <w:rPr>
          <w:rFonts w:hint="eastAsia" w:ascii="宋体" w:hAnsi="宋体" w:eastAsia="宋体"/>
          <w:sz w:val="32"/>
          <w:szCs w:val="32"/>
        </w:rPr>
        <w:t>五、主要经验及做法、存在的问题及原因分析</w:t>
      </w:r>
      <w:bookmarkEnd w:id="19"/>
    </w:p>
    <w:p>
      <w:pPr>
        <w:spacing w:line="360" w:lineRule="auto"/>
        <w:rPr>
          <w:rFonts w:hint="eastAsia"/>
          <w:color w:val="auto"/>
          <w:lang w:eastAsia="zh-CN"/>
        </w:rPr>
      </w:pPr>
      <w:bookmarkStart w:id="20" w:name="_Toc68703843"/>
      <w:r>
        <w:rPr>
          <w:rFonts w:hint="eastAsia"/>
          <w:color w:val="auto"/>
          <w:lang w:eastAsia="zh-CN"/>
        </w:rPr>
        <w:t>（一）主要经验及做法</w:t>
      </w:r>
      <w:bookmarkEnd w:id="20"/>
    </w:p>
    <w:p>
      <w:pPr>
        <w:spacing w:line="360" w:lineRule="auto"/>
        <w:ind w:firstLine="600" w:firstLineChars="200"/>
        <w:rPr>
          <w:rFonts w:hint="eastAsia"/>
          <w:color w:val="auto"/>
          <w:lang w:eastAsia="zh-CN"/>
        </w:rPr>
      </w:pPr>
      <w:r>
        <w:rPr>
          <w:rFonts w:hint="eastAsia"/>
          <w:color w:val="auto"/>
          <w:lang w:eastAsia="zh-CN"/>
        </w:rPr>
        <w:t>我县对破产企业人员生活补助的发放，在一定程度上解决了此类困难群众基本的生活费问题。从而拉近了贫富差距，妥善解决关闭破产企业退休人员的生活问题，使我县能够和谐稳定发展。</w:t>
      </w:r>
    </w:p>
    <w:p>
      <w:pPr>
        <w:numPr>
          <w:ilvl w:val="0"/>
          <w:numId w:val="0"/>
        </w:numPr>
        <w:spacing w:line="560" w:lineRule="exact"/>
        <w:jc w:val="left"/>
        <w:rPr>
          <w:rFonts w:hint="eastAsia" w:ascii="宋体" w:hAnsi="宋体" w:eastAsia="宋体"/>
          <w:sz w:val="32"/>
          <w:szCs w:val="32"/>
          <w:lang w:eastAsia="zh-CN"/>
        </w:rPr>
      </w:pPr>
      <w:bookmarkStart w:id="21" w:name="_Toc68703844"/>
      <w:r>
        <w:rPr>
          <w:rFonts w:hint="eastAsia" w:ascii="宋体" w:hAnsi="宋体" w:eastAsia="宋体"/>
          <w:sz w:val="32"/>
          <w:szCs w:val="32"/>
          <w:lang w:eastAsia="zh-CN"/>
        </w:rPr>
        <w:t>（二）存在的问题及原因分析</w:t>
      </w:r>
      <w:bookmarkEnd w:id="21"/>
      <w:bookmarkStart w:id="22" w:name="_Toc68703845"/>
    </w:p>
    <w:p>
      <w:pPr>
        <w:spacing w:line="360" w:lineRule="auto"/>
        <w:ind w:firstLine="600" w:firstLineChars="200"/>
        <w:rPr>
          <w:rFonts w:hint="eastAsia"/>
          <w:color w:val="auto"/>
          <w:lang w:eastAsia="zh-CN"/>
        </w:rPr>
      </w:pPr>
      <w:r>
        <w:rPr>
          <w:rFonts w:hint="eastAsia"/>
          <w:color w:val="auto"/>
          <w:lang w:eastAsia="zh-CN"/>
        </w:rPr>
        <w:t xml:space="preserve">存在的问题是项目前期工作不全面，没有深入细致科学规划地做好各项前期工作，项目实施前期已根据项目建设内容设置绩效目标，但项目绩效目标级绩效指标设置过于笼统，不够细化，在实际实施绩效监控和绩效评价时较为困难。绩效目标的设置应符合量化、细化的要求。 </w:t>
      </w:r>
    </w:p>
    <w:p>
      <w:pPr>
        <w:numPr>
          <w:ilvl w:val="0"/>
          <w:numId w:val="0"/>
        </w:numPr>
        <w:spacing w:line="560" w:lineRule="exact"/>
        <w:jc w:val="left"/>
        <w:rPr>
          <w:rFonts w:hint="eastAsia" w:ascii="仿宋_GB2312" w:hAnsi="仿宋" w:eastAsia="仿宋_GB2312" w:cs="宋体"/>
          <w:color w:val="333333"/>
          <w:sz w:val="32"/>
          <w:szCs w:val="32"/>
        </w:rPr>
      </w:pPr>
      <w:r>
        <w:rPr>
          <w:rFonts w:hint="eastAsia" w:ascii="宋体" w:hAnsi="宋体" w:eastAsia="宋体"/>
          <w:sz w:val="32"/>
          <w:szCs w:val="32"/>
          <w:lang w:eastAsia="zh-CN"/>
        </w:rPr>
        <w:t>六、</w:t>
      </w:r>
      <w:r>
        <w:rPr>
          <w:rFonts w:hint="eastAsia" w:ascii="宋体" w:hAnsi="宋体" w:eastAsia="宋体"/>
          <w:sz w:val="32"/>
          <w:szCs w:val="32"/>
        </w:rPr>
        <w:t>有关建议</w:t>
      </w:r>
      <w:bookmarkEnd w:id="22"/>
    </w:p>
    <w:p>
      <w:pPr>
        <w:spacing w:line="360" w:lineRule="auto"/>
        <w:ind w:firstLine="600" w:firstLineChars="200"/>
        <w:rPr>
          <w:rFonts w:hint="eastAsia"/>
          <w:color w:val="auto"/>
          <w:lang w:eastAsia="zh-CN"/>
        </w:rPr>
      </w:pPr>
      <w:r>
        <w:rPr>
          <w:rFonts w:hint="eastAsia"/>
          <w:color w:val="auto"/>
          <w:lang w:eastAsia="zh-CN"/>
        </w:rPr>
        <w:t>制定明确的验收标准，加强绩效管理，完善年度绩效目标，保证项目实施效果。</w:t>
      </w:r>
    </w:p>
    <w:p>
      <w:pPr>
        <w:spacing w:line="360" w:lineRule="auto"/>
        <w:ind w:firstLine="600" w:firstLineChars="200"/>
        <w:rPr>
          <w:rFonts w:hint="eastAsia"/>
          <w:color w:val="auto"/>
          <w:lang w:eastAsia="zh-CN"/>
        </w:rPr>
      </w:pPr>
      <w:r>
        <w:rPr>
          <w:rFonts w:hint="eastAsia"/>
          <w:color w:val="auto"/>
          <w:lang w:eastAsia="zh-CN"/>
        </w:rPr>
        <w:t>项目预算部门应根据项目的相关管理制度或预申报资金情况，制定明确的验收标准，同时，完善绩效管理系统，对于项目的实施，根据年度实施项目内容，设置合理的绩效指标，严格按照指向明确、具体细化和合理可行这三个标准，设定项目绩效目标，从而能更有利的推动项目实施效果。</w:t>
      </w:r>
    </w:p>
    <w:p>
      <w:pPr>
        <w:pStyle w:val="3"/>
        <w:spacing w:line="360" w:lineRule="auto"/>
        <w:rPr>
          <w:rFonts w:ascii="宋体" w:hAnsi="宋体" w:eastAsia="宋体"/>
          <w:sz w:val="32"/>
          <w:szCs w:val="32"/>
        </w:rPr>
      </w:pPr>
      <w:bookmarkStart w:id="23" w:name="_Toc68703846"/>
      <w:r>
        <w:rPr>
          <w:rFonts w:hint="eastAsia" w:ascii="宋体" w:hAnsi="宋体" w:eastAsia="宋体"/>
          <w:sz w:val="32"/>
          <w:szCs w:val="32"/>
        </w:rPr>
        <w:t>七、其他需要说明的问</w:t>
      </w:r>
      <w:bookmarkStart w:id="24" w:name="_GoBack"/>
      <w:bookmarkEnd w:id="24"/>
      <w:r>
        <w:rPr>
          <w:rFonts w:hint="eastAsia" w:ascii="宋体" w:hAnsi="宋体" w:eastAsia="宋体"/>
          <w:sz w:val="32"/>
          <w:szCs w:val="32"/>
        </w:rPr>
        <w:t>题</w:t>
      </w:r>
      <w:bookmarkEnd w:id="23"/>
    </w:p>
    <w:p>
      <w:pPr>
        <w:spacing w:line="560" w:lineRule="exact"/>
        <w:ind w:firstLine="640" w:firstLineChars="200"/>
        <w:jc w:val="left"/>
        <w:rPr>
          <w:rFonts w:ascii="仿宋_GB2312" w:hAnsi="仿宋" w:eastAsia="仿宋_GB2312" w:cs="宋体"/>
          <w:color w:val="333333"/>
          <w:sz w:val="32"/>
          <w:szCs w:val="32"/>
        </w:rPr>
      </w:pPr>
      <w:r>
        <w:rPr>
          <w:rFonts w:hint="eastAsia" w:ascii="Times New Roman" w:hAnsi="Times New Roman" w:eastAsia="仿宋_GB2312"/>
          <w:color w:val="333333"/>
          <w:sz w:val="32"/>
          <w:szCs w:val="32"/>
        </w:rPr>
        <w:t xml:space="preserve">  </w:t>
      </w:r>
      <w:r>
        <w:rPr>
          <w:rFonts w:hint="eastAsia" w:ascii="仿宋_GB2312" w:hAnsi="仿宋" w:eastAsia="仿宋_GB2312" w:cs="宋体"/>
          <w:color w:val="333333"/>
          <w:sz w:val="32"/>
          <w:szCs w:val="32"/>
        </w:rPr>
        <w:t>本次预算绩效评价所采集的数据因为采集时间、数据来源等诸多因素的影响，可能会出现一定的偏差，进而对评价结果存在影响。</w:t>
      </w:r>
    </w:p>
    <w:p>
      <w:pPr>
        <w:spacing w:line="360" w:lineRule="auto"/>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5435E1"/>
    <w:multiLevelType w:val="singleLevel"/>
    <w:tmpl w:val="885435E1"/>
    <w:lvl w:ilvl="0" w:tentative="0">
      <w:start w:val="5"/>
      <w:numFmt w:val="decimal"/>
      <w:suff w:val="nothing"/>
      <w:lvlText w:val="%1、"/>
      <w:lvlJc w:val="left"/>
    </w:lvl>
  </w:abstractNum>
  <w:abstractNum w:abstractNumId="1">
    <w:nsid w:val="27A6870D"/>
    <w:multiLevelType w:val="singleLevel"/>
    <w:tmpl w:val="27A6870D"/>
    <w:lvl w:ilvl="0" w:tentative="0">
      <w:start w:val="2"/>
      <w:numFmt w:val="chineseCounting"/>
      <w:suff w:val="nothing"/>
      <w:lvlText w:val="%1、"/>
      <w:lvlJc w:val="left"/>
      <w:rPr>
        <w:rFonts w:hint="eastAsia"/>
      </w:rPr>
    </w:lvl>
  </w:abstractNum>
  <w:abstractNum w:abstractNumId="2">
    <w:nsid w:val="7E57EA3C"/>
    <w:multiLevelType w:val="singleLevel"/>
    <w:tmpl w:val="7E57EA3C"/>
    <w:lvl w:ilvl="0" w:tentative="0">
      <w:start w:val="2"/>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hZjQ2MWMwOWIzN2U3MGUzOGZjMjk3Mjk0ZGZlMDE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6203F6A"/>
    <w:rsid w:val="15DA37C6"/>
    <w:rsid w:val="176430DC"/>
    <w:rsid w:val="2732278A"/>
    <w:rsid w:val="2F9A280B"/>
    <w:rsid w:val="30790C96"/>
    <w:rsid w:val="34C85E29"/>
    <w:rsid w:val="36011147"/>
    <w:rsid w:val="3DD619C3"/>
    <w:rsid w:val="3E971F3A"/>
    <w:rsid w:val="3EF744FC"/>
    <w:rsid w:val="3F3020FF"/>
    <w:rsid w:val="4FDB256B"/>
    <w:rsid w:val="5CD9394D"/>
    <w:rsid w:val="622575EA"/>
    <w:rsid w:val="68C37C57"/>
    <w:rsid w:val="774D26F8"/>
    <w:rsid w:val="797A2A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字符"/>
    <w:basedOn w:val="11"/>
    <w:link w:val="3"/>
    <w:qFormat/>
    <w:uiPriority w:val="9"/>
    <w:rPr>
      <w:rFonts w:ascii="Times New Roman" w:hAnsi="Times New Roman" w:eastAsia="仿宋_GB2312" w:cs="Times New Roman"/>
      <w:b/>
      <w:bCs/>
      <w:kern w:val="44"/>
      <w:sz w:val="44"/>
      <w:szCs w:val="44"/>
    </w:rPr>
  </w:style>
  <w:style w:type="character" w:customStyle="1" w:styleId="14">
    <w:name w:val="标题 2 字符"/>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字符"/>
    <w:basedOn w:val="11"/>
    <w:link w:val="6"/>
    <w:qFormat/>
    <w:uiPriority w:val="99"/>
    <w:rPr>
      <w:rFonts w:ascii="Times New Roman" w:hAnsi="Times New Roman" w:eastAsia="仿宋_GB2312" w:cs="Times New Roman"/>
      <w:sz w:val="18"/>
      <w:szCs w:val="18"/>
    </w:rPr>
  </w:style>
  <w:style w:type="character" w:customStyle="1" w:styleId="17">
    <w:name w:val="页脚 字符"/>
    <w:basedOn w:val="11"/>
    <w:link w:val="5"/>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2</TotalTime>
  <ScaleCrop>false</ScaleCrop>
  <LinksUpToDate>false</LinksUpToDate>
  <CharactersWithSpaces>7342</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2024-05-14T12:21:43Z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C10A60A6D9144BF185A63F71A217C929_12</vt:lpwstr>
  </property>
</Properties>
</file>