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hint="default" w:ascii="宋体" w:hAnsi="宋体" w:eastAsia="宋体" w:cs="宋体"/>
          <w:b/>
          <w:bCs/>
          <w:kern w:val="0"/>
          <w:sz w:val="32"/>
          <w:szCs w:val="32"/>
          <w:lang w:val="en-US" w:eastAsia="zh-CN"/>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b/>
          <w:bCs/>
          <w:kern w:val="0"/>
          <w:sz w:val="32"/>
          <w:szCs w:val="32"/>
          <w:lang w:val="en-US" w:eastAsia="zh-CN"/>
        </w:rPr>
        <w:t>2023年重大传染病补助资金项目</w:t>
      </w:r>
    </w:p>
    <w:p>
      <w:pPr>
        <w:spacing w:line="560" w:lineRule="exact"/>
        <w:ind w:firstLine="321" w:firstLineChars="100"/>
        <w:rPr>
          <w:rFonts w:ascii="宋体" w:hAnsi="宋体" w:eastAsia="宋体" w:cs="宋体"/>
          <w:b/>
          <w:bCs/>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焉耆县疾病预防控制中心</w:t>
      </w:r>
      <w:r>
        <w:rPr>
          <w:rFonts w:ascii="宋体" w:hAnsi="宋体" w:eastAsia="宋体" w:cs="宋体"/>
          <w:b/>
          <w:bCs/>
          <w:kern w:val="0"/>
          <w:sz w:val="32"/>
          <w:szCs w:val="32"/>
        </w:rPr>
        <w:t xml:space="preserve"> </w:t>
      </w:r>
    </w:p>
    <w:p>
      <w:pPr>
        <w:spacing w:line="560" w:lineRule="exact"/>
        <w:ind w:firstLine="321" w:firstLineChars="100"/>
        <w:rPr>
          <w:rFonts w:hint="eastAsia" w:ascii="宋体" w:hAnsi="宋体" w:eastAsia="宋体" w:cs="宋体"/>
          <w:b/>
          <w:bCs/>
          <w:kern w:val="0"/>
          <w:sz w:val="32"/>
          <w:szCs w:val="32"/>
          <w:lang w:eastAsia="zh-CN"/>
        </w:rPr>
      </w:pPr>
      <w:r>
        <w:rPr>
          <w:rFonts w:hint="eastAsia" w:ascii="宋体" w:hAnsi="宋体" w:eastAsia="宋体" w:cs="仿宋_GB2312"/>
          <w:b/>
          <w:bCs/>
          <w:color w:val="000000"/>
          <w:kern w:val="0"/>
          <w:sz w:val="32"/>
          <w:szCs w:val="32"/>
        </w:rPr>
        <w:t>主管部门（公章）：</w:t>
      </w:r>
      <w:r>
        <w:rPr>
          <w:rFonts w:ascii="宋体" w:hAnsi="宋体" w:eastAsia="宋体" w:cs="宋体"/>
          <w:b/>
          <w:bCs/>
          <w:kern w:val="0"/>
          <w:sz w:val="32"/>
          <w:szCs w:val="32"/>
        </w:rPr>
        <w:t xml:space="preserve"> </w:t>
      </w:r>
      <w:r>
        <w:rPr>
          <w:rFonts w:hint="eastAsia" w:ascii="宋体" w:hAnsi="宋体" w:eastAsia="宋体" w:cs="宋体"/>
          <w:b/>
          <w:bCs/>
          <w:kern w:val="0"/>
          <w:sz w:val="32"/>
          <w:szCs w:val="32"/>
          <w:lang w:eastAsia="zh-CN"/>
        </w:rPr>
        <w:t>焉耆县卫生健康委员会</w:t>
      </w:r>
    </w:p>
    <w:p>
      <w:pPr>
        <w:spacing w:line="560" w:lineRule="exact"/>
        <w:ind w:firstLine="321" w:firstLineChars="100"/>
        <w:rPr>
          <w:rFonts w:ascii="宋体" w:hAnsi="宋体" w:eastAsia="宋体" w:cs="宋体"/>
          <w:b/>
          <w:bCs/>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kern w:val="0"/>
          <w:sz w:val="32"/>
          <w:szCs w:val="32"/>
          <w:lang w:eastAsia="zh-CN"/>
        </w:rPr>
        <w:t>韩喜贤</w:t>
      </w:r>
      <w:r>
        <w:rPr>
          <w:rFonts w:ascii="宋体" w:hAnsi="宋体" w:eastAsia="宋体" w:cs="宋体"/>
          <w:b/>
          <w:bCs/>
          <w:kern w:val="0"/>
          <w:sz w:val="32"/>
          <w:szCs w:val="32"/>
        </w:rPr>
        <w:t xml:space="preserve"> </w:t>
      </w:r>
    </w:p>
    <w:p>
      <w:pPr>
        <w:spacing w:line="560" w:lineRule="exact"/>
        <w:ind w:firstLine="321" w:firstLineChars="1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年0</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月</w:t>
      </w:r>
      <w:r>
        <w:rPr>
          <w:rFonts w:hint="eastAsia" w:ascii="宋体" w:hAnsi="宋体" w:eastAsia="宋体" w:cs="仿宋_GB2312"/>
          <w:b/>
          <w:bCs/>
          <w:color w:val="000000"/>
          <w:kern w:val="0"/>
          <w:sz w:val="32"/>
          <w:szCs w:val="32"/>
          <w:lang w:val="en-US" w:eastAsia="zh-CN"/>
        </w:rPr>
        <w:t>20</w:t>
      </w:r>
      <w:r>
        <w:rPr>
          <w:rFonts w:hint="eastAsia" w:ascii="宋体" w:hAnsi="宋体" w:eastAsia="宋体" w:cs="仿宋_GB2312"/>
          <w:b/>
          <w:bCs/>
          <w:color w:val="000000"/>
          <w:kern w:val="0"/>
          <w:sz w:val="32"/>
          <w:szCs w:val="32"/>
        </w:rPr>
        <w:t>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9"/>
            <w:jc w:val="center"/>
            <w:rPr>
              <w:rFonts w:ascii="宋体" w:hAnsi="宋体" w:eastAsia="宋体"/>
              <w:b/>
              <w:bCs/>
              <w:color w:val="auto"/>
              <w:lang w:val="zh-CN"/>
            </w:rPr>
          </w:pPr>
          <w:r>
            <w:rPr>
              <w:rFonts w:ascii="宋体" w:hAnsi="宋体" w:eastAsia="宋体"/>
              <w:b/>
              <w:bCs/>
              <w:color w:val="auto"/>
              <w:lang w:val="zh-CN"/>
            </w:rPr>
            <w:t>目录</w:t>
          </w:r>
        </w:p>
        <w:p>
          <w:pPr>
            <w:pStyle w:val="9"/>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6"/>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"_Toc68703828" </w:instrText>
          </w:r>
          <w:r>
            <w:fldChar w:fldCharType="separate"/>
          </w:r>
          <w:r>
            <w:rPr>
              <w:rStyle w:val="16"/>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"_Toc68703829" </w:instrText>
          </w:r>
          <w:r>
            <w:fldChar w:fldCharType="separate"/>
          </w:r>
          <w:r>
            <w:rPr>
              <w:rStyle w:val="16"/>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"_Toc68703830" </w:instrText>
          </w:r>
          <w:r>
            <w:fldChar w:fldCharType="separate"/>
          </w:r>
          <w:r>
            <w:rPr>
              <w:rStyle w:val="16"/>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"_Toc68703831" </w:instrText>
          </w:r>
          <w:r>
            <w:fldChar w:fldCharType="separate"/>
          </w:r>
          <w:r>
            <w:rPr>
              <w:rStyle w:val="16"/>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"_Toc68703832" </w:instrText>
          </w:r>
          <w:r>
            <w:fldChar w:fldCharType="separate"/>
          </w:r>
          <w:r>
            <w:rPr>
              <w:rStyle w:val="16"/>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"_Toc68703833" </w:instrText>
          </w:r>
          <w:r>
            <w:fldChar w:fldCharType="separate"/>
          </w:r>
          <w:r>
            <w:rPr>
              <w:rStyle w:val="16"/>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"_Toc68703834" </w:instrText>
          </w:r>
          <w:r>
            <w:fldChar w:fldCharType="separate"/>
          </w:r>
          <w:r>
            <w:rPr>
              <w:rStyle w:val="16"/>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"_Toc68703835" </w:instrText>
          </w:r>
          <w:r>
            <w:fldChar w:fldCharType="separate"/>
          </w:r>
          <w:r>
            <w:rPr>
              <w:rStyle w:val="16"/>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"_Toc68703836" </w:instrText>
          </w:r>
          <w:r>
            <w:fldChar w:fldCharType="separate"/>
          </w:r>
          <w:r>
            <w:rPr>
              <w:rStyle w:val="16"/>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"_Toc68703837" </w:instrText>
          </w:r>
          <w:r>
            <w:fldChar w:fldCharType="separate"/>
          </w:r>
          <w:r>
            <w:rPr>
              <w:rStyle w:val="16"/>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"_Toc68703838" </w:instrText>
          </w:r>
          <w:r>
            <w:fldChar w:fldCharType="separate"/>
          </w:r>
          <w:r>
            <w:rPr>
              <w:rStyle w:val="16"/>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"_Toc68703839" </w:instrText>
          </w:r>
          <w:r>
            <w:fldChar w:fldCharType="separate"/>
          </w:r>
          <w:r>
            <w:rPr>
              <w:rStyle w:val="16"/>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"_Toc68703840" </w:instrText>
          </w:r>
          <w:r>
            <w:fldChar w:fldCharType="separate"/>
          </w:r>
          <w:r>
            <w:rPr>
              <w:rStyle w:val="16"/>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"_Toc68703841" </w:instrText>
          </w:r>
          <w:r>
            <w:fldChar w:fldCharType="separate"/>
          </w:r>
          <w:r>
            <w:rPr>
              <w:rStyle w:val="16"/>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"_Toc68703842" </w:instrText>
          </w:r>
          <w:r>
            <w:fldChar w:fldCharType="separate"/>
          </w:r>
          <w:r>
            <w:rPr>
              <w:rStyle w:val="16"/>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"_Toc68703843" </w:instrText>
          </w:r>
          <w:r>
            <w:fldChar w:fldCharType="separate"/>
          </w:r>
          <w:r>
            <w:rPr>
              <w:rStyle w:val="16"/>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"_Toc68703844" </w:instrText>
          </w:r>
          <w:r>
            <w:fldChar w:fldCharType="separate"/>
          </w:r>
          <w:r>
            <w:rPr>
              <w:rStyle w:val="16"/>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"_Toc68703845" </w:instrText>
          </w:r>
          <w:r>
            <w:fldChar w:fldCharType="separate"/>
          </w:r>
          <w:r>
            <w:rPr>
              <w:rStyle w:val="16"/>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"_Toc68703846" </w:instrText>
          </w:r>
          <w:r>
            <w:fldChar w:fldCharType="separate"/>
          </w:r>
          <w:r>
            <w:rPr>
              <w:rStyle w:val="16"/>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outlineLvl w:val="0"/>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3"/>
        <w:spacing w:line="360" w:lineRule="auto"/>
        <w:ind w:firstLine="643" w:firstLineChars="200"/>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ind w:firstLine="640" w:firstLineChars="200"/>
        <w:rPr>
          <w:rFonts w:ascii="仿宋_GB2312" w:eastAsia="仿宋_GB2312"/>
          <w:b w:val="0"/>
          <w:bCs w:val="0"/>
        </w:rPr>
      </w:pPr>
      <w:bookmarkStart w:id="1" w:name="_Toc68703828"/>
      <w:r>
        <w:rPr>
          <w:rFonts w:hint="eastAsia" w:ascii="仿宋_GB2312" w:eastAsia="仿宋_GB2312"/>
          <w:b w:val="0"/>
          <w:bCs w:val="0"/>
        </w:rPr>
        <w:t>（一）项目概况</w:t>
      </w:r>
      <w:bookmarkEnd w:id="1"/>
    </w:p>
    <w:p>
      <w:pPr>
        <w:spacing w:line="360" w:lineRule="auto"/>
        <w:ind w:firstLine="600" w:firstLineChars="200"/>
        <w:rPr>
          <w:rFonts w:hint="eastAsia" w:ascii="仿宋_GB2312"/>
        </w:rPr>
      </w:pPr>
      <w:r>
        <w:rPr>
          <w:rFonts w:hint="eastAsia" w:ascii="仿宋_GB2312"/>
          <w:lang w:val="en-US" w:eastAsia="zh-CN"/>
        </w:rPr>
        <w:t>1、</w:t>
      </w:r>
      <w:r>
        <w:rPr>
          <w:rFonts w:hint="eastAsia" w:ascii="仿宋_GB2312"/>
        </w:rPr>
        <w:t>项目背景</w:t>
      </w:r>
    </w:p>
    <w:p>
      <w:pPr>
        <w:spacing w:line="360" w:lineRule="auto"/>
        <w:ind w:firstLine="600" w:firstLineChars="200"/>
        <w:rPr>
          <w:rFonts w:hint="default"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根据《自治区重大传染病项目实施方案》结合焉耆县疾控中心工作职责， 积极开</w:t>
      </w:r>
      <w:r>
        <w:rPr>
          <w:rFonts w:hint="eastAsia" w:ascii="仿宋" w:hAnsi="仿宋" w:eastAsia="仿宋" w:cs="仿宋"/>
          <w:b w:val="0"/>
          <w:bCs w:val="0"/>
          <w:kern w:val="2"/>
          <w:sz w:val="30"/>
          <w:szCs w:val="24"/>
          <w:lang w:val="en-US" w:eastAsia="zh-CN" w:bidi="ar-SA"/>
        </w:rPr>
        <w:t>展主要用于对全县居民健康问题实施干预措施，减少主要健康危险因素，使城乡居民逐步享有均等化的基本公共卫生服务，重大疾病和主要健康危险因素得到有效控制，城乡居民健康水平得到进一步提高。</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00" w:firstLineChars="200"/>
        <w:jc w:val="both"/>
        <w:textAlignment w:val="auto"/>
        <w:outlineLvl w:val="9"/>
        <w:rPr>
          <w:rFonts w:hint="eastAsia" w:ascii="仿宋" w:hAnsi="仿宋" w:eastAsia="仿宋" w:cs="仿宋"/>
          <w:sz w:val="30"/>
        </w:rPr>
      </w:pPr>
      <w:r>
        <w:rPr>
          <w:rFonts w:hint="eastAsia" w:ascii="仿宋_GB2312"/>
        </w:rPr>
        <w:t>主要内容：</w:t>
      </w:r>
      <w:r>
        <w:rPr>
          <w:rFonts w:hint="eastAsia" w:ascii="仿宋" w:hAnsi="仿宋" w:eastAsia="仿宋" w:cs="仿宋"/>
          <w:sz w:val="30"/>
        </w:rPr>
        <w:t>有效预防和控制</w:t>
      </w:r>
      <w:r>
        <w:rPr>
          <w:rFonts w:hint="eastAsia" w:ascii="仿宋" w:hAnsi="仿宋" w:eastAsia="仿宋" w:cs="仿宋"/>
          <w:sz w:val="30"/>
          <w:lang w:eastAsia="zh-CN"/>
        </w:rPr>
        <w:t>全县</w:t>
      </w:r>
      <w:r>
        <w:rPr>
          <w:rFonts w:hint="eastAsia" w:ascii="仿宋" w:hAnsi="仿宋" w:eastAsia="仿宋" w:cs="仿宋"/>
          <w:sz w:val="30"/>
        </w:rPr>
        <w:t>主要传染病及慢性病，保障城乡居民获得最基本、最有效的公共卫生服务，缩小城乡居民基本公共卫生服务差距。</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color w:val="FF0000"/>
        </w:rPr>
      </w:pPr>
      <w:r>
        <w:rPr>
          <w:rFonts w:hint="eastAsia" w:ascii="仿宋" w:hAnsi="仿宋" w:eastAsia="仿宋" w:cs="仿宋"/>
          <w:sz w:val="30"/>
        </w:rPr>
        <w:t>实施情况：全年能够按照上级的实施方案要求和计划进度开展项目工作，完成全县项目实施</w:t>
      </w:r>
      <w:r>
        <w:rPr>
          <w:rFonts w:hint="eastAsia" w:ascii="仿宋" w:hAnsi="仿宋" w:eastAsia="仿宋" w:cs="仿宋"/>
          <w:highlight w:val="none"/>
        </w:rPr>
        <w:t>进一步减少结核感染、患病和死亡,切实降低</w:t>
      </w:r>
      <w:r>
        <w:rPr>
          <w:rFonts w:hint="eastAsia" w:ascii="仿宋" w:hAnsi="仿宋" w:eastAsia="仿宋" w:cs="仿宋"/>
          <w:highlight w:val="none"/>
          <w:lang w:eastAsia="zh-CN"/>
        </w:rPr>
        <w:t>结核</w:t>
      </w:r>
      <w:r>
        <w:rPr>
          <w:rFonts w:hint="eastAsia" w:ascii="仿宋" w:hAnsi="仿宋" w:eastAsia="仿宋" w:cs="仿宋"/>
          <w:highlight w:val="none"/>
        </w:rPr>
        <w:t>病疾病负担,控制包虫病等重点寄生虫病的流行,提高人民群众健康水平</w:t>
      </w:r>
      <w:r>
        <w:rPr>
          <w:rFonts w:hint="eastAsia" w:ascii="仿宋" w:hAnsi="仿宋" w:eastAsia="仿宋" w:cs="仿宋"/>
          <w:highlight w:val="none"/>
          <w:lang w:eastAsia="zh-CN"/>
        </w:rPr>
        <w:t>，</w:t>
      </w:r>
      <w:r>
        <w:rPr>
          <w:rFonts w:hint="eastAsia" w:ascii="仿宋" w:hAnsi="仿宋" w:eastAsia="仿宋" w:cs="仿宋"/>
          <w:sz w:val="30"/>
        </w:rPr>
        <w:t>在规定的时限内完成</w:t>
      </w:r>
      <w:r>
        <w:rPr>
          <w:rFonts w:hint="eastAsia" w:ascii="仿宋" w:hAnsi="仿宋" w:eastAsia="仿宋" w:cs="仿宋"/>
          <w:sz w:val="30"/>
          <w:lang w:eastAsia="zh-CN"/>
        </w:rPr>
        <w:t>项目</w:t>
      </w:r>
      <w:r>
        <w:rPr>
          <w:rFonts w:hint="eastAsia" w:ascii="仿宋" w:hAnsi="仿宋" w:eastAsia="仿宋" w:cs="仿宋"/>
          <w:sz w:val="30"/>
        </w:rPr>
        <w:t>年度工作任务，充分利用上级拨付的</w:t>
      </w:r>
      <w:r>
        <w:rPr>
          <w:rFonts w:hint="eastAsia" w:ascii="仿宋" w:hAnsi="仿宋" w:eastAsia="仿宋" w:cs="仿宋"/>
          <w:sz w:val="30"/>
          <w:lang w:eastAsia="zh-CN"/>
        </w:rPr>
        <w:t>专项</w:t>
      </w:r>
      <w:r>
        <w:rPr>
          <w:rFonts w:hint="eastAsia" w:ascii="仿宋" w:hAnsi="仿宋" w:eastAsia="仿宋" w:cs="仿宋"/>
          <w:sz w:val="30"/>
        </w:rPr>
        <w:t>资金</w:t>
      </w:r>
      <w:r>
        <w:rPr>
          <w:rFonts w:hint="eastAsia" w:ascii="仿宋" w:hAnsi="仿宋" w:eastAsia="仿宋" w:cs="仿宋"/>
          <w:sz w:val="30"/>
          <w:lang w:eastAsia="zh-CN"/>
        </w:rPr>
        <w:t>，</w:t>
      </w:r>
      <w:r>
        <w:rPr>
          <w:rFonts w:hint="eastAsia" w:ascii="仿宋" w:hAnsi="仿宋" w:eastAsia="仿宋" w:cs="仿宋"/>
          <w:sz w:val="30"/>
        </w:rPr>
        <w:t>完成</w:t>
      </w:r>
      <w:r>
        <w:rPr>
          <w:rFonts w:hint="eastAsia" w:ascii="仿宋" w:hAnsi="仿宋" w:eastAsia="仿宋" w:cs="仿宋"/>
          <w:sz w:val="30"/>
          <w:lang w:eastAsia="zh-CN"/>
        </w:rPr>
        <w:t>全县各乡镇</w:t>
      </w:r>
      <w:r>
        <w:rPr>
          <w:rFonts w:hint="eastAsia" w:ascii="仿宋" w:hAnsi="仿宋" w:eastAsia="仿宋" w:cs="仿宋"/>
          <w:sz w:val="30"/>
        </w:rPr>
        <w:t>包虫病等重点寄生虫病</w:t>
      </w:r>
      <w:r>
        <w:rPr>
          <w:rFonts w:hint="eastAsia" w:ascii="仿宋" w:hAnsi="仿宋" w:eastAsia="仿宋" w:cs="仿宋"/>
          <w:sz w:val="30"/>
          <w:lang w:eastAsia="zh-CN"/>
        </w:rPr>
        <w:t>、艾滋病、结核病、慢性病等筛查工作任务。有效预防焉耆县传染病的传播，切实维护人民群众身体健康和生命安全。</w:t>
      </w:r>
    </w:p>
    <w:p>
      <w:pPr>
        <w:spacing w:line="360" w:lineRule="auto"/>
        <w:ind w:firstLine="600" w:firstLineChars="200"/>
        <w:rPr>
          <w:rFonts w:ascii="仿宋_GB2312"/>
        </w:rPr>
      </w:pPr>
      <w:r>
        <w:rPr>
          <w:rFonts w:hint="eastAsia" w:ascii="仿宋_GB2312"/>
          <w:lang w:val="en-US" w:eastAsia="zh-CN"/>
        </w:rPr>
        <w:t>3</w:t>
      </w:r>
      <w:r>
        <w:rPr>
          <w:rFonts w:hint="eastAsia" w:ascii="仿宋_GB2312"/>
        </w:rPr>
        <w:t>、资金投入和使用情况</w:t>
      </w:r>
    </w:p>
    <w:p>
      <w:pPr>
        <w:spacing w:line="360" w:lineRule="auto"/>
        <w:ind w:firstLine="600" w:firstLineChars="200"/>
        <w:rPr>
          <w:rFonts w:hint="eastAsia" w:ascii="仿宋" w:hAnsi="仿宋" w:eastAsia="仿宋" w:cs="仿宋"/>
          <w:sz w:val="30"/>
          <w:lang w:eastAsia="zh-CN"/>
        </w:rPr>
      </w:pPr>
      <w:r>
        <w:rPr>
          <w:rFonts w:hint="eastAsia" w:ascii="仿宋" w:hAnsi="仿宋" w:eastAsia="仿宋" w:cs="仿宋"/>
          <w:sz w:val="30"/>
          <w:lang w:eastAsia="zh-CN"/>
        </w:rPr>
        <w:t>资金投入情况：该项</w:t>
      </w:r>
      <w:r>
        <w:rPr>
          <w:rFonts w:hint="eastAsia" w:ascii="仿宋" w:hAnsi="仿宋" w:eastAsia="仿宋" w:cs="仿宋"/>
          <w:sz w:val="30"/>
          <w:lang w:eastAsia="zh-CN"/>
        </w:rPr>
        <w:t>目年初预算数</w:t>
      </w:r>
      <w:r>
        <w:rPr>
          <w:rFonts w:hint="eastAsia" w:ascii="仿宋" w:hAnsi="仿宋" w:eastAsia="仿宋" w:cs="仿宋"/>
          <w:sz w:val="30"/>
          <w:lang w:val="en-US" w:eastAsia="zh-CN"/>
        </w:rPr>
        <w:t>49.96</w:t>
      </w:r>
      <w:r>
        <w:rPr>
          <w:rFonts w:hint="eastAsia" w:ascii="仿宋" w:hAnsi="仿宋" w:eastAsia="仿宋" w:cs="仿宋"/>
          <w:sz w:val="30"/>
          <w:lang w:eastAsia="zh-CN"/>
        </w:rPr>
        <w:t>万元，全年预算数</w:t>
      </w:r>
      <w:r>
        <w:rPr>
          <w:rFonts w:hint="eastAsia" w:ascii="仿宋" w:hAnsi="仿宋" w:eastAsia="仿宋" w:cs="仿宋"/>
          <w:sz w:val="30"/>
          <w:lang w:val="en-US" w:eastAsia="zh-CN"/>
        </w:rPr>
        <w:t>49.96</w:t>
      </w:r>
      <w:r>
        <w:rPr>
          <w:rFonts w:hint="eastAsia" w:ascii="仿宋" w:hAnsi="仿宋" w:eastAsia="仿宋" w:cs="仿宋"/>
          <w:sz w:val="30"/>
          <w:lang w:eastAsia="zh-CN"/>
        </w:rPr>
        <w:t>万元，实际总投入</w:t>
      </w:r>
      <w:r>
        <w:rPr>
          <w:rFonts w:hint="eastAsia" w:ascii="仿宋" w:hAnsi="仿宋" w:eastAsia="仿宋" w:cs="仿宋"/>
          <w:sz w:val="30"/>
          <w:lang w:val="en-US" w:eastAsia="zh-CN"/>
        </w:rPr>
        <w:t>49.96</w:t>
      </w:r>
      <w:r>
        <w:rPr>
          <w:rFonts w:hint="eastAsia" w:ascii="仿宋" w:hAnsi="仿宋" w:eastAsia="仿宋" w:cs="仿宋"/>
          <w:sz w:val="30"/>
          <w:lang w:eastAsia="zh-CN"/>
        </w:rPr>
        <w:t>万元，该项目资金已全部落实到位，资金来源为</w:t>
      </w:r>
      <w:r>
        <w:rPr>
          <w:rFonts w:hint="eastAsia" w:ascii="仿宋" w:hAnsi="仿宋" w:eastAsia="仿宋" w:cs="仿宋"/>
          <w:sz w:val="30"/>
          <w:lang w:val="en-US" w:eastAsia="zh-CN"/>
        </w:rPr>
        <w:t>自治区专项资金</w:t>
      </w:r>
      <w:r>
        <w:rPr>
          <w:rFonts w:hint="eastAsia" w:ascii="仿宋" w:hAnsi="仿宋" w:eastAsia="仿宋" w:cs="仿宋"/>
          <w:sz w:val="30"/>
          <w:lang w:eastAsia="zh-CN"/>
        </w:rPr>
        <w:t>。</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ascii="仿宋" w:hAnsi="仿宋" w:eastAsia="仿宋" w:cs="仿宋"/>
          <w:sz w:val="30"/>
          <w:lang w:val="en-US" w:eastAsia="zh-CN"/>
        </w:rPr>
        <w:t>资金使用情况：该项目年初预算数49.96万元，全年预算数49.96万元，全年执行数49.96万元，预算执行率为</w:t>
      </w:r>
      <w:r>
        <w:rPr>
          <w:rFonts w:hint="eastAsia" w:ascii="仿宋" w:hAnsi="仿宋" w:eastAsia="仿宋" w:cs="仿宋"/>
          <w:sz w:val="30"/>
          <w:lang w:val="en-US" w:eastAsia="zh-CN"/>
        </w:rPr>
        <w:t>100%，</w:t>
      </w:r>
      <w:r>
        <w:rPr>
          <w:rFonts w:hint="eastAsia" w:ascii="仿宋" w:hAnsi="仿宋" w:eastAsia="仿宋" w:cs="仿宋"/>
          <w:sz w:val="30"/>
          <w:lang w:val="en-US" w:eastAsia="zh-CN"/>
        </w:rPr>
        <w:t>12.37万元用于艾滋病抗病毒治疗工</w:t>
      </w:r>
      <w:r>
        <w:rPr>
          <w:rFonts w:hint="eastAsia" w:ascii="仿宋" w:hAnsi="仿宋" w:eastAsia="仿宋" w:cs="仿宋"/>
          <w:sz w:val="30"/>
          <w:lang w:eastAsia="zh-CN"/>
        </w:rPr>
        <w:t>作，</w:t>
      </w:r>
      <w:r>
        <w:rPr>
          <w:rFonts w:hint="eastAsia" w:ascii="仿宋" w:hAnsi="仿宋" w:eastAsia="仿宋" w:cs="仿宋"/>
          <w:sz w:val="30"/>
          <w:lang w:val="en-US" w:eastAsia="zh-CN"/>
        </w:rPr>
        <w:t>5.32万元用于包虫病人群主动筛查工作，8.32万元用于慢性病示范区宣传工作，22.22万元用于国家免疫规划疫苗接种工作，1.73万元肺结核患者密切接触检查和随访管理工作</w:t>
      </w:r>
      <w:r>
        <w:rPr>
          <w:rFonts w:hint="eastAsia" w:ascii="仿宋" w:hAnsi="仿宋" w:eastAsia="仿宋" w:cs="仿宋"/>
          <w:sz w:val="30"/>
          <w:lang w:eastAsia="zh-CN"/>
        </w:rPr>
        <w:t>。</w:t>
      </w:r>
    </w:p>
    <w:p>
      <w:pPr>
        <w:pStyle w:val="4"/>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outlineLvl w:val="2"/>
        <w:rPr>
          <w:rFonts w:hint="default" w:ascii="仿宋" w:hAnsi="仿宋" w:eastAsia="仿宋" w:cs="仿宋"/>
          <w:highlight w:val="none"/>
          <w:lang w:val="en-US"/>
        </w:rPr>
      </w:pPr>
      <w:r>
        <w:rPr>
          <w:rFonts w:hint="eastAsia" w:ascii="仿宋" w:hAnsi="仿宋" w:eastAsia="仿宋" w:cs="仿宋"/>
          <w:highlight w:val="none"/>
        </w:rPr>
        <w:t>1、总体目标：</w:t>
      </w:r>
      <w:r>
        <w:rPr>
          <w:rFonts w:hint="eastAsia" w:ascii="仿宋" w:hAnsi="仿宋" w:eastAsia="仿宋" w:cs="仿宋"/>
          <w:highlight w:val="none"/>
          <w:lang w:eastAsia="zh-CN"/>
        </w:rPr>
        <w:t>一是</w:t>
      </w:r>
      <w:r>
        <w:rPr>
          <w:rFonts w:hint="eastAsia" w:ascii="仿宋" w:hAnsi="仿宋" w:eastAsia="仿宋" w:cs="仿宋"/>
          <w:highlight w:val="none"/>
        </w:rPr>
        <w:t>继续为0-6岁适龄儿童常规接种</w:t>
      </w:r>
      <w:r>
        <w:rPr>
          <w:rFonts w:hint="eastAsia" w:ascii="仿宋" w:hAnsi="仿宋" w:eastAsia="仿宋" w:cs="仿宋"/>
          <w:highlight w:val="none"/>
          <w:lang w:eastAsia="zh-CN"/>
        </w:rPr>
        <w:t>工作；二是</w:t>
      </w:r>
    </w:p>
    <w:p>
      <w:pPr>
        <w:pageBreakBefore w:val="0"/>
        <w:widowControl w:val="0"/>
        <w:numPr>
          <w:ilvl w:val="0"/>
          <w:numId w:val="0"/>
        </w:numPr>
        <w:kinsoku/>
        <w:wordWrap/>
        <w:overflowPunct/>
        <w:topLinePunct w:val="0"/>
        <w:autoSpaceDE/>
        <w:autoSpaceDN/>
        <w:bidi w:val="0"/>
        <w:adjustRightInd/>
        <w:snapToGrid/>
        <w:spacing w:line="560" w:lineRule="exact"/>
        <w:textAlignment w:val="auto"/>
      </w:pPr>
      <w:r>
        <w:rPr>
          <w:rFonts w:hint="eastAsia" w:ascii="仿宋" w:hAnsi="仿宋" w:eastAsia="仿宋" w:cs="仿宋"/>
          <w:highlight w:val="none"/>
        </w:rPr>
        <w:t>减少艾滋病新发感染,降低艾滋病病死率,全国艾滋病疫情继续控制在低流行水平,进一步减少结核感染、患病和死亡,切实降低</w:t>
      </w:r>
      <w:r>
        <w:rPr>
          <w:rFonts w:hint="eastAsia" w:ascii="仿宋" w:hAnsi="仿宋" w:eastAsia="仿宋" w:cs="仿宋"/>
          <w:highlight w:val="none"/>
          <w:lang w:eastAsia="zh-CN"/>
        </w:rPr>
        <w:t>结核</w:t>
      </w:r>
      <w:r>
        <w:rPr>
          <w:rFonts w:hint="eastAsia" w:ascii="仿宋" w:hAnsi="仿宋" w:eastAsia="仿宋" w:cs="仿宋"/>
          <w:highlight w:val="none"/>
        </w:rPr>
        <w:t>病疾病负担,控制包虫病等重点寄生虫病的流行,提高人民群众健康水平。</w:t>
      </w:r>
      <w:r>
        <w:rPr>
          <w:rFonts w:hint="eastAsia" w:ascii="仿宋" w:hAnsi="仿宋" w:eastAsia="仿宋" w:cs="仿宋"/>
          <w:highlight w:val="none"/>
          <w:lang w:eastAsia="zh-CN"/>
        </w:rPr>
        <w:t>三是</w:t>
      </w:r>
      <w:r>
        <w:rPr>
          <w:rFonts w:hint="eastAsia" w:ascii="仿宋" w:hAnsi="仿宋" w:eastAsia="仿宋" w:cs="仿宋"/>
          <w:highlight w:val="none"/>
        </w:rPr>
        <w:t>推广慢性呼吸系统疾病、口腔疾病等重点慢性病早期筛查和干预适宜技术,健全完善慢性病及其危险因素险监测网络,以慢性病综合防控示范区和全民健康生活方式行动为抓手,加强慢性病防控能力建设,加强严重精神障碍患者筛查、登记报告和随访服务,开展社会心理服务体系建设试点,提高患者治疗率。</w:t>
      </w:r>
    </w:p>
    <w:p>
      <w:pPr>
        <w:spacing w:line="360" w:lineRule="auto"/>
        <w:ind w:firstLine="600" w:firstLineChars="200"/>
      </w:pPr>
      <w:r>
        <w:t>2</w:t>
      </w:r>
      <w:r>
        <w:rPr>
          <w:rFonts w:hint="eastAsia"/>
        </w:rPr>
        <w:t>、</w:t>
      </w:r>
      <w:r>
        <w:rPr>
          <w:rFonts w:hint="eastAsia" w:ascii="仿宋" w:hAnsi="仿宋" w:eastAsia="仿宋" w:cs="仿宋"/>
          <w:b w:val="0"/>
          <w:bCs w:val="0"/>
          <w:kern w:val="2"/>
          <w:sz w:val="30"/>
          <w:szCs w:val="24"/>
          <w:highlight w:val="none"/>
          <w:lang w:val="en-US" w:eastAsia="zh-CN" w:bidi="ar-SA"/>
        </w:rPr>
        <w:t>阶段性目标：</w:t>
      </w:r>
      <w:r>
        <w:rPr>
          <w:rFonts w:hint="eastAsia" w:ascii="仿宋" w:hAnsi="仿宋" w:eastAsia="仿宋" w:cs="仿宋"/>
          <w:b w:val="0"/>
          <w:bCs w:val="0"/>
          <w:kern w:val="2"/>
          <w:sz w:val="30"/>
          <w:szCs w:val="24"/>
          <w:highlight w:val="none"/>
          <w:lang w:val="en-US" w:eastAsia="zh-CN" w:bidi="ar-SA"/>
        </w:rPr>
        <w:t>开学前做好全县0-6岁适龄儿童的摸排工作，统计适龄儿童接种数量；第二委季度完成多部门合作慢性病综合防控示范区和全民健康生活方式行动的前期准备工作，明确各成员单位责任；第三季度做好在全县各乡镇开展严重精神障碍患者筛查、登记报告和随访服务工作,开展社会心理服务体系建设试点,提高患者治疗率；有效做好焉耆县重大传染病防控工作，切实维护人民群众身体健康和生命安全。</w:t>
      </w:r>
    </w:p>
    <w:p>
      <w:pPr>
        <w:pStyle w:val="3"/>
        <w:pageBreakBefore w:val="0"/>
        <w:widowControl w:val="0"/>
        <w:kinsoku/>
        <w:wordWrap/>
        <w:overflowPunct/>
        <w:topLinePunct w:val="0"/>
        <w:autoSpaceDE/>
        <w:autoSpaceDN/>
        <w:bidi w:val="0"/>
        <w:adjustRightInd/>
        <w:snapToGrid/>
        <w:spacing w:line="560" w:lineRule="atLeast"/>
        <w:ind w:firstLine="964" w:firstLineChars="3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lang w:val="en-US" w:eastAsia="zh-CN"/>
        </w:rPr>
      </w:pPr>
      <w:bookmarkStart w:id="4" w:name="_Toc68703831"/>
      <w:r>
        <w:rPr>
          <w:rFonts w:hint="eastAsia" w:ascii="仿宋_GB2312" w:eastAsia="仿宋_GB2312"/>
          <w:b w:val="0"/>
          <w:bCs w:val="0"/>
          <w:lang w:val="en-US" w:eastAsia="zh-CN"/>
        </w:rPr>
        <w:t>（一）绩效评价目的、对象和范围。</w:t>
      </w:r>
      <w:bookmarkEnd w:id="4"/>
    </w:p>
    <w:p>
      <w:pPr>
        <w:pageBreakBefore w:val="0"/>
        <w:widowControl w:val="0"/>
        <w:kinsoku/>
        <w:wordWrap/>
        <w:overflowPunct/>
        <w:topLinePunct w:val="0"/>
        <w:autoSpaceDE/>
        <w:autoSpaceDN/>
        <w:bidi w:val="0"/>
        <w:adjustRightInd/>
        <w:snapToGrid/>
        <w:spacing w:line="560" w:lineRule="atLeast"/>
        <w:ind w:firstLine="600" w:firstLineChars="200"/>
        <w:textAlignment w:val="auto"/>
        <w:outlineLvl w:val="2"/>
        <w:rPr>
          <w:rFonts w:hint="eastAsia" w:ascii="仿宋" w:hAnsi="仿宋" w:eastAsia="仿宋" w:cs="仿宋"/>
          <w:b w:val="0"/>
          <w:bCs w:val="0"/>
          <w:kern w:val="2"/>
          <w:sz w:val="30"/>
          <w:szCs w:val="24"/>
          <w:highlight w:val="none"/>
          <w:lang w:val="en-US" w:eastAsia="zh-CN" w:bidi="ar-SA"/>
        </w:rPr>
      </w:pPr>
      <w:r>
        <w:rPr>
          <w:rFonts w:hint="eastAsia" w:ascii="仿宋" w:hAnsi="仿宋" w:eastAsia="仿宋" w:cs="仿宋"/>
          <w:b w:val="0"/>
          <w:bCs w:val="0"/>
          <w:kern w:val="2"/>
          <w:sz w:val="30"/>
          <w:szCs w:val="24"/>
          <w:highlight w:val="none"/>
          <w:lang w:val="en-US" w:eastAsia="zh-CN" w:bidi="ar-SA"/>
        </w:rPr>
        <w:t>1、绩效评价目的：</w:t>
      </w:r>
    </w:p>
    <w:p>
      <w:pPr>
        <w:pageBreakBefore w:val="0"/>
        <w:widowControl w:val="0"/>
        <w:kinsoku/>
        <w:wordWrap/>
        <w:overflowPunct/>
        <w:topLinePunct w:val="0"/>
        <w:autoSpaceDE/>
        <w:autoSpaceDN/>
        <w:bidi w:val="0"/>
        <w:adjustRightInd/>
        <w:snapToGrid/>
        <w:spacing w:line="560" w:lineRule="atLeast"/>
        <w:ind w:firstLine="600" w:firstLineChars="200"/>
        <w:jc w:val="left"/>
        <w:textAlignment w:val="auto"/>
        <w:rPr>
          <w:rFonts w:hint="eastAsia" w:ascii="仿宋" w:hAnsi="仿宋" w:eastAsia="仿宋" w:cs="仿宋"/>
          <w:b w:val="0"/>
          <w:bCs w:val="0"/>
          <w:kern w:val="2"/>
          <w:sz w:val="30"/>
          <w:szCs w:val="24"/>
          <w:highlight w:val="none"/>
          <w:lang w:val="en-US" w:eastAsia="zh-CN" w:bidi="ar-SA"/>
        </w:rPr>
      </w:pPr>
      <w:r>
        <w:rPr>
          <w:rFonts w:hint="eastAsia" w:ascii="仿宋" w:hAnsi="仿宋" w:eastAsia="仿宋" w:cs="仿宋"/>
          <w:b w:val="0"/>
          <w:bCs w:val="0"/>
          <w:kern w:val="2"/>
          <w:sz w:val="30"/>
          <w:szCs w:val="24"/>
          <w:highlight w:val="none"/>
          <w:lang w:val="en-US" w:eastAsia="zh-CN" w:bidi="ar-SA"/>
        </w:rPr>
        <w:t>通过绩效评价，客观地评判项目的管理绩效，了解和掌握重大传染病补助资金项目经费的具体情况，评价该项目资金安排的科学性、合理性、规范性和资金的使用成效，及时总结项目管理经验，完善项目管理办法，提高项目管理水平和资金使用效益。促使其我中心根据绩效评价中发现的问题，认真加以整改，及时调整和完善单位的工作计划和绩效目标并加强项目管理，提高管理水平，同时为项目后续资金投入、分配和管理提供决策依据。</w:t>
      </w:r>
    </w:p>
    <w:p>
      <w:pPr>
        <w:pageBreakBefore w:val="0"/>
        <w:widowControl w:val="0"/>
        <w:kinsoku/>
        <w:wordWrap/>
        <w:overflowPunct/>
        <w:topLinePunct w:val="0"/>
        <w:autoSpaceDE/>
        <w:autoSpaceDN/>
        <w:bidi w:val="0"/>
        <w:adjustRightInd/>
        <w:snapToGrid/>
        <w:spacing w:line="560" w:lineRule="atLeast"/>
        <w:ind w:firstLine="600" w:firstLineChars="200"/>
        <w:jc w:val="left"/>
        <w:textAlignment w:val="auto"/>
        <w:outlineLvl w:val="2"/>
      </w:pPr>
      <w:r>
        <w:rPr>
          <w:rFonts w:hint="eastAsia"/>
        </w:rPr>
        <w:t>2、绩效评价对象：</w:t>
      </w:r>
    </w:p>
    <w:p>
      <w:pPr>
        <w:spacing w:line="360" w:lineRule="auto"/>
        <w:ind w:firstLine="600" w:firstLineChars="200"/>
        <w:rPr>
          <w:rFonts w:hint="eastAsia"/>
          <w:lang w:val="en-US" w:eastAsia="zh-CN"/>
        </w:rPr>
      </w:pPr>
      <w:r>
        <w:rPr>
          <w:rFonts w:hint="eastAsia"/>
          <w:lang w:val="en-US" w:eastAsia="zh-CN"/>
        </w:rPr>
        <w:t>2023年重大传染病补助资金项目</w:t>
      </w:r>
    </w:p>
    <w:p>
      <w:pPr>
        <w:spacing w:line="360" w:lineRule="auto"/>
        <w:ind w:firstLine="600" w:firstLineChars="200"/>
      </w:pPr>
      <w:r>
        <w:rPr>
          <w:rFonts w:hint="eastAsia"/>
        </w:rPr>
        <w:t>3、绩效评价范围：</w:t>
      </w:r>
    </w:p>
    <w:p>
      <w:pPr>
        <w:spacing w:line="360" w:lineRule="auto"/>
        <w:ind w:firstLine="600" w:firstLineChars="200"/>
      </w:pPr>
      <w:r>
        <w:rPr>
          <w:rFonts w:hint="eastAsia" w:ascii="仿宋" w:hAnsi="仿宋" w:eastAsia="仿宋" w:cs="仿宋"/>
          <w:b w:val="0"/>
          <w:bCs w:val="0"/>
          <w:kern w:val="2"/>
          <w:sz w:val="30"/>
          <w:szCs w:val="24"/>
          <w:highlight w:val="none"/>
          <w:lang w:val="en-US" w:eastAsia="zh-CN" w:bidi="ar-SA"/>
        </w:rPr>
        <w:t>本次评价从重大传染病补助资金项目决策（包括绩效目标、决策过程）、项目管理（包括项目资金、项目实施）、项目产出（包括项目产出数量、产出质量、产出时效和产出成本）项目效益四个维度进行重大传染病补助资金项目评价，评价核心为专</w:t>
      </w:r>
      <w:r>
        <w:rPr>
          <w:rFonts w:hint="eastAsia"/>
          <w:lang w:val="en-US" w:eastAsia="zh-CN"/>
        </w:rPr>
        <w:t>项资金的支出完成情况和效果。</w:t>
      </w:r>
    </w:p>
    <w:p>
      <w:pPr>
        <w:pStyle w:val="4"/>
        <w:spacing w:line="360" w:lineRule="auto"/>
        <w:ind w:firstLine="320" w:firstLineChars="100"/>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ind w:firstLine="600" w:firstLineChars="200"/>
        <w:outlineLvl w:val="2"/>
      </w:pPr>
      <w:r>
        <w:rPr>
          <w:rFonts w:hint="eastAsia"/>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一）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基本公共项目实施情况评价，确保评价过程及结果客观、公正。</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（二）统筹兼顾。我单位组织评价小组，对基本公共项目实施情况评价，部门评价和财政评价在单位自评的基础上开展，职责明确，各有侧重，相互衔接。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（三）激励约束。绩效评价结果应与资金分配挂钩，建立健全评价结果与与财政预算资金分配挂钩，并作为改进管理、完善政策的重要依据，向上一年度绩效评价考核优秀的部门倾斜。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四）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重大传染病补助资金</w:t>
      </w:r>
      <w:r>
        <w:rPr>
          <w:rFonts w:hint="eastAsia" w:ascii="Times New Roman" w:hAnsi="Times New Roman" w:eastAsia="仿宋_GB2312" w:cs="Times New Roman"/>
          <w:b w:val="0"/>
          <w:bCs w:val="0"/>
          <w:sz w:val="30"/>
          <w:szCs w:val="24"/>
        </w:rPr>
        <w:t>项目支出绩效评价指标体系</w:t>
      </w:r>
    </w:p>
    <w:tbl>
      <w:tblPr>
        <w:tblStyle w:val="13"/>
        <w:tblW w:w="97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75"/>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75"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675"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675"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675"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675"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c>
          <w:tcPr>
            <w:tcW w:w="874" w:type="dxa"/>
            <w:tcBorders>
              <w:bottom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675"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2.5</w:t>
            </w:r>
          </w:p>
        </w:tc>
        <w:tc>
          <w:tcPr>
            <w:tcW w:w="874" w:type="dxa"/>
            <w:tcBorders>
              <w:bottom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675"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2.5</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675"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675"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675"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675"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675"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675"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675"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675"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675"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675"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15</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675"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eastAsia" w:eastAsia="仿宋_GB2312"/>
                <w:b w:val="0"/>
                <w:bCs w:val="0"/>
                <w:lang w:val="en-US" w:eastAsia="zh-CN"/>
              </w:rPr>
            </w:pPr>
            <w:r>
              <w:rPr>
                <w:rFonts w:hint="eastAsia"/>
                <w:b w:val="0"/>
                <w:bCs w:val="0"/>
                <w:lang w:val="en-US" w:eastAsia="zh-CN"/>
              </w:rPr>
              <w:t>5</w:t>
            </w:r>
          </w:p>
        </w:tc>
        <w:tc>
          <w:tcPr>
            <w:tcW w:w="874" w:type="dxa"/>
            <w:shd w:val="clear" w:color="000000" w:fill="FFFFFF"/>
          </w:tcPr>
          <w:p>
            <w:pPr>
              <w:spacing w:line="600" w:lineRule="auto"/>
              <w:jc w:val="center"/>
              <w:rPr>
                <w:rFonts w:hint="eastAsia" w:eastAsia="仿宋_GB2312"/>
                <w:b w:val="0"/>
                <w:bCs w:val="0"/>
                <w:lang w:val="en-US" w:eastAsia="zh-CN"/>
              </w:rPr>
            </w:pPr>
            <w:r>
              <w:rPr>
                <w:rFonts w:hint="eastAsia"/>
                <w:b w:val="0"/>
                <w:bCs w:val="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028"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0"/>
      </w:pPr>
      <w:r>
        <w:rPr>
          <w:rFonts w:hint="eastAsia"/>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本次项目支出绩效自评采用因素分析法，原因是：</w:t>
      </w:r>
      <w:r>
        <w:rPr>
          <w:rFonts w:hint="eastAsia" w:ascii="仿宋" w:hAnsi="仿宋" w:eastAsia="仿宋" w:cs="仿宋"/>
          <w:b w:val="0"/>
          <w:bCs w:val="0"/>
          <w:kern w:val="0"/>
          <w:sz w:val="30"/>
          <w:szCs w:val="30"/>
        </w:rPr>
        <w:t>重大传染病</w:t>
      </w:r>
      <w:r>
        <w:rPr>
          <w:rFonts w:hint="eastAsia" w:ascii="仿宋" w:hAnsi="仿宋" w:eastAsia="仿宋" w:cs="仿宋"/>
          <w:b w:val="0"/>
          <w:bCs w:val="0"/>
          <w:kern w:val="0"/>
          <w:sz w:val="30"/>
          <w:szCs w:val="30"/>
          <w:lang w:eastAsia="zh-CN"/>
        </w:rPr>
        <w:t>补助资金</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val="en-US" w:eastAsia="zh-CN"/>
        </w:rPr>
        <w:t>需要考虑内外部因素产生的影响及量化社会效益进行分析评价，因此选择因素分析法能更好的对</w:t>
      </w:r>
      <w:r>
        <w:rPr>
          <w:rFonts w:hint="eastAsia" w:ascii="仿宋" w:hAnsi="仿宋" w:eastAsia="仿宋" w:cs="仿宋"/>
          <w:b w:val="0"/>
          <w:bCs w:val="0"/>
          <w:kern w:val="0"/>
          <w:sz w:val="30"/>
          <w:szCs w:val="30"/>
        </w:rPr>
        <w:t>重大传染病防控经费项目</w:t>
      </w:r>
      <w:r>
        <w:rPr>
          <w:rFonts w:hint="eastAsia" w:ascii="仿宋" w:hAnsi="仿宋" w:eastAsia="仿宋" w:cs="仿宋"/>
          <w:b w:val="0"/>
          <w:bCs w:val="0"/>
          <w:kern w:val="0"/>
          <w:sz w:val="30"/>
          <w:szCs w:val="30"/>
          <w:lang w:val="en-US" w:eastAsia="zh-CN"/>
        </w:rPr>
        <w:t>的资金进行评价。</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0"/>
      </w:pPr>
      <w:r>
        <w:rPr>
          <w:rFonts w:hint="eastAsia"/>
        </w:rPr>
        <w:t>4、评价标准</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rPr>
        <w:t>本次评价主要采用了计划标准和行业标准。该项目设置年初绩效目标申报表时</w:t>
      </w:r>
      <w:r>
        <w:rPr>
          <w:rFonts w:hint="eastAsia" w:ascii="仿宋" w:hAnsi="仿宋" w:eastAsia="仿宋" w:cs="仿宋"/>
          <w:b w:val="0"/>
          <w:bCs w:val="0"/>
          <w:kern w:val="0"/>
          <w:sz w:val="30"/>
          <w:szCs w:val="30"/>
          <w:lang w:eastAsia="zh-CN"/>
        </w:rPr>
        <w:t>结合本辖区实际情况和本部门年初工作计划，</w:t>
      </w:r>
      <w:r>
        <w:rPr>
          <w:rFonts w:hint="eastAsia" w:ascii="仿宋" w:hAnsi="仿宋" w:eastAsia="仿宋" w:cs="仿宋"/>
          <w:b w:val="0"/>
          <w:bCs w:val="0"/>
          <w:kern w:val="0"/>
          <w:sz w:val="30"/>
          <w:szCs w:val="30"/>
        </w:rPr>
        <w:t>参照国家公布的</w:t>
      </w:r>
      <w:r>
        <w:rPr>
          <w:rFonts w:hint="eastAsia" w:ascii="仿宋" w:hAnsi="仿宋" w:eastAsia="仿宋" w:cs="仿宋"/>
          <w:b w:val="0"/>
          <w:bCs w:val="0"/>
          <w:kern w:val="0"/>
          <w:sz w:val="30"/>
          <w:szCs w:val="30"/>
          <w:lang w:eastAsia="zh-CN"/>
        </w:rPr>
        <w:t>卫生</w:t>
      </w:r>
      <w:r>
        <w:rPr>
          <w:rFonts w:hint="eastAsia" w:ascii="仿宋" w:hAnsi="仿宋" w:eastAsia="仿宋" w:cs="仿宋"/>
          <w:b w:val="0"/>
          <w:bCs w:val="0"/>
          <w:kern w:val="0"/>
          <w:sz w:val="30"/>
          <w:szCs w:val="30"/>
        </w:rPr>
        <w:t>行业指标数据制定的标准</w:t>
      </w:r>
      <w:r>
        <w:rPr>
          <w:rFonts w:hint="eastAsia" w:ascii="仿宋" w:hAnsi="仿宋" w:eastAsia="仿宋" w:cs="仿宋"/>
          <w:b w:val="0"/>
          <w:bCs w:val="0"/>
          <w:kern w:val="0"/>
          <w:sz w:val="30"/>
          <w:szCs w:val="30"/>
          <w:lang w:eastAsia="zh-CN"/>
        </w:rPr>
        <w:t>确定三级指标</w:t>
      </w:r>
      <w:r>
        <w:rPr>
          <w:rFonts w:hint="eastAsia" w:ascii="仿宋" w:hAnsi="仿宋" w:eastAsia="仿宋" w:cs="仿宋"/>
          <w:b w:val="0"/>
          <w:bCs w:val="0"/>
          <w:kern w:val="0"/>
          <w:sz w:val="30"/>
          <w:szCs w:val="30"/>
        </w:rPr>
        <w:t>。采用行业标准，可提高预算编制和预算额度测算准确率，使评价结果更加科学真实。</w:t>
      </w:r>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lang w:val="en-US" w:eastAsia="zh-CN"/>
        </w:rPr>
        <w:t>1.</w:t>
      </w:r>
      <w:r>
        <w:rPr>
          <w:rFonts w:hint="eastAsia" w:ascii="仿宋" w:hAnsi="仿宋" w:eastAsia="仿宋" w:cs="仿宋"/>
          <w:b w:val="0"/>
          <w:bCs w:val="0"/>
          <w:kern w:val="0"/>
          <w:sz w:val="30"/>
          <w:szCs w:val="30"/>
        </w:rPr>
        <w:t>前期准备。首先成立评价工作组，开展前期调研；其次明确项目绩效目标，设计绩效评价指标体系并确定绩效评价方法；接着确定现场和非现场评价范围，设计资料清单；最后制定评价实施方案并进行论证。</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lang w:val="en-US" w:eastAsia="zh-CN"/>
        </w:rPr>
        <w:t>2.</w:t>
      </w:r>
      <w:r>
        <w:rPr>
          <w:rFonts w:hint="eastAsia" w:ascii="仿宋" w:hAnsi="仿宋" w:eastAsia="仿宋" w:cs="仿宋"/>
          <w:b w:val="0"/>
          <w:bCs w:val="0"/>
          <w:kern w:val="0"/>
          <w:sz w:val="30"/>
          <w:szCs w:val="30"/>
        </w:rPr>
        <w:t>组织实施。制定绩效评价工作方案，具体包括项目概况、评价思路、方法手段、组织实施、进度安排等。收集项目立项依据、相关会议纪要、实施方案、财政资金分配方案、支付管理情况等相关评价资料并进行梳理。</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lang w:val="en-US" w:eastAsia="zh-CN"/>
        </w:rPr>
        <w:t>3.</w:t>
      </w:r>
      <w:r>
        <w:rPr>
          <w:rFonts w:hint="eastAsia" w:ascii="仿宋" w:hAnsi="仿宋" w:eastAsia="仿宋" w:cs="仿宋"/>
          <w:b w:val="0"/>
          <w:bCs w:val="0"/>
          <w:kern w:val="0"/>
          <w:sz w:val="30"/>
          <w:szCs w:val="30"/>
        </w:rPr>
        <w:t>分析评价。根据收集梳理的资料围绕项目立项、资金落实、业务管理、财务管理、项目产出、项目效益等内容，对照已确定的绩效评价指标进行详细全面的分析评价，逐项打分并形成绩效评价最终结果。</w:t>
      </w:r>
      <w:bookmarkStart w:id="7" w:name="_Toc68703834"/>
    </w:p>
    <w:p>
      <w:pPr>
        <w:pStyle w:val="3"/>
        <w:spacing w:line="360" w:lineRule="auto"/>
        <w:ind w:firstLine="640" w:firstLineChars="200"/>
        <w:rPr>
          <w:rFonts w:hint="eastAsia" w:ascii="Times New Roman" w:hAnsi="Times New Roman" w:eastAsia="仿宋_GB2312" w:cs="Times New Roman"/>
          <w:b w:val="0"/>
          <w:bCs/>
          <w:color w:val="auto"/>
          <w:kern w:val="2"/>
          <w:sz w:val="32"/>
          <w:szCs w:val="32"/>
          <w:lang w:val="en-US" w:eastAsia="zh-CN" w:bidi="ar-SA"/>
        </w:rPr>
      </w:pPr>
      <w:r>
        <w:rPr>
          <w:rFonts w:hint="eastAsia" w:ascii="Times New Roman" w:hAnsi="Times New Roman" w:eastAsia="仿宋_GB2312" w:cs="Times New Roman"/>
          <w:b w:val="0"/>
          <w:bCs/>
          <w:color w:val="auto"/>
          <w:kern w:val="2"/>
          <w:sz w:val="32"/>
          <w:szCs w:val="32"/>
          <w:lang w:val="en-US" w:eastAsia="zh-CN" w:bidi="ar-SA"/>
        </w:rPr>
        <w:t>三、综合评价情况及评价结论</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b w:val="0"/>
          <w:bCs/>
          <w:color w:val="auto"/>
          <w:kern w:val="2"/>
          <w:sz w:val="32"/>
          <w:szCs w:val="32"/>
          <w:lang w:val="en-US" w:eastAsia="zh-CN" w:bidi="ar-SA"/>
        </w:rPr>
      </w:pPr>
      <w:bookmarkStart w:id="8" w:name="_Toc68703835"/>
      <w:r>
        <w:rPr>
          <w:rFonts w:hint="eastAsia" w:ascii="Times New Roman" w:hAnsi="Times New Roman" w:eastAsia="仿宋_GB2312" w:cs="Times New Roman"/>
          <w:b w:val="0"/>
          <w:bCs/>
          <w:color w:val="auto"/>
          <w:kern w:val="2"/>
          <w:sz w:val="32"/>
          <w:szCs w:val="32"/>
          <w:lang w:val="en-US" w:eastAsia="zh-CN" w:bidi="ar-SA"/>
        </w:rPr>
        <w:t>（一）综合评价情况</w:t>
      </w:r>
      <w:bookmarkEnd w:id="8"/>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本项目严格按照科学公正、统筹兼顾、激励约束、公开透明绩效评价原则，采用因素分析法评价方法，坚持计划标准和行业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outlineLvl w:val="0"/>
        <w:rPr>
          <w:color w:val="auto"/>
        </w:rPr>
      </w:pPr>
      <w:r>
        <w:rPr>
          <w:rFonts w:hint="eastAsia" w:ascii="仿宋" w:hAnsi="仿宋" w:eastAsia="仿宋" w:cs="仿宋"/>
          <w:b w:val="0"/>
          <w:bCs w:val="0"/>
          <w:color w:val="auto"/>
          <w:kern w:val="0"/>
          <w:sz w:val="30"/>
          <w:szCs w:val="30"/>
        </w:rPr>
        <w:t>重大传染病</w:t>
      </w:r>
      <w:r>
        <w:rPr>
          <w:rFonts w:hint="eastAsia" w:ascii="仿宋" w:hAnsi="仿宋" w:eastAsia="仿宋" w:cs="仿宋"/>
          <w:b w:val="0"/>
          <w:bCs w:val="0"/>
          <w:color w:val="auto"/>
          <w:kern w:val="0"/>
          <w:sz w:val="30"/>
          <w:szCs w:val="30"/>
          <w:lang w:eastAsia="zh-CN"/>
        </w:rPr>
        <w:t>补助资金</w:t>
      </w:r>
      <w:r>
        <w:rPr>
          <w:rFonts w:hint="eastAsia" w:ascii="仿宋" w:hAnsi="仿宋" w:eastAsia="仿宋" w:cs="仿宋"/>
          <w:b w:val="0"/>
          <w:bCs w:val="0"/>
          <w:color w:val="auto"/>
          <w:kern w:val="0"/>
          <w:sz w:val="30"/>
          <w:szCs w:val="30"/>
        </w:rPr>
        <w:t>项目</w:t>
      </w:r>
      <w:r>
        <w:rPr>
          <w:rFonts w:hint="eastAsia"/>
          <w:color w:val="auto"/>
        </w:rPr>
        <w:t>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spacing w:line="360" w:lineRule="auto"/>
        <w:ind w:firstLine="640" w:firstLineChars="200"/>
        <w:rPr>
          <w:rFonts w:ascii="仿宋_GB2312" w:eastAsia="仿宋_GB2312"/>
          <w:b w:val="0"/>
          <w:bCs w:val="0"/>
        </w:rPr>
      </w:pPr>
      <w:bookmarkStart w:id="9" w:name="_Toc68703836"/>
      <w:r>
        <w:rPr>
          <w:rFonts w:hint="eastAsia" w:ascii="仿宋_GB2312" w:eastAsia="仿宋_GB2312"/>
          <w:b w:val="0"/>
          <w:bCs w:val="0"/>
        </w:rPr>
        <w:t>（二）评价结论</w:t>
      </w:r>
      <w:bookmarkEnd w:id="9"/>
    </w:p>
    <w:p>
      <w:pPr>
        <w:pageBreakBefore w:val="0"/>
        <w:widowControl w:val="0"/>
        <w:kinsoku/>
        <w:wordWrap/>
        <w:overflowPunct/>
        <w:topLinePunct w:val="0"/>
        <w:autoSpaceDE/>
        <w:autoSpaceDN/>
        <w:bidi w:val="0"/>
        <w:adjustRightIn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rPr>
        <w:t>本项目的项目决策20分，得分20分；项目过程20分，得分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分；产出40分，得分40分，</w:t>
      </w:r>
      <w:r>
        <w:rPr>
          <w:rFonts w:hint="eastAsia" w:ascii="仿宋" w:hAnsi="仿宋" w:eastAsia="仿宋" w:cs="仿宋"/>
          <w:b w:val="0"/>
          <w:bCs w:val="0"/>
          <w:kern w:val="0"/>
          <w:sz w:val="30"/>
          <w:szCs w:val="30"/>
          <w:lang w:eastAsia="zh-CN"/>
        </w:rPr>
        <w:t>产出</w:t>
      </w:r>
      <w:r>
        <w:rPr>
          <w:rFonts w:hint="eastAsia" w:ascii="仿宋" w:hAnsi="仿宋" w:eastAsia="仿宋" w:cs="仿宋"/>
          <w:b w:val="0"/>
          <w:bCs w:val="0"/>
          <w:kern w:val="0"/>
          <w:sz w:val="30"/>
          <w:szCs w:val="30"/>
        </w:rPr>
        <w:t>均达到了预期要求，项目决策20分，得分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分。最终得分为</w:t>
      </w:r>
      <w:r>
        <w:rPr>
          <w:rFonts w:hint="eastAsia" w:ascii="仿宋" w:hAnsi="仿宋" w:eastAsia="仿宋" w:cs="仿宋"/>
          <w:b w:val="0"/>
          <w:bCs w:val="0"/>
          <w:kern w:val="0"/>
          <w:sz w:val="30"/>
          <w:szCs w:val="30"/>
          <w:lang w:val="en-US" w:eastAsia="zh-CN"/>
        </w:rPr>
        <w:t>100</w:t>
      </w:r>
      <w:r>
        <w:rPr>
          <w:rFonts w:hint="eastAsia" w:ascii="仿宋" w:hAnsi="仿宋" w:eastAsia="仿宋" w:cs="仿宋"/>
          <w:b w:val="0"/>
          <w:bCs w:val="0"/>
          <w:kern w:val="0"/>
          <w:sz w:val="30"/>
          <w:szCs w:val="30"/>
        </w:rPr>
        <w:t>分。</w:t>
      </w:r>
    </w:p>
    <w:p>
      <w:pPr>
        <w:pStyle w:val="3"/>
        <w:pageBreakBefore w:val="0"/>
        <w:widowControl w:val="0"/>
        <w:kinsoku/>
        <w:wordWrap/>
        <w:overflowPunct/>
        <w:topLinePunct w:val="0"/>
        <w:autoSpaceDE/>
        <w:autoSpaceDN/>
        <w:bidi w:val="0"/>
        <w:adjustRightInd/>
        <w:snapToGrid/>
        <w:spacing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pPr>
      <w:r>
        <w:rPr>
          <w:rFonts w:hint="eastAsia"/>
        </w:rPr>
        <w:t>1、立项依据充分性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kern w:val="0"/>
          <w:sz w:val="30"/>
          <w:szCs w:val="30"/>
        </w:rPr>
      </w:pPr>
      <w:r>
        <w:rPr>
          <w:rFonts w:hint="eastAsia" w:ascii="仿宋" w:hAnsi="仿宋" w:eastAsia="仿宋" w:cs="仿宋"/>
          <w:b w:val="0"/>
          <w:bCs w:val="0"/>
          <w:color w:val="auto"/>
          <w:kern w:val="0"/>
          <w:sz w:val="30"/>
          <w:szCs w:val="30"/>
          <w:lang w:eastAsia="zh-CN"/>
        </w:rPr>
        <w:t>该项目依据巴财社</w:t>
      </w:r>
      <w:r>
        <w:rPr>
          <w:rFonts w:hint="eastAsia" w:ascii="仿宋" w:hAnsi="仿宋" w:eastAsia="仿宋" w:cs="仿宋"/>
          <w:b w:val="0"/>
          <w:bCs w:val="0"/>
          <w:color w:val="auto"/>
          <w:kern w:val="0"/>
          <w:sz w:val="30"/>
          <w:szCs w:val="30"/>
          <w:lang w:val="en-US" w:eastAsia="zh-CN"/>
        </w:rPr>
        <w:t>[2022]99号文件《自治区</w:t>
      </w:r>
      <w:r>
        <w:rPr>
          <w:rFonts w:hint="eastAsia" w:ascii="仿宋" w:hAnsi="仿宋" w:eastAsia="仿宋" w:cs="仿宋"/>
          <w:b w:val="0"/>
          <w:bCs w:val="0"/>
          <w:color w:val="auto"/>
          <w:kern w:val="0"/>
          <w:sz w:val="30"/>
          <w:szCs w:val="30"/>
        </w:rPr>
        <w:t>重大传染病</w:t>
      </w:r>
      <w:r>
        <w:rPr>
          <w:rFonts w:hint="eastAsia" w:ascii="仿宋" w:hAnsi="仿宋" w:eastAsia="仿宋" w:cs="仿宋"/>
          <w:b w:val="0"/>
          <w:bCs w:val="0"/>
          <w:color w:val="auto"/>
          <w:kern w:val="0"/>
          <w:sz w:val="30"/>
          <w:szCs w:val="30"/>
          <w:lang w:eastAsia="zh-CN"/>
        </w:rPr>
        <w:t>补助资金项目》实施方案，制定了《焉耆县</w:t>
      </w:r>
      <w:r>
        <w:rPr>
          <w:rFonts w:hint="eastAsia" w:ascii="仿宋" w:hAnsi="仿宋" w:eastAsia="仿宋" w:cs="仿宋"/>
          <w:b w:val="0"/>
          <w:bCs w:val="0"/>
          <w:color w:val="auto"/>
          <w:kern w:val="0"/>
          <w:sz w:val="30"/>
          <w:szCs w:val="30"/>
        </w:rPr>
        <w:t>重大传染病</w:t>
      </w:r>
      <w:r>
        <w:rPr>
          <w:rFonts w:hint="eastAsia" w:ascii="仿宋" w:hAnsi="仿宋" w:eastAsia="仿宋" w:cs="仿宋"/>
          <w:b w:val="0"/>
          <w:bCs w:val="0"/>
          <w:color w:val="auto"/>
          <w:kern w:val="0"/>
          <w:sz w:val="30"/>
          <w:szCs w:val="30"/>
          <w:lang w:eastAsia="zh-CN"/>
        </w:rPr>
        <w:t>补助资金项目》实施方案，</w:t>
      </w:r>
      <w:r>
        <w:rPr>
          <w:rFonts w:hint="eastAsia" w:ascii="仿宋" w:hAnsi="仿宋" w:eastAsia="仿宋" w:cs="仿宋"/>
          <w:b w:val="0"/>
          <w:bCs w:val="0"/>
          <w:kern w:val="2"/>
          <w:sz w:val="30"/>
          <w:szCs w:val="24"/>
          <w:lang w:val="en-US" w:eastAsia="zh-CN" w:bidi="ar-SA"/>
        </w:rPr>
        <w:t>结合焉耆县疾控中心工作职责， 开展重大疾病和主要健康危险因素得到有效控制，全县城乡居民健康水平得到进一步提高</w:t>
      </w:r>
      <w:r>
        <w:rPr>
          <w:rFonts w:hint="eastAsia" w:ascii="仿宋" w:hAnsi="仿宋" w:eastAsia="仿宋" w:cs="仿宋"/>
          <w:sz w:val="30"/>
        </w:rPr>
        <w:t>。</w:t>
      </w:r>
      <w:r>
        <w:rPr>
          <w:rFonts w:hint="eastAsia" w:ascii="仿宋" w:hAnsi="仿宋" w:eastAsia="仿宋" w:cs="仿宋"/>
          <w:b w:val="0"/>
          <w:bCs w:val="0"/>
          <w:color w:val="auto"/>
          <w:kern w:val="0"/>
          <w:sz w:val="30"/>
          <w:szCs w:val="30"/>
        </w:rPr>
        <w:t>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w:t>
      </w:r>
      <w:r>
        <w:rPr>
          <w:rFonts w:hint="eastAsia" w:ascii="仿宋" w:hAnsi="仿宋" w:eastAsia="仿宋" w:cs="仿宋"/>
          <w:b w:val="0"/>
          <w:bCs w:val="0"/>
          <w:color w:val="auto"/>
          <w:kern w:val="0"/>
          <w:sz w:val="30"/>
          <w:szCs w:val="30"/>
          <w:lang w:eastAsia="zh-CN"/>
        </w:rPr>
        <w:t>不</w:t>
      </w:r>
      <w:r>
        <w:rPr>
          <w:rFonts w:hint="eastAsia" w:ascii="仿宋" w:hAnsi="仿宋" w:eastAsia="仿宋" w:cs="仿宋"/>
          <w:b w:val="0"/>
          <w:bCs w:val="0"/>
          <w:color w:val="auto"/>
          <w:kern w:val="0"/>
          <w:sz w:val="30"/>
          <w:szCs w:val="30"/>
        </w:rPr>
        <w:t>重复。</w:t>
      </w:r>
    </w:p>
    <w:p>
      <w:pPr>
        <w:spacing w:line="360" w:lineRule="auto"/>
        <w:ind w:firstLine="600" w:firstLineChars="200"/>
        <w:outlineLvl w:val="2"/>
      </w:pPr>
      <w:r>
        <w:rPr>
          <w:rFonts w:hint="eastAsia"/>
        </w:rPr>
        <w:t>2、立项程序规范性</w:t>
      </w:r>
    </w:p>
    <w:p>
      <w:pPr>
        <w:spacing w:line="360" w:lineRule="auto"/>
        <w:ind w:firstLine="600" w:firstLineChars="200"/>
        <w:outlineLvl w:val="2"/>
        <w:rPr>
          <w:rFonts w:hint="eastAsia"/>
          <w:lang w:eastAsia="zh-CN"/>
        </w:rPr>
      </w:pPr>
      <w:r>
        <w:rPr>
          <w:rFonts w:hint="eastAsia"/>
        </w:rPr>
        <w:t>项目按照规定的程序申请设立；</w:t>
      </w:r>
      <w:r>
        <w:rPr>
          <w:rFonts w:hint="eastAsia"/>
          <w:lang w:val="en-US" w:eastAsia="zh-CN"/>
        </w:rPr>
        <w:t>预算批复等项目资料符合相关要求，</w:t>
      </w:r>
      <w:r>
        <w:rPr>
          <w:rFonts w:hint="eastAsia"/>
        </w:rPr>
        <w:t>事前已经过必要的可行性研究、专家论证、风险评估、绩效评估、集体决策</w:t>
      </w:r>
      <w:r>
        <w:rPr>
          <w:rFonts w:hint="eastAsia"/>
          <w:lang w:eastAsia="zh-CN"/>
        </w:rPr>
        <w:t>。</w:t>
      </w:r>
    </w:p>
    <w:p>
      <w:pPr>
        <w:spacing w:line="360" w:lineRule="auto"/>
        <w:ind w:firstLine="600" w:firstLineChars="200"/>
        <w:outlineLvl w:val="2"/>
      </w:pPr>
      <w:r>
        <w:rPr>
          <w:rFonts w:hint="eastAsia"/>
        </w:rPr>
        <w:t>3、绩效目标合理性</w:t>
      </w:r>
    </w:p>
    <w:p>
      <w:pPr>
        <w:spacing w:line="360" w:lineRule="auto"/>
        <w:ind w:firstLine="600" w:firstLineChars="200"/>
        <w:outlineLvl w:val="2"/>
        <w:rPr>
          <w:rFonts w:hint="eastAsia"/>
        </w:rPr>
      </w:pPr>
      <w:r>
        <w:rPr>
          <w:rFonts w:hint="eastAsia"/>
          <w:lang w:val="en-US" w:eastAsia="zh-CN"/>
        </w:rPr>
        <w:t>2023</w:t>
      </w:r>
      <w:r>
        <w:rPr>
          <w:rFonts w:hint="eastAsia"/>
        </w:rPr>
        <w:t>项目设立了项目绩效目标，与</w:t>
      </w:r>
      <w:r>
        <w:rPr>
          <w:rFonts w:hint="eastAsia"/>
          <w:lang w:eastAsia="zh-CN"/>
        </w:rPr>
        <w:t>《焉耆县</w:t>
      </w:r>
      <w:r>
        <w:rPr>
          <w:rFonts w:hint="eastAsia"/>
        </w:rPr>
        <w:t>重大传染病</w:t>
      </w:r>
      <w:r>
        <w:rPr>
          <w:rFonts w:hint="eastAsia"/>
          <w:lang w:eastAsia="zh-CN"/>
        </w:rPr>
        <w:t>补助资金项目实施方案》</w:t>
      </w:r>
      <w:r>
        <w:rPr>
          <w:rFonts w:hint="eastAsia"/>
        </w:rPr>
        <w:t>具有相关性，项目的预期产出效益和效果也均能符合正常的业绩水平，并且与预算确定的项目投资额或资金量相匹配。</w:t>
      </w:r>
    </w:p>
    <w:p>
      <w:pPr>
        <w:spacing w:line="360" w:lineRule="auto"/>
        <w:ind w:firstLine="600" w:firstLineChars="200"/>
        <w:outlineLvl w:val="2"/>
      </w:pPr>
      <w:r>
        <w:rPr>
          <w:rFonts w:hint="eastAsia"/>
        </w:rPr>
        <w:t>4、绩效指标明确性</w:t>
      </w:r>
    </w:p>
    <w:p>
      <w:pPr>
        <w:spacing w:line="360" w:lineRule="auto"/>
        <w:ind w:firstLine="600" w:firstLineChars="200"/>
        <w:outlineLvl w:val="2"/>
        <w:rPr>
          <w:rFonts w:hint="eastAsia" w:ascii="仿宋" w:hAnsi="仿宋" w:eastAsia="仿宋" w:cs="仿宋"/>
        </w:rPr>
      </w:pPr>
      <w:bookmarkStart w:id="12" w:name="_Hlk68699917"/>
      <w:r>
        <w:rPr>
          <w:rFonts w:hint="eastAsia" w:ascii="仿宋" w:hAnsi="仿宋" w:eastAsia="仿宋" w:cs="仿宋"/>
        </w:rPr>
        <w:t>202</w:t>
      </w:r>
      <w:r>
        <w:rPr>
          <w:rFonts w:hint="eastAsia" w:ascii="仿宋" w:hAnsi="仿宋" w:eastAsia="仿宋" w:cs="仿宋"/>
          <w:lang w:val="en-US" w:eastAsia="zh-CN"/>
        </w:rPr>
        <w:t>3</w:t>
      </w:r>
      <w:r>
        <w:rPr>
          <w:rFonts w:hint="eastAsia" w:ascii="仿宋" w:hAnsi="仿宋" w:eastAsia="仿宋" w:cs="仿宋"/>
        </w:rPr>
        <w:t xml:space="preserve"> 年项目将项目绩效目标细化分解为具体的绩效指标，一级指标共</w:t>
      </w:r>
      <w:r>
        <w:rPr>
          <w:rFonts w:hint="eastAsia" w:ascii="仿宋" w:hAnsi="仿宋" w:eastAsia="仿宋" w:cs="仿宋"/>
          <w:lang w:val="en-US" w:eastAsia="zh-CN"/>
        </w:rPr>
        <w:t>4</w:t>
      </w:r>
      <w:r>
        <w:rPr>
          <w:rFonts w:hint="eastAsia" w:ascii="仿宋" w:hAnsi="仿宋" w:eastAsia="仿宋" w:cs="仿宋"/>
        </w:rPr>
        <w:t>条，二级指标共6条，三级指标共1</w:t>
      </w:r>
      <w:r>
        <w:rPr>
          <w:rFonts w:hint="eastAsia" w:ascii="仿宋" w:hAnsi="仿宋" w:eastAsia="仿宋" w:cs="仿宋"/>
          <w:lang w:val="en-US" w:eastAsia="zh-CN"/>
        </w:rPr>
        <w:t>6</w:t>
      </w:r>
      <w:r>
        <w:rPr>
          <w:rFonts w:hint="eastAsia" w:ascii="仿宋" w:hAnsi="仿宋" w:eastAsia="仿宋" w:cs="仿宋"/>
        </w:rPr>
        <w:t>条，其中量化指标条数共</w:t>
      </w:r>
      <w:r>
        <w:rPr>
          <w:rFonts w:hint="eastAsia" w:ascii="仿宋" w:hAnsi="仿宋" w:eastAsia="仿宋" w:cs="仿宋"/>
          <w:lang w:val="en-US" w:eastAsia="zh-CN"/>
        </w:rPr>
        <w:t>14</w:t>
      </w:r>
      <w:r>
        <w:rPr>
          <w:rFonts w:hint="eastAsia" w:ascii="仿宋" w:hAnsi="仿宋" w:eastAsia="仿宋" w:cs="仿宋"/>
        </w:rPr>
        <w:t>条，所有绩效指标均通过清晰、可衡量的指标值予以体现，并且做到了与项目目标任务数或计划数相对应。</w:t>
      </w:r>
      <w:bookmarkEnd w:id="12"/>
    </w:p>
    <w:p>
      <w:pPr>
        <w:spacing w:line="360" w:lineRule="auto"/>
        <w:ind w:firstLine="600" w:firstLineChars="200"/>
        <w:outlineLvl w:val="2"/>
      </w:pPr>
      <w:r>
        <w:rPr>
          <w:rFonts w:hint="eastAsia"/>
        </w:rPr>
        <w:t>5、预算编制科学性</w:t>
      </w:r>
    </w:p>
    <w:p>
      <w:pPr>
        <w:spacing w:line="360" w:lineRule="auto"/>
        <w:ind w:firstLine="600" w:firstLineChars="200"/>
        <w:outlineLvl w:val="2"/>
        <w:rPr>
          <w:rFonts w:hint="eastAsia" w:ascii="仿宋" w:hAnsi="仿宋" w:eastAsia="仿宋" w:cs="仿宋"/>
        </w:rPr>
      </w:pPr>
      <w:r>
        <w:rPr>
          <w:rFonts w:hint="eastAsia" w:ascii="仿宋" w:hAnsi="仿宋" w:eastAsia="仿宋" w:cs="仿宋"/>
        </w:rPr>
        <w:t>预算编制经过科学论证</w:t>
      </w:r>
      <w:r>
        <w:rPr>
          <w:rFonts w:hint="eastAsia" w:ascii="仿宋" w:hAnsi="仿宋" w:eastAsia="仿宋" w:cs="仿宋"/>
          <w:lang w:eastAsia="zh-CN"/>
        </w:rPr>
        <w:t>，</w:t>
      </w:r>
      <w:r>
        <w:rPr>
          <w:rFonts w:hint="eastAsia" w:ascii="仿宋" w:hAnsi="仿宋" w:eastAsia="仿宋" w:cs="仿宋"/>
        </w:rPr>
        <w:t>预算内容与项目内容匹配</w:t>
      </w:r>
      <w:r>
        <w:rPr>
          <w:rFonts w:hint="eastAsia" w:ascii="仿宋" w:hAnsi="仿宋" w:eastAsia="仿宋" w:cs="仿宋"/>
          <w:lang w:eastAsia="zh-CN"/>
        </w:rPr>
        <w:t>，</w:t>
      </w:r>
      <w:r>
        <w:rPr>
          <w:rFonts w:hint="eastAsia" w:ascii="仿宋" w:hAnsi="仿宋" w:eastAsia="仿宋" w:cs="仿宋"/>
        </w:rPr>
        <w:t>预算额度测算依据充分，按照标准编制；预算确定的项目投资额或资金量与工作任务相匹配。</w:t>
      </w:r>
    </w:p>
    <w:p>
      <w:pPr>
        <w:spacing w:line="360" w:lineRule="auto"/>
        <w:ind w:firstLine="600" w:firstLineChars="200"/>
        <w:outlineLvl w:val="2"/>
      </w:pPr>
      <w:r>
        <w:rPr>
          <w:rFonts w:hint="eastAsia"/>
        </w:rPr>
        <w:t>6、资金分配合理性</w:t>
      </w:r>
    </w:p>
    <w:p>
      <w:pPr>
        <w:spacing w:line="360" w:lineRule="auto"/>
        <w:ind w:firstLine="600" w:firstLineChars="200"/>
        <w:outlineLvl w:val="2"/>
        <w:rPr>
          <w:rFonts w:hint="eastAsia" w:ascii="仿宋" w:hAnsi="仿宋" w:eastAsia="仿宋" w:cs="仿宋"/>
        </w:rPr>
      </w:pPr>
      <w:r>
        <w:rPr>
          <w:rFonts w:hint="eastAsia" w:ascii="仿宋" w:hAnsi="仿宋" w:eastAsia="仿宋" w:cs="仿宋"/>
        </w:rPr>
        <w:t>预算资金分配依据充分</w:t>
      </w:r>
      <w:r>
        <w:rPr>
          <w:rFonts w:hint="eastAsia" w:ascii="仿宋" w:hAnsi="仿宋" w:eastAsia="仿宋" w:cs="仿宋"/>
          <w:lang w:eastAsia="zh-CN"/>
        </w:rPr>
        <w:t>，</w:t>
      </w:r>
      <w:r>
        <w:rPr>
          <w:rFonts w:hint="eastAsia" w:ascii="仿宋" w:hAnsi="仿宋" w:eastAsia="仿宋" w:cs="仿宋"/>
          <w:lang w:val="en-US" w:eastAsia="zh-CN"/>
        </w:rPr>
        <w:t>根据项目设置目标需求，12.37</w:t>
      </w:r>
      <w:r>
        <w:rPr>
          <w:rFonts w:hint="eastAsia" w:ascii="仿宋" w:hAnsi="仿宋" w:eastAsia="仿宋" w:cs="仿宋"/>
          <w:lang w:eastAsia="zh-CN"/>
        </w:rPr>
        <w:t>万元用于艾滋病抗病毒治疗工作，</w:t>
      </w:r>
      <w:r>
        <w:rPr>
          <w:rFonts w:hint="eastAsia" w:ascii="仿宋" w:hAnsi="仿宋" w:eastAsia="仿宋" w:cs="仿宋"/>
          <w:lang w:val="en-US" w:eastAsia="zh-CN"/>
        </w:rPr>
        <w:t>5.32万元用于包虫病人群主动筛查工作，8.32万元用于慢性病示范区宣传工作，22.22</w:t>
      </w:r>
      <w:bookmarkStart w:id="24" w:name="_GoBack"/>
      <w:bookmarkEnd w:id="24"/>
      <w:r>
        <w:rPr>
          <w:rFonts w:hint="eastAsia" w:ascii="仿宋" w:hAnsi="仿宋" w:eastAsia="仿宋" w:cs="仿宋"/>
          <w:lang w:val="en-US" w:eastAsia="zh-CN"/>
        </w:rPr>
        <w:t>万元用于国家免疫规划疫苗接种工作，1.73万元肺结核患者密切接触检查和随访管理工作</w:t>
      </w:r>
      <w:r>
        <w:rPr>
          <w:rFonts w:hint="eastAsia" w:ascii="仿宋" w:hAnsi="仿宋" w:eastAsia="仿宋" w:cs="仿宋"/>
          <w:lang w:eastAsia="zh-CN"/>
        </w:rPr>
        <w:t>。</w:t>
      </w:r>
      <w:r>
        <w:rPr>
          <w:rFonts w:hint="eastAsia" w:ascii="仿宋" w:hAnsi="仿宋" w:eastAsia="仿宋" w:cs="仿宋"/>
        </w:rPr>
        <w:t>资金分配额度合理，与项目单位</w:t>
      </w:r>
      <w:r>
        <w:rPr>
          <w:rFonts w:hint="eastAsia" w:ascii="仿宋" w:hAnsi="仿宋" w:eastAsia="仿宋" w:cs="仿宋"/>
          <w:lang w:val="en-US" w:eastAsia="zh-CN"/>
        </w:rPr>
        <w:t>实际</w:t>
      </w:r>
      <w:r>
        <w:rPr>
          <w:rFonts w:hint="eastAsia" w:ascii="仿宋" w:hAnsi="仿宋" w:eastAsia="仿宋" w:cs="仿宋"/>
        </w:rPr>
        <w:t>相适应。</w:t>
      </w:r>
    </w:p>
    <w:p>
      <w:pPr>
        <w:pStyle w:val="4"/>
        <w:spacing w:line="360" w:lineRule="auto"/>
        <w:ind w:firstLine="640" w:firstLineChars="200"/>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ind w:firstLine="600" w:firstLineChars="200"/>
        <w:outlineLvl w:val="2"/>
      </w:pPr>
      <w:r>
        <w:rPr>
          <w:rFonts w:hint="eastAsia"/>
        </w:rPr>
        <w:t>1、资金到位率</w:t>
      </w:r>
    </w:p>
    <w:p>
      <w:pPr>
        <w:spacing w:line="360" w:lineRule="auto"/>
        <w:ind w:firstLine="600" w:firstLineChars="200"/>
        <w:outlineLvl w:val="2"/>
        <w:rPr>
          <w:rFonts w:hint="eastAsia" w:eastAsia="仿宋_GB2312"/>
          <w:lang w:eastAsia="zh-CN"/>
        </w:rPr>
      </w:pPr>
      <w:r>
        <w:rPr>
          <w:rFonts w:hint="eastAsia"/>
        </w:rPr>
        <w:t>实际到位资金</w:t>
      </w:r>
      <w:r>
        <w:rPr>
          <w:rFonts w:hint="eastAsia"/>
          <w:lang w:val="en-US" w:eastAsia="zh-CN"/>
        </w:rPr>
        <w:t>49.96</w:t>
      </w:r>
      <w:r>
        <w:rPr>
          <w:rFonts w:hint="eastAsia"/>
        </w:rPr>
        <w:t>万元，预算资金</w:t>
      </w:r>
      <w:r>
        <w:rPr>
          <w:rFonts w:hint="eastAsia"/>
          <w:lang w:val="en-US" w:eastAsia="zh-CN"/>
        </w:rPr>
        <w:t>49.96</w:t>
      </w:r>
      <w:r>
        <w:rPr>
          <w:rFonts w:hint="eastAsia"/>
        </w:rPr>
        <w:t>万元，资金到位率100%</w:t>
      </w:r>
      <w:r>
        <w:rPr>
          <w:rFonts w:hint="eastAsia"/>
          <w:lang w:eastAsia="zh-CN"/>
        </w:rPr>
        <w:t>。</w:t>
      </w:r>
    </w:p>
    <w:p>
      <w:pPr>
        <w:spacing w:line="360" w:lineRule="auto"/>
        <w:ind w:firstLine="600" w:firstLineChars="200"/>
        <w:outlineLvl w:val="2"/>
      </w:pPr>
      <w:r>
        <w:rPr>
          <w:rFonts w:hint="eastAsia"/>
        </w:rPr>
        <w:t>2、预算执行率</w:t>
      </w:r>
    </w:p>
    <w:p>
      <w:pPr>
        <w:spacing w:line="360" w:lineRule="auto"/>
        <w:ind w:firstLine="600" w:firstLineChars="200"/>
        <w:outlineLvl w:val="2"/>
        <w:rPr>
          <w:rFonts w:hint="eastAsia"/>
          <w:lang w:eastAsia="zh-CN"/>
        </w:rPr>
      </w:pPr>
      <w:r>
        <w:rPr>
          <w:rFonts w:hint="eastAsia"/>
        </w:rPr>
        <w:t>年初预算数</w:t>
      </w:r>
      <w:r>
        <w:rPr>
          <w:rFonts w:hint="eastAsia"/>
          <w:lang w:val="en-US" w:eastAsia="zh-CN"/>
        </w:rPr>
        <w:t>49.96</w:t>
      </w:r>
      <w:r>
        <w:rPr>
          <w:rFonts w:hint="eastAsia"/>
        </w:rPr>
        <w:t>万元，全年预算数</w:t>
      </w:r>
      <w:r>
        <w:rPr>
          <w:rFonts w:hint="eastAsia"/>
          <w:lang w:val="en-US" w:eastAsia="zh-CN"/>
        </w:rPr>
        <w:t>49.96</w:t>
      </w:r>
      <w:r>
        <w:rPr>
          <w:rFonts w:hint="eastAsia"/>
        </w:rPr>
        <w:t>万元，全年执行数</w:t>
      </w:r>
      <w:r>
        <w:rPr>
          <w:rFonts w:hint="eastAsia"/>
          <w:lang w:val="en-US" w:eastAsia="zh-CN"/>
        </w:rPr>
        <w:t>49.96</w:t>
      </w:r>
      <w:r>
        <w:rPr>
          <w:rFonts w:hint="eastAsia"/>
        </w:rPr>
        <w:t>万元，预算执行率为100%</w:t>
      </w:r>
      <w:r>
        <w:rPr>
          <w:rFonts w:hint="eastAsia"/>
          <w:lang w:eastAsia="zh-CN"/>
        </w:rPr>
        <w:t>。</w:t>
      </w:r>
    </w:p>
    <w:p>
      <w:pPr>
        <w:spacing w:line="360" w:lineRule="auto"/>
        <w:ind w:firstLine="600" w:firstLineChars="200"/>
        <w:outlineLvl w:val="2"/>
      </w:pPr>
      <w:r>
        <w:rPr>
          <w:rFonts w:hint="eastAsia"/>
        </w:rPr>
        <w:t>3、资金使用合规性</w:t>
      </w:r>
    </w:p>
    <w:p>
      <w:pPr>
        <w:spacing w:line="360" w:lineRule="auto"/>
        <w:ind w:firstLine="600" w:firstLineChars="200"/>
        <w:rPr>
          <w:color w:val="FF0000"/>
        </w:rPr>
      </w:pPr>
      <w:r>
        <w:rPr>
          <w:rFonts w:hint="eastAsia" w:ascii="仿宋" w:hAnsi="仿宋" w:eastAsia="仿宋" w:cs="仿宋"/>
          <w:b w:val="0"/>
          <w:bCs w:val="0"/>
          <w:lang w:val="en-US" w:eastAsia="zh-CN"/>
        </w:rPr>
        <w:t>项目资金</w:t>
      </w:r>
      <w:r>
        <w:rPr>
          <w:rFonts w:hint="eastAsia" w:ascii="仿宋" w:hAnsi="仿宋" w:eastAsia="仿宋" w:cs="仿宋"/>
          <w:b w:val="0"/>
          <w:bCs w:val="0"/>
        </w:rPr>
        <w:t>符合国家财经法规和财务管理制度以及有关专项资金管理办法的规定；资金的拨付有完整的审批程序和手续；符合项目预算批复或合同规定的用途；</w:t>
      </w:r>
      <w:r>
        <w:rPr>
          <w:rFonts w:hint="eastAsia" w:ascii="仿宋" w:hAnsi="仿宋" w:eastAsia="仿宋" w:cs="仿宋"/>
          <w:b w:val="0"/>
          <w:bCs w:val="0"/>
          <w:lang w:val="en-US" w:eastAsia="zh-CN"/>
        </w:rPr>
        <w:t>不</w:t>
      </w:r>
      <w:r>
        <w:rPr>
          <w:rFonts w:hint="eastAsia" w:ascii="仿宋" w:hAnsi="仿宋" w:eastAsia="仿宋" w:cs="仿宋"/>
          <w:b w:val="0"/>
          <w:bCs w:val="0"/>
        </w:rPr>
        <w:t>存在截留、挤占、挪用、虚列支出等情况</w:t>
      </w:r>
      <w:r>
        <w:rPr>
          <w:rFonts w:hint="eastAsia" w:ascii="仿宋" w:hAnsi="仿宋" w:eastAsia="仿宋" w:cs="仿宋"/>
          <w:b w:val="0"/>
          <w:bCs w:val="0"/>
          <w:lang w:eastAsia="zh-CN"/>
        </w:rPr>
        <w:t>。</w:t>
      </w:r>
    </w:p>
    <w:p>
      <w:pPr>
        <w:spacing w:line="360" w:lineRule="auto"/>
        <w:ind w:firstLine="600" w:firstLineChars="200"/>
        <w:outlineLvl w:val="2"/>
      </w:pPr>
      <w:r>
        <w:rPr>
          <w:rFonts w:hint="eastAsia"/>
        </w:rPr>
        <w:t>4、管理制度健全性</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color w:val="FF0000"/>
        </w:rPr>
      </w:pPr>
      <w:r>
        <w:rPr>
          <w:rFonts w:hint="eastAsia" w:ascii="仿宋" w:hAnsi="仿宋" w:eastAsia="仿宋" w:cs="仿宋"/>
          <w:color w:val="auto"/>
          <w:highlight w:val="none"/>
          <w:lang w:val="en-US" w:eastAsia="zh-CN"/>
        </w:rPr>
        <w:t>项目实施具</w:t>
      </w:r>
      <w:r>
        <w:rPr>
          <w:rFonts w:hint="eastAsia" w:ascii="仿宋" w:hAnsi="仿宋" w:eastAsia="仿宋" w:cs="仿宋"/>
          <w:color w:val="auto"/>
          <w:highlight w:val="none"/>
          <w:lang w:eastAsia="zh-CN"/>
        </w:rPr>
        <w:t>有相应的财务《中华人民共和国会计法》、《行政事业单位财务规则》、《</w:t>
      </w:r>
      <w:r>
        <w:rPr>
          <w:rFonts w:hint="eastAsia" w:ascii="仿宋" w:hAnsi="仿宋" w:eastAsia="仿宋" w:cs="仿宋"/>
          <w:color w:val="auto"/>
          <w:highlight w:val="none"/>
          <w:lang w:val="en-US" w:eastAsia="zh-CN"/>
        </w:rPr>
        <w:t>焉耆县疾病预防控制中心财务制度</w:t>
      </w:r>
      <w:r>
        <w:rPr>
          <w:rFonts w:hint="eastAsia" w:ascii="仿宋" w:hAnsi="仿宋" w:eastAsia="仿宋" w:cs="仿宋"/>
          <w:color w:val="auto"/>
          <w:highlight w:val="none"/>
          <w:lang w:eastAsia="zh-CN"/>
        </w:rPr>
        <w:t>》、预算管理内部控制制度、收支管理内部控制制度、政府采购管理内部控制制度等业务管理制度；财务和业务管理制度合法、合规、完整。</w:t>
      </w:r>
    </w:p>
    <w:p>
      <w:pPr>
        <w:spacing w:line="360" w:lineRule="auto"/>
        <w:ind w:firstLine="600" w:firstLineChars="200"/>
        <w:outlineLvl w:val="2"/>
      </w:pPr>
      <w:r>
        <w:rPr>
          <w:rFonts w:hint="eastAsia"/>
        </w:rPr>
        <w:t>5、制度执行有效性</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rPr>
      </w:pPr>
      <w:bookmarkStart w:id="14" w:name="_Toc68703840"/>
      <w:r>
        <w:rPr>
          <w:rFonts w:hint="eastAsia"/>
        </w:rPr>
        <w:t>项目实施</w:t>
      </w:r>
      <w:r>
        <w:rPr>
          <w:rFonts w:hint="eastAsia"/>
          <w:lang w:val="en-US" w:eastAsia="zh-CN"/>
        </w:rPr>
        <w:t>执行</w:t>
      </w:r>
      <w:r>
        <w:rPr>
          <w:rFonts w:hint="eastAsia"/>
          <w:lang w:eastAsia="zh-CN"/>
        </w:rPr>
        <w:t>过程中</w:t>
      </w:r>
      <w:r>
        <w:rPr>
          <w:rFonts w:hint="eastAsia"/>
        </w:rPr>
        <w:t>遵守相关法律法规和相关管理规定；项目调整及支出调整手续完备；项目合同书、验收报告、技术鉴定等资料齐全并及时归档；项目实施的人员条件、场地设备等落实到位。</w:t>
      </w:r>
    </w:p>
    <w:p>
      <w:pPr>
        <w:pStyle w:val="4"/>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lang w:eastAsia="zh-CN"/>
        </w:rPr>
      </w:pPr>
      <w:r>
        <w:rPr>
          <w:rFonts w:hint="eastAsia" w:ascii="仿宋_GB2312" w:eastAsia="仿宋_GB2312"/>
          <w:b w:val="0"/>
          <w:bCs w:val="0"/>
        </w:rPr>
        <w:t>（三）项目产出情况</w:t>
      </w:r>
      <w:bookmarkEnd w:id="14"/>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产出数量指标：指标1：包虫病人群主动筛查任务完成率，指标值：&gt;=85%，实际完成值85%，指标完成率100%，无偏差原因；指标</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lang w:eastAsia="zh-CN"/>
        </w:rPr>
        <w:t>：规范治疗和随访检查的肺结核患者任务完成率，指标值：=85%，实际完成值85%，指标完成率100%，无偏差原因；指标</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lang w:eastAsia="zh-CN"/>
        </w:rPr>
        <w:t>：艾滋病免费抗病毒治疗，指标值：=</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lang w:eastAsia="zh-CN"/>
        </w:rPr>
        <w:t>%，实际完成值</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lang w:eastAsia="zh-CN"/>
        </w:rPr>
        <w:t>%，指标完成率100%，无偏差原因；指标</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lang w:eastAsia="zh-CN"/>
        </w:rPr>
        <w:t>：慢性病示范区宣传任务完成率，指标值：=</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lang w:eastAsia="zh-CN"/>
        </w:rPr>
        <w:t>5%，实际完成值</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lang w:eastAsia="zh-CN"/>
        </w:rPr>
        <w:t>5%，指标完成率100%，无偏差原因；</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质量指标：指标</w:t>
      </w: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lang w:eastAsia="zh-CN"/>
        </w:rPr>
        <w:t>：全区以乡（镇）为单位适龄儿童免疫规划疫苗接种率，</w:t>
      </w:r>
      <w:bookmarkStart w:id="15" w:name="_Hlk98607777"/>
      <w:r>
        <w:rPr>
          <w:rFonts w:hint="eastAsia" w:ascii="仿宋" w:hAnsi="仿宋" w:eastAsia="仿宋" w:cs="仿宋"/>
          <w:color w:val="auto"/>
          <w:highlight w:val="none"/>
          <w:lang w:eastAsia="zh-CN"/>
        </w:rPr>
        <w:t>指标值：&gt;=90%，实际完成值90%，</w:t>
      </w:r>
      <w:bookmarkStart w:id="16" w:name="_Hlk98607678"/>
      <w:r>
        <w:rPr>
          <w:rFonts w:hint="eastAsia" w:ascii="仿宋" w:hAnsi="仿宋" w:eastAsia="仿宋" w:cs="仿宋"/>
          <w:color w:val="auto"/>
          <w:highlight w:val="none"/>
          <w:lang w:eastAsia="zh-CN"/>
        </w:rPr>
        <w:t xml:space="preserve">指标完成率 </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lang w:eastAsia="zh-CN"/>
        </w:rPr>
        <w:t>%，</w:t>
      </w:r>
      <w:bookmarkEnd w:id="15"/>
      <w:bookmarkEnd w:id="16"/>
      <w:r>
        <w:rPr>
          <w:rFonts w:hint="eastAsia" w:ascii="仿宋" w:hAnsi="仿宋" w:eastAsia="仿宋" w:cs="仿宋"/>
          <w:color w:val="auto"/>
          <w:highlight w:val="none"/>
          <w:lang w:eastAsia="zh-CN"/>
        </w:rPr>
        <w:t>无偏差原因；指标</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lang w:eastAsia="zh-CN"/>
        </w:rPr>
        <w:t>：艾滋病规范化随访干预比例，指标值：=</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lang w:eastAsia="zh-CN"/>
        </w:rPr>
        <w:t>%，实际完成值</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lang w:eastAsia="zh-CN"/>
        </w:rPr>
        <w:t>%，指标完成率</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lang w:eastAsia="zh-CN"/>
        </w:rPr>
        <w:t>%，无偏差原因；指标</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lang w:eastAsia="zh-CN"/>
        </w:rPr>
        <w:t>：慢性病示范区宣传品验收合格率，指标值：&gt;=9</w:t>
      </w: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lang w:eastAsia="zh-CN"/>
        </w:rPr>
        <w:t>%，实际完成值=</w:t>
      </w:r>
      <w:r>
        <w:rPr>
          <w:rFonts w:hint="eastAsia" w:ascii="仿宋" w:hAnsi="仿宋" w:eastAsia="仿宋" w:cs="仿宋"/>
          <w:color w:val="auto"/>
          <w:highlight w:val="none"/>
          <w:lang w:val="en-US" w:eastAsia="zh-CN"/>
        </w:rPr>
        <w:t>98</w:t>
      </w:r>
      <w:r>
        <w:rPr>
          <w:rFonts w:hint="eastAsia" w:ascii="仿宋" w:hAnsi="仿宋" w:eastAsia="仿宋" w:cs="仿宋"/>
          <w:color w:val="auto"/>
          <w:highlight w:val="none"/>
          <w:lang w:eastAsia="zh-CN"/>
        </w:rPr>
        <w:t xml:space="preserve">%，指标完成率 </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lang w:eastAsia="zh-CN"/>
        </w:rPr>
        <w:t>%，无偏差原因；</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时效指标：指标1：重大传染病防控项目资金拨付及时率：指标值&gt;=9</w:t>
      </w: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lang w:eastAsia="zh-CN"/>
        </w:rPr>
        <w:t>%，完成值9</w:t>
      </w: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lang w:eastAsia="zh-CN"/>
        </w:rPr>
        <w:t>%，指标完成率</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lang w:eastAsia="zh-CN"/>
        </w:rPr>
        <w:t>%，无偏差原因；</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成本指标：指标1：艾滋病抗病毒治疗工作经费：指标值：&lt;=12.37万元，实际完成值12.37万元，指标完成率 100%，无偏差原因；指标</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lang w:eastAsia="zh-CN"/>
        </w:rPr>
        <w:t>：包虫病人群主动筛查任务经费：指标值：&lt;=</w:t>
      </w:r>
      <w:r>
        <w:rPr>
          <w:rFonts w:hint="eastAsia" w:ascii="仿宋" w:hAnsi="仿宋" w:eastAsia="仿宋" w:cs="仿宋"/>
          <w:color w:val="auto"/>
          <w:highlight w:val="none"/>
          <w:lang w:val="en-US" w:eastAsia="zh-CN"/>
        </w:rPr>
        <w:t>5.32</w:t>
      </w:r>
      <w:r>
        <w:rPr>
          <w:rFonts w:hint="eastAsia" w:ascii="仿宋" w:hAnsi="仿宋" w:eastAsia="仿宋" w:cs="仿宋"/>
          <w:color w:val="auto"/>
          <w:highlight w:val="none"/>
          <w:lang w:eastAsia="zh-CN"/>
        </w:rPr>
        <w:t>万元 ，实际完成值</w:t>
      </w:r>
      <w:r>
        <w:rPr>
          <w:rFonts w:hint="eastAsia" w:ascii="仿宋" w:hAnsi="仿宋" w:eastAsia="仿宋" w:cs="仿宋"/>
          <w:color w:val="auto"/>
          <w:highlight w:val="none"/>
          <w:lang w:val="en-US" w:eastAsia="zh-CN"/>
        </w:rPr>
        <w:t>5.32</w:t>
      </w:r>
      <w:r>
        <w:rPr>
          <w:rFonts w:hint="eastAsia" w:ascii="仿宋" w:hAnsi="仿宋" w:eastAsia="仿宋" w:cs="仿宋"/>
          <w:color w:val="auto"/>
          <w:highlight w:val="none"/>
          <w:lang w:eastAsia="zh-CN"/>
        </w:rPr>
        <w:t>万元，指标完成率 100%，无偏差原因；指标</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lang w:eastAsia="zh-CN"/>
        </w:rPr>
        <w:t>：慢性病示范区宣传工作经费：指标值：&lt;=</w:t>
      </w:r>
      <w:r>
        <w:rPr>
          <w:rFonts w:hint="eastAsia" w:ascii="仿宋" w:hAnsi="仿宋" w:eastAsia="仿宋" w:cs="仿宋"/>
          <w:color w:val="auto"/>
          <w:highlight w:val="none"/>
          <w:lang w:val="en-US" w:eastAsia="zh-CN"/>
        </w:rPr>
        <w:t>8.32</w:t>
      </w:r>
      <w:r>
        <w:rPr>
          <w:rFonts w:hint="eastAsia" w:ascii="仿宋" w:hAnsi="仿宋" w:eastAsia="仿宋" w:cs="仿宋"/>
          <w:color w:val="auto"/>
          <w:highlight w:val="none"/>
          <w:lang w:eastAsia="zh-CN"/>
        </w:rPr>
        <w:t>万元 ，实际完成值</w:t>
      </w:r>
      <w:r>
        <w:rPr>
          <w:rFonts w:hint="eastAsia" w:ascii="仿宋" w:hAnsi="仿宋" w:eastAsia="仿宋" w:cs="仿宋"/>
          <w:color w:val="auto"/>
          <w:highlight w:val="none"/>
          <w:lang w:val="en-US" w:eastAsia="zh-CN"/>
        </w:rPr>
        <w:t>8.32</w:t>
      </w:r>
      <w:r>
        <w:rPr>
          <w:rFonts w:hint="eastAsia" w:ascii="仿宋" w:hAnsi="仿宋" w:eastAsia="仿宋" w:cs="仿宋"/>
          <w:color w:val="auto"/>
          <w:highlight w:val="none"/>
          <w:lang w:eastAsia="zh-CN"/>
        </w:rPr>
        <w:t>万元，指标完成率 100%，无偏差原因；指标</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lang w:eastAsia="zh-CN"/>
        </w:rPr>
        <w:t>：国家免疫规划疫苗接种工作经费：指标值：&lt;=</w:t>
      </w:r>
      <w:r>
        <w:rPr>
          <w:rFonts w:hint="eastAsia" w:ascii="仿宋" w:hAnsi="仿宋" w:eastAsia="仿宋" w:cs="仿宋"/>
          <w:color w:val="auto"/>
          <w:highlight w:val="none"/>
          <w:lang w:val="en-US" w:eastAsia="zh-CN"/>
        </w:rPr>
        <w:t>22.22</w:t>
      </w:r>
      <w:r>
        <w:rPr>
          <w:rFonts w:hint="eastAsia" w:ascii="仿宋" w:hAnsi="仿宋" w:eastAsia="仿宋" w:cs="仿宋"/>
          <w:color w:val="auto"/>
          <w:highlight w:val="none"/>
          <w:lang w:eastAsia="zh-CN"/>
        </w:rPr>
        <w:t>万元 ，实际完成值</w:t>
      </w:r>
      <w:r>
        <w:rPr>
          <w:rFonts w:hint="eastAsia" w:ascii="仿宋" w:hAnsi="仿宋" w:eastAsia="仿宋" w:cs="仿宋"/>
          <w:color w:val="auto"/>
          <w:highlight w:val="none"/>
          <w:lang w:val="en-US" w:eastAsia="zh-CN"/>
        </w:rPr>
        <w:t>22.22</w:t>
      </w:r>
      <w:r>
        <w:rPr>
          <w:rFonts w:hint="eastAsia" w:ascii="仿宋" w:hAnsi="仿宋" w:eastAsia="仿宋" w:cs="仿宋"/>
          <w:color w:val="auto"/>
          <w:highlight w:val="none"/>
          <w:lang w:eastAsia="zh-CN"/>
        </w:rPr>
        <w:t>万元，指标完成率 100%，无偏差原因；指标</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lang w:eastAsia="zh-CN"/>
        </w:rPr>
        <w:t>：肺结核患者密切接触检查和随访管理经费：指标值：&lt;=</w:t>
      </w:r>
      <w:r>
        <w:rPr>
          <w:rFonts w:hint="eastAsia" w:ascii="仿宋" w:hAnsi="仿宋" w:eastAsia="仿宋" w:cs="仿宋"/>
          <w:color w:val="auto"/>
          <w:highlight w:val="none"/>
          <w:lang w:val="en-US" w:eastAsia="zh-CN"/>
        </w:rPr>
        <w:t>1.73</w:t>
      </w:r>
      <w:r>
        <w:rPr>
          <w:rFonts w:hint="eastAsia" w:ascii="仿宋" w:hAnsi="仿宋" w:eastAsia="仿宋" w:cs="仿宋"/>
          <w:color w:val="auto"/>
          <w:highlight w:val="none"/>
          <w:lang w:eastAsia="zh-CN"/>
        </w:rPr>
        <w:t>万元 ，实际完成值</w:t>
      </w:r>
      <w:r>
        <w:rPr>
          <w:rFonts w:hint="eastAsia" w:ascii="仿宋" w:hAnsi="仿宋" w:eastAsia="仿宋" w:cs="仿宋"/>
          <w:color w:val="auto"/>
          <w:highlight w:val="none"/>
          <w:lang w:val="en-US" w:eastAsia="zh-CN"/>
        </w:rPr>
        <w:t>1.73</w:t>
      </w:r>
      <w:r>
        <w:rPr>
          <w:rFonts w:hint="eastAsia" w:ascii="仿宋" w:hAnsi="仿宋" w:eastAsia="仿宋" w:cs="仿宋"/>
          <w:color w:val="auto"/>
          <w:highlight w:val="none"/>
          <w:lang w:eastAsia="zh-CN"/>
        </w:rPr>
        <w:t>万元，指标完成率 100%，无偏差原因；</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bookmarkStart w:id="17" w:name="_Toc68703841"/>
      <w:r>
        <w:rPr>
          <w:rFonts w:hint="eastAsia" w:ascii="仿宋" w:hAnsi="仿宋" w:eastAsia="仿宋" w:cs="仿宋"/>
          <w:color w:val="auto"/>
          <w:highlight w:val="none"/>
          <w:lang w:val="en-US" w:eastAsia="zh-CN"/>
        </w:rPr>
        <w:t>（四）项目效益情况</w:t>
      </w:r>
      <w:bookmarkEnd w:id="17"/>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效益指标：指标1：有效控制艾滋病疫情，指标值艾滋病疫情处于低流行水平，实际完成值：艾滋病疫情处于低流行水平，指标完成率100%，无偏差原因；指标2：居民健康水平提高，指标值不断提高，实际完成值：不断提高，指标完成率100%，无偏差原因。</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2、满意度指标：指标1：社会公众和受益群众的满意程度：</w:t>
      </w:r>
      <w:bookmarkStart w:id="18" w:name="_Hlk98607522"/>
      <w:r>
        <w:rPr>
          <w:rFonts w:hint="eastAsia" w:ascii="仿宋" w:hAnsi="仿宋" w:eastAsia="仿宋" w:cs="仿宋"/>
          <w:color w:val="auto"/>
          <w:highlight w:val="none"/>
          <w:lang w:val="en-US" w:eastAsia="zh-CN"/>
        </w:rPr>
        <w:t>指标值：&gt;=95%，实际完成值95%，指标完成率 100%，</w:t>
      </w:r>
      <w:bookmarkEnd w:id="18"/>
      <w:r>
        <w:rPr>
          <w:rFonts w:hint="eastAsia" w:ascii="仿宋" w:hAnsi="仿宋" w:eastAsia="仿宋" w:cs="仿宋"/>
          <w:color w:val="auto"/>
          <w:highlight w:val="none"/>
          <w:lang w:val="en-US" w:eastAsia="zh-CN"/>
        </w:rPr>
        <w:t>无偏差原因。</w:t>
      </w:r>
    </w:p>
    <w:p>
      <w:pPr>
        <w:pStyle w:val="3"/>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sz w:val="32"/>
          <w:szCs w:val="32"/>
          <w:lang w:eastAsia="zh-CN"/>
        </w:rPr>
      </w:pPr>
      <w:bookmarkStart w:id="19" w:name="_Toc68703842"/>
      <w:r>
        <w:rPr>
          <w:rFonts w:hint="eastAsia" w:ascii="宋体" w:hAnsi="宋体" w:eastAsia="宋体"/>
          <w:sz w:val="32"/>
          <w:szCs w:val="32"/>
          <w:lang w:eastAsia="zh-CN"/>
        </w:rPr>
        <w:t>五、主要经验及做法、存在的问题及原因分析</w:t>
      </w:r>
      <w:bookmarkEnd w:id="19"/>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eastAsia="zh-CN"/>
        </w:rPr>
      </w:pPr>
      <w:bookmarkStart w:id="20" w:name="_Toc68703843"/>
      <w:r>
        <w:rPr>
          <w:rFonts w:hint="eastAsia" w:ascii="仿宋" w:hAnsi="仿宋" w:eastAsia="仿宋" w:cs="仿宋"/>
          <w:color w:val="auto"/>
          <w:highlight w:val="none"/>
          <w:lang w:eastAsia="zh-CN"/>
        </w:rPr>
        <w:t>（一）主要经验及做法</w:t>
      </w:r>
      <w:bookmarkEnd w:id="20"/>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1、项目实施过程中，及时按年初预算进度支付经费，为项目实施做好资金保障。项目执行科室提出项目资金的使用计划，较为规范地组织实施，有条不紊开展相关工作，并做好资料收集整理工作。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2、项目实施过程中，按照年度计划规范地组织实施，有条不紊开展相关工作，并做好资料收集整理工作。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auto"/>
          <w:highlight w:val="none"/>
          <w:lang w:val="en-US" w:eastAsia="zh-CN"/>
        </w:rPr>
        <w:t>3、合理安排项目资金，确保项目及时必要。</w:t>
      </w:r>
    </w:p>
    <w:p>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eastAsia="仿宋_GB2312"/>
          <w:b w:val="0"/>
          <w:bCs w:val="0"/>
        </w:rPr>
      </w:pPr>
      <w:bookmarkStart w:id="21" w:name="_Toc68703844"/>
      <w:r>
        <w:rPr>
          <w:rFonts w:hint="eastAsia" w:ascii="仿宋_GB2312" w:eastAsia="仿宋_GB2312"/>
          <w:b w:val="0"/>
          <w:bCs w:val="0"/>
        </w:rPr>
        <w:t>（二）存在的问题及原因分析</w:t>
      </w:r>
      <w:bookmarkEnd w:id="21"/>
    </w:p>
    <w:p>
      <w:pPr>
        <w:pageBreakBefore w:val="0"/>
        <w:widowControl w:val="0"/>
        <w:kinsoku/>
        <w:wordWrap/>
        <w:overflowPunct/>
        <w:topLinePunct w:val="0"/>
        <w:autoSpaceDE/>
        <w:autoSpaceDN/>
        <w:bidi w:val="0"/>
        <w:snapToGrid/>
        <w:spacing w:line="560" w:lineRule="exact"/>
        <w:ind w:firstLine="564" w:firstLineChars="181"/>
        <w:textAlignment w:val="auto"/>
      </w:pPr>
      <w:r>
        <w:rPr>
          <w:rStyle w:val="15"/>
          <w:rFonts w:hint="eastAsia" w:ascii="仿宋_GB2312" w:hAnsi="楷体" w:eastAsia="仿宋_GB2312" w:cs="Times New Roman"/>
          <w:b w:val="0"/>
          <w:spacing w:val="-4"/>
          <w:sz w:val="32"/>
          <w:szCs w:val="32"/>
          <w:lang w:val="en-US" w:eastAsia="zh-CN"/>
        </w:rPr>
        <w:t>存在问题：</w:t>
      </w:r>
      <w:r>
        <w:rPr>
          <w:rStyle w:val="15"/>
          <w:rFonts w:hint="eastAsia" w:ascii="仿宋_GB2312" w:hAnsi="楷体" w:eastAsia="仿宋_GB2312" w:cs="Times New Roman"/>
          <w:b w:val="0"/>
          <w:spacing w:val="-4"/>
          <w:sz w:val="32"/>
          <w:szCs w:val="32"/>
          <w:lang w:eastAsia="zh-CN"/>
        </w:rPr>
        <w:t>绩效管理水平有待提高。</w:t>
      </w:r>
    </w:p>
    <w:p>
      <w:pPr>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原因分析：预算绩效管理</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、绩效理念尚未真正贯穿于实践工作，</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相关工作人员经验不足，绩效管理意识不高，</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绩效管理缺乏约束和制度保障。</w:t>
      </w:r>
    </w:p>
    <w:p>
      <w:pPr>
        <w:pStyle w:val="3"/>
        <w:pageBreakBefore w:val="0"/>
        <w:widowControl w:val="0"/>
        <w:numPr>
          <w:ilvl w:val="0"/>
          <w:numId w:val="1"/>
        </w:numPr>
        <w:kinsoku/>
        <w:wordWrap/>
        <w:overflowPunct/>
        <w:topLinePunct w:val="0"/>
        <w:autoSpaceDE/>
        <w:autoSpaceDN/>
        <w:bidi w:val="0"/>
        <w:snapToGrid/>
        <w:spacing w:line="560" w:lineRule="exact"/>
        <w:textAlignment w:val="auto"/>
        <w:rPr>
          <w:rFonts w:hint="eastAsia" w:ascii="宋体" w:hAnsi="宋体" w:eastAsia="宋体"/>
          <w:sz w:val="32"/>
          <w:szCs w:val="32"/>
        </w:rPr>
      </w:pPr>
      <w:bookmarkStart w:id="22" w:name="_Toc68703845"/>
      <w:r>
        <w:rPr>
          <w:rFonts w:hint="eastAsia" w:ascii="宋体" w:hAnsi="宋体" w:eastAsia="宋体"/>
          <w:sz w:val="32"/>
          <w:szCs w:val="32"/>
        </w:rPr>
        <w:t>有关建议</w:t>
      </w:r>
      <w:bookmarkEnd w:id="22"/>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 xml:space="preserve"> 1、规范重大传染病防控经费项目绩效评价管理资料的收集整理，确保项目立项依据规范，立项程序合规，确保相关信息完整、可靠，根据项目绩效目标客观公正地反映项目资金实际使用和产生的绩效状况，为今后该项目实施方向及管理方式的改进提供指导。</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2、加强预算执行情况分析，及时掌握项目绩效目标的实现情况、项目实施进程和资金支出进度，从而对出现的情况和问题及时采取措施予以纠正。提高预算执行进度和项目管理水平。</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3、项目实施过程中加强各科室配合，对专项资金实施全过程预算绩效管理，资金支出与项目进度保持一致，加强专项资金实施全过程预算绩效管理，建立健全预算编制、执行和监督的绩效管理体系。建立机制，落实资金监管，严格落实规范财务运行机制。</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pPr>
      <w:r>
        <w:rPr>
          <w:rFonts w:hint="eastAsia" w:ascii="仿宋" w:hAnsi="仿宋" w:eastAsia="仿宋" w:cs="仿宋"/>
          <w:b w:val="0"/>
          <w:bCs w:val="0"/>
          <w:kern w:val="2"/>
          <w:sz w:val="30"/>
          <w:szCs w:val="24"/>
          <w:lang w:val="en-US" w:eastAsia="zh-CN" w:bidi="ar-SA"/>
        </w:rPr>
        <w:t>4、加强项目管理的培训和学习，努力提高绩效评价工作水平和质量，加强项目管理和绩效管理相结合。传染病防治科根据项目管理方案及技术规范加强对卫生服务人员进行培训，提高工作人员技术水平。</w:t>
      </w:r>
    </w:p>
    <w:p>
      <w:pPr>
        <w:pStyle w:val="3"/>
        <w:spacing w:line="360" w:lineRule="auto"/>
        <w:ind w:firstLine="643" w:firstLineChars="200"/>
        <w:rPr>
          <w:rFonts w:ascii="宋体" w:hAnsi="宋体" w:eastAsia="宋体"/>
          <w:sz w:val="32"/>
          <w:szCs w:val="32"/>
        </w:rPr>
      </w:pPr>
      <w:bookmarkStart w:id="23" w:name="_Toc68703846"/>
      <w:r>
        <w:rPr>
          <w:rFonts w:hint="eastAsia" w:ascii="宋体" w:hAnsi="宋体" w:eastAsia="宋体"/>
          <w:sz w:val="32"/>
          <w:szCs w:val="32"/>
        </w:rPr>
        <w:t>七、其他需要说明的问题</w:t>
      </w:r>
      <w:bookmarkEnd w:id="23"/>
    </w:p>
    <w:p>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0" w:usb1="00000000" w:usb2="00000000" w:usb3="00000000" w:csb0="0000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E677C"/>
    <w:multiLevelType w:val="singleLevel"/>
    <w:tmpl w:val="41FE677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hZjQ2MWMwOWIzN2U3MGUzOGZjMjk3Mjk0ZGZlMDE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120E2C52"/>
    <w:rsid w:val="121C373C"/>
    <w:rsid w:val="15DA37C6"/>
    <w:rsid w:val="189470C9"/>
    <w:rsid w:val="2732278A"/>
    <w:rsid w:val="32B202C5"/>
    <w:rsid w:val="3BF82EEE"/>
    <w:rsid w:val="3F3020FF"/>
    <w:rsid w:val="48BF0625"/>
    <w:rsid w:val="51720215"/>
    <w:rsid w:val="57513FF7"/>
    <w:rsid w:val="61D107BD"/>
    <w:rsid w:val="622575EA"/>
    <w:rsid w:val="643D497C"/>
    <w:rsid w:val="6A483B9A"/>
    <w:rsid w:val="6CE462F1"/>
    <w:rsid w:val="75903D0E"/>
    <w:rsid w:val="7DBE7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99"/>
    <w:pPr>
      <w:keepNext/>
      <w:keepLines/>
      <w:spacing w:before="260" w:after="260" w:line="416" w:lineRule="auto"/>
      <w:outlineLvl w:val="2"/>
    </w:pPr>
    <w:rPr>
      <w:rFonts w:ascii="Calibri" w:hAnsi="Calibri" w:eastAsia="宋体" w:cs="Times New Roman"/>
      <w:b/>
      <w:bCs/>
      <w:kern w:val="0"/>
      <w:sz w:val="32"/>
      <w:szCs w:val="32"/>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Body Text Indent"/>
    <w:basedOn w:val="1"/>
    <w:qFormat/>
    <w:uiPriority w:val="0"/>
    <w:pPr>
      <w:spacing w:before="453" w:line="2290" w:lineRule="atLeast"/>
      <w:ind w:firstLine="640"/>
      <w:jc w:val="left"/>
      <w:textAlignment w:val="baseline"/>
    </w:pPr>
    <w:rPr>
      <w:rFonts w:ascii="Times New Roman" w:eastAsia="宋体"/>
      <w:color w:val="000000"/>
      <w:sz w:val="31"/>
      <w:u w:val="none" w:color="000000"/>
      <w:vertAlign w:val="baseline"/>
      <w:lang w:val="en-US" w:eastAsia="zh-CN"/>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footnote text"/>
    <w:basedOn w:val="1"/>
    <w:qFormat/>
    <w:uiPriority w:val="0"/>
    <w:pPr>
      <w:snapToGrid w:val="0"/>
      <w:jc w:val="left"/>
    </w:pPr>
    <w:rPr>
      <w:sz w:val="18"/>
      <w:szCs w:val="18"/>
    </w:rPr>
  </w:style>
  <w:style w:type="paragraph" w:styleId="11">
    <w:name w:val="toc 2"/>
    <w:basedOn w:val="1"/>
    <w:next w:val="1"/>
    <w:unhideWhenUsed/>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Body Text First Indent 2"/>
    <w:basedOn w:val="6"/>
    <w:qFormat/>
    <w:uiPriority w:val="0"/>
    <w:pPr>
      <w:spacing w:after="120"/>
      <w:ind w:left="420" w:leftChars="200" w:firstLine="420"/>
    </w:pPr>
    <w:rPr>
      <w:szCs w:val="30"/>
    </w:rPr>
  </w:style>
  <w:style w:type="character" w:styleId="15">
    <w:name w:val="Strong"/>
    <w:basedOn w:val="14"/>
    <w:qFormat/>
    <w:uiPriority w:val="0"/>
    <w:rPr>
      <w:b/>
      <w:bCs/>
    </w:rPr>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customStyle="1" w:styleId="17">
    <w:name w:val="标题 1 字符"/>
    <w:basedOn w:val="14"/>
    <w:link w:val="3"/>
    <w:qFormat/>
    <w:uiPriority w:val="9"/>
    <w:rPr>
      <w:rFonts w:ascii="Times New Roman" w:hAnsi="Times New Roman" w:eastAsia="仿宋_GB2312" w:cs="Times New Roman"/>
      <w:b/>
      <w:bCs/>
      <w:kern w:val="44"/>
      <w:sz w:val="44"/>
      <w:szCs w:val="44"/>
    </w:rPr>
  </w:style>
  <w:style w:type="character" w:customStyle="1" w:styleId="18">
    <w:name w:val="标题 2 字符"/>
    <w:basedOn w:val="14"/>
    <w:link w:val="4"/>
    <w:qFormat/>
    <w:uiPriority w:val="9"/>
    <w:rPr>
      <w:rFonts w:asciiTheme="majorHAnsi" w:hAnsiTheme="majorHAnsi" w:eastAsiaTheme="majorEastAsia" w:cstheme="majorBidi"/>
      <w:b/>
      <w:bCs/>
      <w:sz w:val="32"/>
      <w:szCs w:val="32"/>
    </w:rPr>
  </w:style>
  <w:style w:type="paragraph" w:customStyle="1" w:styleId="19">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0">
    <w:name w:val="页眉 字符"/>
    <w:basedOn w:val="14"/>
    <w:link w:val="8"/>
    <w:qFormat/>
    <w:uiPriority w:val="99"/>
    <w:rPr>
      <w:rFonts w:ascii="Times New Roman" w:hAnsi="Times New Roman" w:eastAsia="仿宋_GB2312" w:cs="Times New Roman"/>
      <w:sz w:val="18"/>
      <w:szCs w:val="18"/>
    </w:rPr>
  </w:style>
  <w:style w:type="character" w:customStyle="1" w:styleId="21">
    <w:name w:val="页脚 字符"/>
    <w:basedOn w:val="14"/>
    <w:link w:val="7"/>
    <w:uiPriority w:val="99"/>
    <w:rPr>
      <w:rFonts w:ascii="Times New Roman" w:hAnsi="Times New Roman" w:eastAsia="仿宋_GB2312" w:cs="Times New Roman"/>
      <w:sz w:val="18"/>
      <w:szCs w:val="18"/>
    </w:rPr>
  </w:style>
  <w:style w:type="paragraph" w:customStyle="1" w:styleId="22">
    <w:name w:val="闻政-正文段落文字"/>
    <w:basedOn w:val="1"/>
    <w:qFormat/>
    <w:uiPriority w:val="99"/>
    <w:pPr>
      <w:spacing w:line="500" w:lineRule="exact"/>
      <w:ind w:firstLine="200" w:firstLineChars="200"/>
    </w:pPr>
    <w:rPr>
      <w:rFonts w:ascii="Calibri" w:hAnsi="Calibri"/>
      <w:kern w:val="0"/>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11</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HP</cp:lastModifiedBy>
  <dcterms:modified xsi:type="dcterms:W3CDTF">2024-05-14T08:25:33Z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