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560" w:lineRule="exact"/>
        <w:jc w:val="center"/>
        <w:textAlignment w:val="auto"/>
        <w:rPr>
          <w:rFonts w:ascii="宋体" w:hAnsi="宋体" w:eastAsia="宋体" w:cs="Arial"/>
          <w:b/>
          <w:bCs/>
          <w:sz w:val="48"/>
          <w:szCs w:val="48"/>
        </w:rPr>
      </w:pPr>
    </w:p>
    <w:p>
      <w:pPr>
        <w:pageBreakBefore w:val="0"/>
        <w:kinsoku/>
        <w:wordWrap/>
        <w:overflowPunct/>
        <w:topLinePunct w:val="0"/>
        <w:autoSpaceDE/>
        <w:autoSpaceDN/>
        <w:bidi w:val="0"/>
        <w:spacing w:line="560" w:lineRule="exact"/>
        <w:jc w:val="center"/>
        <w:textAlignment w:val="auto"/>
        <w:rPr>
          <w:rFonts w:ascii="宋体" w:hAnsi="宋体" w:eastAsia="宋体" w:cs="Arial"/>
          <w:b/>
          <w:bCs/>
          <w:sz w:val="48"/>
          <w:szCs w:val="48"/>
        </w:rPr>
      </w:pPr>
    </w:p>
    <w:p>
      <w:pPr>
        <w:pageBreakBefore w:val="0"/>
        <w:kinsoku/>
        <w:wordWrap/>
        <w:overflowPunct/>
        <w:topLinePunct w:val="0"/>
        <w:autoSpaceDE/>
        <w:autoSpaceDN/>
        <w:bidi w:val="0"/>
        <w:spacing w:line="560" w:lineRule="exact"/>
        <w:jc w:val="center"/>
        <w:textAlignment w:val="auto"/>
        <w:rPr>
          <w:rFonts w:ascii="宋体" w:hAnsi="宋体" w:eastAsia="宋体" w:cs="Arial"/>
          <w:b/>
          <w:bCs/>
          <w:sz w:val="48"/>
          <w:szCs w:val="48"/>
        </w:rPr>
      </w:pPr>
    </w:p>
    <w:p>
      <w:pPr>
        <w:pageBreakBefore w:val="0"/>
        <w:kinsoku/>
        <w:wordWrap/>
        <w:overflowPunct/>
        <w:topLinePunct w:val="0"/>
        <w:autoSpaceDE/>
        <w:autoSpaceDN/>
        <w:bidi w:val="0"/>
        <w:spacing w:line="560" w:lineRule="exact"/>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spacing w:line="560" w:lineRule="exact"/>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spacing w:line="560" w:lineRule="exact"/>
        <w:jc w:val="center"/>
        <w:textAlignment w:val="auto"/>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pageBreakBefore w:val="0"/>
        <w:kinsoku/>
        <w:wordWrap/>
        <w:overflowPunct/>
        <w:topLinePunct w:val="0"/>
        <w:autoSpaceDE/>
        <w:autoSpaceDN/>
        <w:bidi w:val="0"/>
        <w:spacing w:line="56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spacing w:line="56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spacing w:line="56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spacing w:line="56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spacing w:line="56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spacing w:line="560" w:lineRule="exact"/>
        <w:ind w:firstLine="321" w:firstLineChars="100"/>
        <w:textAlignment w:val="auto"/>
        <w:rPr>
          <w:rFonts w:hint="default" w:ascii="宋体" w:hAnsi="宋体" w:eastAsia="宋体" w:cs="宋体"/>
          <w:b/>
          <w:bCs/>
          <w:kern w:val="0"/>
          <w:sz w:val="32"/>
          <w:szCs w:val="32"/>
          <w:lang w:val="en-US" w:eastAsia="zh-CN"/>
        </w:rPr>
      </w:pPr>
      <w:r>
        <w:rPr>
          <w:rFonts w:hint="eastAsia" w:ascii="宋体" w:hAnsi="宋体" w:eastAsia="宋体" w:cs="仿宋_GB2312"/>
          <w:b/>
          <w:bCs/>
          <w:color w:val="000000"/>
          <w:kern w:val="0"/>
          <w:sz w:val="32"/>
          <w:szCs w:val="32"/>
        </w:rPr>
        <w:t>项目名称：</w:t>
      </w:r>
      <w:r>
        <w:rPr>
          <w:rFonts w:hint="eastAsia" w:ascii="宋体" w:hAnsi="宋体" w:eastAsia="宋体" w:cs="宋体"/>
          <w:b/>
          <w:bCs/>
          <w:kern w:val="0"/>
          <w:sz w:val="32"/>
          <w:szCs w:val="32"/>
          <w:lang w:val="en-US" w:eastAsia="zh-CN"/>
        </w:rPr>
        <w:t>2023年疫情防控专项资金项目</w:t>
      </w:r>
    </w:p>
    <w:p>
      <w:pPr>
        <w:pageBreakBefore w:val="0"/>
        <w:kinsoku/>
        <w:wordWrap/>
        <w:overflowPunct/>
        <w:topLinePunct w:val="0"/>
        <w:autoSpaceDE/>
        <w:autoSpaceDN/>
        <w:bidi w:val="0"/>
        <w:spacing w:line="560" w:lineRule="exact"/>
        <w:ind w:firstLine="321" w:firstLineChars="100"/>
        <w:textAlignment w:val="auto"/>
        <w:rPr>
          <w:rFonts w:hint="eastAsia" w:ascii="宋体" w:hAnsi="宋体" w:eastAsia="宋体" w:cs="宋体"/>
          <w:b/>
          <w:bCs/>
          <w:kern w:val="0"/>
          <w:sz w:val="32"/>
          <w:szCs w:val="32"/>
          <w:lang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焉耆县疾病预防控制中心</w:t>
      </w:r>
    </w:p>
    <w:p>
      <w:pPr>
        <w:pageBreakBefore w:val="0"/>
        <w:kinsoku/>
        <w:wordWrap/>
        <w:overflowPunct/>
        <w:topLinePunct w:val="0"/>
        <w:autoSpaceDE/>
        <w:autoSpaceDN/>
        <w:bidi w:val="0"/>
        <w:spacing w:line="560" w:lineRule="exact"/>
        <w:ind w:firstLine="321" w:firstLineChars="100"/>
        <w:textAlignment w:val="auto"/>
        <w:rPr>
          <w:rFonts w:hint="eastAsia" w:ascii="宋体" w:hAnsi="宋体" w:eastAsia="宋体" w:cs="宋体"/>
          <w:b/>
          <w:bCs/>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宋体"/>
          <w:b/>
          <w:bCs/>
          <w:kern w:val="0"/>
          <w:sz w:val="32"/>
          <w:szCs w:val="32"/>
          <w:lang w:eastAsia="zh-CN"/>
        </w:rPr>
        <w:t>焉耆县卫生健康委员会</w:t>
      </w:r>
    </w:p>
    <w:p>
      <w:pPr>
        <w:pageBreakBefore w:val="0"/>
        <w:kinsoku/>
        <w:wordWrap/>
        <w:overflowPunct/>
        <w:topLinePunct w:val="0"/>
        <w:autoSpaceDE/>
        <w:autoSpaceDN/>
        <w:bidi w:val="0"/>
        <w:spacing w:line="560" w:lineRule="exact"/>
        <w:ind w:firstLine="321" w:firstLineChars="100"/>
        <w:textAlignment w:val="auto"/>
        <w:rPr>
          <w:rFonts w:hint="eastAsia" w:ascii="宋体" w:hAnsi="宋体" w:eastAsia="宋体" w:cs="宋体"/>
          <w:b/>
          <w:bCs/>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kern w:val="0"/>
          <w:sz w:val="32"/>
          <w:szCs w:val="32"/>
          <w:lang w:eastAsia="zh-CN"/>
        </w:rPr>
        <w:t>韩喜贤</w:t>
      </w:r>
    </w:p>
    <w:p>
      <w:pPr>
        <w:pageBreakBefore w:val="0"/>
        <w:kinsoku/>
        <w:wordWrap/>
        <w:overflowPunct/>
        <w:topLinePunct w:val="0"/>
        <w:autoSpaceDE/>
        <w:autoSpaceDN/>
        <w:bidi w:val="0"/>
        <w:spacing w:line="560" w:lineRule="exact"/>
        <w:ind w:firstLine="321" w:firstLineChars="100"/>
        <w:textAlignment w:val="auto"/>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填报时间：202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年0</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月</w:t>
      </w:r>
      <w:r>
        <w:rPr>
          <w:rFonts w:hint="eastAsia" w:ascii="宋体" w:hAnsi="宋体" w:eastAsia="宋体" w:cs="仿宋_GB2312"/>
          <w:b/>
          <w:bCs/>
          <w:color w:val="000000"/>
          <w:kern w:val="0"/>
          <w:sz w:val="32"/>
          <w:szCs w:val="32"/>
          <w:lang w:val="en-US" w:eastAsia="zh-CN"/>
        </w:rPr>
        <w:t>20</w:t>
      </w:r>
      <w:r>
        <w:rPr>
          <w:rFonts w:hint="eastAsia" w:ascii="宋体" w:hAnsi="宋体" w:eastAsia="宋体" w:cs="仿宋_GB2312"/>
          <w:b/>
          <w:bCs/>
          <w:color w:val="000000"/>
          <w:kern w:val="0"/>
          <w:sz w:val="32"/>
          <w:szCs w:val="32"/>
        </w:rPr>
        <w:t>日</w:t>
      </w:r>
    </w:p>
    <w:p>
      <w:pPr>
        <w:pageBreakBefore w:val="0"/>
        <w:kinsoku/>
        <w:wordWrap/>
        <w:overflowPunct/>
        <w:topLinePunct w:val="0"/>
        <w:autoSpaceDE/>
        <w:autoSpaceDN/>
        <w:bidi w:val="0"/>
        <w:spacing w:line="560" w:lineRule="exact"/>
        <w:jc w:val="center"/>
        <w:textAlignment w:val="auto"/>
        <w:rPr>
          <w:rFonts w:ascii="宋体" w:hAnsi="宋体" w:eastAsia="宋体" w:cs="Arial"/>
          <w:b/>
          <w:bCs/>
          <w:sz w:val="36"/>
          <w:szCs w:val="36"/>
        </w:rPr>
      </w:pPr>
    </w:p>
    <w:p>
      <w:pPr>
        <w:pageBreakBefore w:val="0"/>
        <w:widowControl/>
        <w:kinsoku/>
        <w:wordWrap/>
        <w:overflowPunct/>
        <w:topLinePunct w:val="0"/>
        <w:autoSpaceDE/>
        <w:autoSpaceDN/>
        <w:bidi w:val="0"/>
        <w:spacing w:line="560" w:lineRule="exact"/>
        <w:jc w:val="left"/>
        <w:textAlignment w:val="auto"/>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9"/>
            <w:pageBreakBefore w:val="0"/>
            <w:kinsoku/>
            <w:wordWrap/>
            <w:overflowPunct/>
            <w:topLinePunct w:val="0"/>
            <w:autoSpaceDE/>
            <w:autoSpaceDN/>
            <w:bidi w:val="0"/>
            <w:spacing w:line="560" w:lineRule="exact"/>
            <w:jc w:val="center"/>
            <w:textAlignment w:val="auto"/>
            <w:rPr>
              <w:rFonts w:ascii="宋体" w:hAnsi="宋体" w:eastAsia="宋体"/>
              <w:b/>
              <w:bCs/>
              <w:color w:val="auto"/>
              <w:lang w:val="zh-CN"/>
            </w:rPr>
          </w:pPr>
          <w:r>
            <w:rPr>
              <w:rFonts w:ascii="宋体" w:hAnsi="宋体" w:eastAsia="宋体"/>
              <w:b/>
              <w:bCs/>
              <w:color w:val="auto"/>
              <w:lang w:val="zh-CN"/>
            </w:rPr>
            <w:t>目录</w:t>
          </w:r>
        </w:p>
        <w:p>
          <w:pPr>
            <w:pStyle w:val="9"/>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6"/>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1"/>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"_Toc68703828" </w:instrText>
          </w:r>
          <w:r>
            <w:fldChar w:fldCharType="separate"/>
          </w:r>
          <w:r>
            <w:rPr>
              <w:rStyle w:val="16"/>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1"/>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"_Toc68703829" </w:instrText>
          </w:r>
          <w:r>
            <w:fldChar w:fldCharType="separate"/>
          </w:r>
          <w:r>
            <w:rPr>
              <w:rStyle w:val="16"/>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9"/>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"_Toc68703830" </w:instrText>
          </w:r>
          <w:r>
            <w:fldChar w:fldCharType="separate"/>
          </w:r>
          <w:r>
            <w:rPr>
              <w:rStyle w:val="16"/>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1"/>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"_Toc68703831" </w:instrText>
          </w:r>
          <w:r>
            <w:fldChar w:fldCharType="separate"/>
          </w:r>
          <w:r>
            <w:rPr>
              <w:rStyle w:val="16"/>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1"/>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"_Toc68703832" </w:instrText>
          </w:r>
          <w:r>
            <w:fldChar w:fldCharType="separate"/>
          </w:r>
          <w:r>
            <w:rPr>
              <w:rStyle w:val="16"/>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1"/>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"_Toc68703833" </w:instrText>
          </w:r>
          <w:r>
            <w:fldChar w:fldCharType="separate"/>
          </w:r>
          <w:r>
            <w:rPr>
              <w:rStyle w:val="16"/>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9"/>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"_Toc68703834" </w:instrText>
          </w:r>
          <w:r>
            <w:fldChar w:fldCharType="separate"/>
          </w:r>
          <w:r>
            <w:rPr>
              <w:rStyle w:val="16"/>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1"/>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"_Toc68703835" </w:instrText>
          </w:r>
          <w:r>
            <w:fldChar w:fldCharType="separate"/>
          </w:r>
          <w:r>
            <w:rPr>
              <w:rStyle w:val="16"/>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1"/>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"_Toc68703836" </w:instrText>
          </w:r>
          <w:r>
            <w:fldChar w:fldCharType="separate"/>
          </w:r>
          <w:r>
            <w:rPr>
              <w:rStyle w:val="16"/>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9"/>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"_Toc68703837" </w:instrText>
          </w:r>
          <w:r>
            <w:fldChar w:fldCharType="separate"/>
          </w:r>
          <w:r>
            <w:rPr>
              <w:rStyle w:val="16"/>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1"/>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"_Toc68703838" </w:instrText>
          </w:r>
          <w:r>
            <w:fldChar w:fldCharType="separate"/>
          </w:r>
          <w:r>
            <w:rPr>
              <w:rStyle w:val="16"/>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1"/>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"_Toc68703839" </w:instrText>
          </w:r>
          <w:r>
            <w:fldChar w:fldCharType="separate"/>
          </w:r>
          <w:r>
            <w:rPr>
              <w:rStyle w:val="16"/>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1"/>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"_Toc68703840" </w:instrText>
          </w:r>
          <w:r>
            <w:fldChar w:fldCharType="separate"/>
          </w:r>
          <w:r>
            <w:rPr>
              <w:rStyle w:val="16"/>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1"/>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"_Toc68703841" </w:instrText>
          </w:r>
          <w:r>
            <w:fldChar w:fldCharType="separate"/>
          </w:r>
          <w:r>
            <w:rPr>
              <w:rStyle w:val="16"/>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9"/>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"_Toc68703842" </w:instrText>
          </w:r>
          <w:r>
            <w:fldChar w:fldCharType="separate"/>
          </w:r>
          <w:r>
            <w:rPr>
              <w:rStyle w:val="16"/>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1"/>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"_Toc68703843" </w:instrText>
          </w:r>
          <w:r>
            <w:fldChar w:fldCharType="separate"/>
          </w:r>
          <w:r>
            <w:rPr>
              <w:rStyle w:val="16"/>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1"/>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"_Toc68703844" </w:instrText>
          </w:r>
          <w:r>
            <w:fldChar w:fldCharType="separate"/>
          </w:r>
          <w:r>
            <w:rPr>
              <w:rStyle w:val="16"/>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9"/>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"_Toc68703845" </w:instrText>
          </w:r>
          <w:r>
            <w:fldChar w:fldCharType="separate"/>
          </w:r>
          <w:r>
            <w:rPr>
              <w:rStyle w:val="16"/>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9"/>
            <w:pageBreakBefore w:val="0"/>
            <w:tabs>
              <w:tab w:val="right" w:leader="dot" w:pos="8834"/>
            </w:tabs>
            <w:kinsoku/>
            <w:wordWrap/>
            <w:overflowPunct/>
            <w:topLinePunct w:val="0"/>
            <w:autoSpaceDE/>
            <w:autoSpaceDN/>
            <w:bidi w:val="0"/>
            <w:spacing w:line="560" w:lineRule="exact"/>
            <w:textAlignment w:val="auto"/>
            <w:rPr>
              <w:rFonts w:cstheme="minorBidi"/>
              <w:kern w:val="2"/>
              <w:sz w:val="21"/>
            </w:rPr>
          </w:pPr>
          <w:r>
            <w:fldChar w:fldCharType="begin"/>
          </w:r>
          <w:r>
            <w:instrText xml:space="preserve"> HYPERLINK \l "_Toc68703846" </w:instrText>
          </w:r>
          <w:r>
            <w:fldChar w:fldCharType="separate"/>
          </w:r>
          <w:r>
            <w:rPr>
              <w:rStyle w:val="16"/>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pPr>
            <w:pageBreakBefore w:val="0"/>
            <w:kinsoku/>
            <w:wordWrap/>
            <w:overflowPunct/>
            <w:topLinePunct w:val="0"/>
            <w:autoSpaceDE/>
            <w:autoSpaceDN/>
            <w:bidi w:val="0"/>
            <w:spacing w:line="560" w:lineRule="exact"/>
            <w:textAlignment w:val="auto"/>
          </w:pPr>
          <w:r>
            <w:rPr>
              <w:b/>
              <w:bCs/>
              <w:lang w:val="zh-CN"/>
            </w:rPr>
            <w:fldChar w:fldCharType="end"/>
          </w:r>
        </w:p>
      </w:sdtContent>
    </w:sdt>
    <w:p>
      <w:pPr>
        <w:pageBreakBefore w:val="0"/>
        <w:widowControl/>
        <w:kinsoku/>
        <w:wordWrap/>
        <w:overflowPunct/>
        <w:topLinePunct w:val="0"/>
        <w:autoSpaceDE/>
        <w:autoSpaceDN/>
        <w:bidi w:val="0"/>
        <w:spacing w:line="560" w:lineRule="exact"/>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spacing w:line="560" w:lineRule="exact"/>
        <w:jc w:val="center"/>
        <w:textAlignment w:val="auto"/>
        <w:outlineLvl w:val="0"/>
        <w:rPr>
          <w:rFonts w:ascii="仿宋_GB2312"/>
          <w:szCs w:val="30"/>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3"/>
        <w:pageBreakBefore w:val="0"/>
        <w:kinsoku/>
        <w:wordWrap/>
        <w:overflowPunct/>
        <w:topLinePunct w:val="0"/>
        <w:autoSpaceDE/>
        <w:autoSpaceDN/>
        <w:bidi w:val="0"/>
        <w:spacing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spacing w:line="560" w:lineRule="exact"/>
        <w:ind w:firstLine="640" w:firstLineChars="200"/>
        <w:textAlignment w:val="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kinsoku/>
        <w:wordWrap/>
        <w:overflowPunct/>
        <w:topLinePunct w:val="0"/>
        <w:autoSpaceDE/>
        <w:autoSpaceDN/>
        <w:bidi w:val="0"/>
        <w:spacing w:line="560" w:lineRule="exact"/>
        <w:ind w:firstLine="600" w:firstLineChars="200"/>
        <w:textAlignment w:val="auto"/>
        <w:rPr>
          <w:rFonts w:hint="eastAsia" w:ascii="仿宋_GB2312"/>
        </w:rPr>
      </w:pPr>
      <w:r>
        <w:rPr>
          <w:rFonts w:hint="eastAsia" w:ascii="仿宋_GB2312"/>
          <w:lang w:val="en-US" w:eastAsia="zh-CN"/>
        </w:rPr>
        <w:t>1、</w:t>
      </w:r>
      <w:r>
        <w:rPr>
          <w:rFonts w:hint="eastAsia" w:ascii="仿宋" w:hAnsi="仿宋" w:eastAsia="仿宋" w:cs="仿宋"/>
          <w:sz w:val="30"/>
          <w:szCs w:val="30"/>
        </w:rPr>
        <w:t>项目背景</w:t>
      </w:r>
    </w:p>
    <w:p>
      <w:pPr>
        <w:pageBreakBefore w:val="0"/>
        <w:kinsoku/>
        <w:wordWrap/>
        <w:overflowPunct/>
        <w:topLinePunct w:val="0"/>
        <w:autoSpaceDE/>
        <w:autoSpaceDN/>
        <w:bidi w:val="0"/>
        <w:spacing w:line="560" w:lineRule="exact"/>
        <w:ind w:firstLine="600" w:firstLineChars="200"/>
        <w:textAlignment w:val="auto"/>
        <w:rPr>
          <w:rFonts w:hint="eastAsia" w:ascii="仿宋" w:hAnsi="仿宋" w:eastAsia="仿宋" w:cs="仿宋"/>
        </w:rPr>
      </w:pPr>
      <w:r>
        <w:rPr>
          <w:rFonts w:hint="eastAsia" w:ascii="仿宋_GB2312"/>
        </w:rPr>
        <w:t>为全面做好焉耆县新型</w:t>
      </w:r>
      <w:r>
        <w:rPr>
          <w:rFonts w:hint="eastAsia" w:ascii="仿宋" w:hAnsi="仿宋" w:eastAsia="仿宋" w:cs="仿宋"/>
          <w:sz w:val="30"/>
          <w:szCs w:val="30"/>
        </w:rPr>
        <w:t>冠状病毒感染的肺炎疫情防控工作，切实维护人民群众身体健康和生命安全，根据1月20日国务院召开电视电话会议精神以及自治区对新型冠状病毒感染的肺炎疫情防控工作部署、《巴州新型冠状病毒感染的肺炎疫情防控方案》和《焉耆县新型冠状病毒感染的肺炎疫情防控方案》为依据，全面开展焉耆县新型冠状病毒感染的肺炎疫情防控工作。</w:t>
      </w:r>
    </w:p>
    <w:p>
      <w:pPr>
        <w:pageBreakBefore w:val="0"/>
        <w:kinsoku/>
        <w:wordWrap/>
        <w:overflowPunct/>
        <w:topLinePunct w:val="0"/>
        <w:autoSpaceDE/>
        <w:autoSpaceDN/>
        <w:bidi w:val="0"/>
        <w:spacing w:line="560" w:lineRule="exact"/>
        <w:ind w:firstLine="600" w:firstLineChars="200"/>
        <w:textAlignment w:val="auto"/>
        <w:rPr>
          <w:rFonts w:ascii="仿宋_GB2312"/>
        </w:rPr>
      </w:pPr>
      <w:r>
        <w:rPr>
          <w:rFonts w:hint="eastAsia" w:ascii="仿宋_GB2312"/>
        </w:rPr>
        <w:t>2、主要内容</w:t>
      </w:r>
      <w:r>
        <w:rPr>
          <w:rFonts w:hint="eastAsia"/>
        </w:rPr>
        <w:t>及</w:t>
      </w:r>
      <w:r>
        <w:rPr>
          <w:rFonts w:hint="eastAsia" w:ascii="仿宋_GB2312"/>
        </w:rPr>
        <w:t>实施情况</w:t>
      </w:r>
    </w:p>
    <w:p>
      <w:pPr>
        <w:pStyle w:val="1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主要内容：根据疫情控制的需要，加强部门协同，采取实施联防联控。加强密切接触者管理，部署密切接触者医学观察工作；加强对公共场所及公共交通的管理；加强人群集中活动管理，减少大型公众聚集性活动；对集中居住和人群密集单位，督促开展晨检工作，检测、排查复核病例定义的患者。</w:t>
      </w:r>
    </w:p>
    <w:p>
      <w:pPr>
        <w:pStyle w:val="1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实施情况：新型冠状病毒感染疫情防治工作由县疾病预防控制中心、各医疗机构要积极开展健康教育，普及疫情防治相关知识，及时向公众解疑释惑，做好疫情防控风险沟通工作。要依法依规、及时准确做好信息报送，加强舆情监测，严禁未经审核发布相关信息，确保社会稳定。县卫健委、县卫生监督所要对辖区医疗卫生机构的预检分诊、发热门诊、隔离病区设置、疫情报告及院感控制等工作进行卫生监督和执法检查。</w:t>
      </w:r>
    </w:p>
    <w:p>
      <w:pPr>
        <w:pageBreakBefore w:val="0"/>
        <w:kinsoku/>
        <w:wordWrap/>
        <w:overflowPunct/>
        <w:topLinePunct w:val="0"/>
        <w:autoSpaceDE/>
        <w:autoSpaceDN/>
        <w:bidi w:val="0"/>
        <w:spacing w:line="560" w:lineRule="exact"/>
        <w:ind w:firstLine="600" w:firstLineChars="200"/>
        <w:textAlignment w:val="auto"/>
        <w:rPr>
          <w:rFonts w:ascii="仿宋_GB2312"/>
        </w:rPr>
      </w:pPr>
      <w:r>
        <w:rPr>
          <w:rFonts w:hint="eastAsia" w:ascii="仿宋_GB2312"/>
          <w:lang w:val="en-US" w:eastAsia="zh-CN"/>
        </w:rPr>
        <w:t>3</w:t>
      </w:r>
      <w:r>
        <w:rPr>
          <w:rFonts w:hint="eastAsia" w:ascii="仿宋_GB2312"/>
        </w:rPr>
        <w:t>、资金投入和使用情况</w:t>
      </w:r>
    </w:p>
    <w:p>
      <w:pPr>
        <w:pageBreakBefore w:val="0"/>
        <w:kinsoku/>
        <w:wordWrap/>
        <w:overflowPunct/>
        <w:topLinePunct w:val="0"/>
        <w:autoSpaceDE/>
        <w:autoSpaceDN/>
        <w:bidi w:val="0"/>
        <w:spacing w:line="560" w:lineRule="exact"/>
        <w:ind w:firstLine="600" w:firstLineChars="200"/>
        <w:textAlignment w:val="auto"/>
        <w:rPr>
          <w:color w:val="auto"/>
        </w:rPr>
      </w:pPr>
      <w:r>
        <w:rPr>
          <w:rFonts w:hint="eastAsia"/>
          <w:color w:val="auto"/>
        </w:rPr>
        <w:t>资金投入情况：该项目年初预算数</w:t>
      </w:r>
      <w:r>
        <w:rPr>
          <w:rFonts w:hint="eastAsia"/>
          <w:color w:val="auto"/>
          <w:lang w:val="en-US" w:eastAsia="zh-CN"/>
        </w:rPr>
        <w:t>1206.88</w:t>
      </w:r>
      <w:r>
        <w:rPr>
          <w:rFonts w:hint="eastAsia"/>
          <w:color w:val="auto"/>
        </w:rPr>
        <w:t>万元，全年预算数</w:t>
      </w:r>
      <w:r>
        <w:rPr>
          <w:rFonts w:hint="eastAsia"/>
          <w:color w:val="auto"/>
          <w:lang w:val="en-US" w:eastAsia="zh-CN"/>
        </w:rPr>
        <w:t>1206.88</w:t>
      </w:r>
      <w:r>
        <w:rPr>
          <w:rFonts w:hint="eastAsia"/>
          <w:color w:val="auto"/>
        </w:rPr>
        <w:t>万元，实际总投入</w:t>
      </w:r>
      <w:r>
        <w:rPr>
          <w:rFonts w:hint="eastAsia"/>
          <w:color w:val="auto"/>
          <w:lang w:val="en-US" w:eastAsia="zh-CN"/>
        </w:rPr>
        <w:t>1206.88</w:t>
      </w:r>
      <w:r>
        <w:rPr>
          <w:rFonts w:hint="eastAsia"/>
          <w:color w:val="auto"/>
        </w:rPr>
        <w:t>万元，该项目资金已全部落实到位，资金来源为</w:t>
      </w:r>
      <w:r>
        <w:rPr>
          <w:rFonts w:hint="eastAsia" w:ascii="仿宋" w:hAnsi="仿宋" w:eastAsia="仿宋" w:cs="仿宋"/>
          <w:b w:val="0"/>
          <w:bCs w:val="0"/>
          <w:color w:val="auto"/>
          <w:lang w:val="en-US" w:eastAsia="zh-CN"/>
        </w:rPr>
        <w:t>中央专项资金</w:t>
      </w:r>
      <w:r>
        <w:rPr>
          <w:rFonts w:hint="eastAsia"/>
          <w:color w:val="auto"/>
        </w:rPr>
        <w:t>。</w:t>
      </w:r>
    </w:p>
    <w:p>
      <w:pPr>
        <w:pageBreakBefore w:val="0"/>
        <w:kinsoku/>
        <w:wordWrap/>
        <w:overflowPunct/>
        <w:topLinePunct w:val="0"/>
        <w:autoSpaceDE/>
        <w:autoSpaceDN/>
        <w:bidi w:val="0"/>
        <w:spacing w:line="560" w:lineRule="exact"/>
        <w:ind w:firstLine="600" w:firstLineChars="200"/>
        <w:textAlignment w:val="auto"/>
        <w:rPr>
          <w:rFonts w:hint="eastAsia"/>
          <w:color w:val="auto"/>
        </w:rPr>
      </w:pPr>
      <w:r>
        <w:rPr>
          <w:rFonts w:hint="eastAsia"/>
          <w:color w:val="auto"/>
        </w:rPr>
        <w:t>资金使用情况：该项目年初预算数</w:t>
      </w:r>
      <w:r>
        <w:rPr>
          <w:rFonts w:hint="eastAsia"/>
          <w:color w:val="auto"/>
          <w:lang w:val="en-US" w:eastAsia="zh-CN"/>
        </w:rPr>
        <w:t>1206.88</w:t>
      </w:r>
      <w:r>
        <w:rPr>
          <w:rFonts w:hint="eastAsia"/>
          <w:color w:val="auto"/>
        </w:rPr>
        <w:t>万元，全年预算数</w:t>
      </w:r>
      <w:r>
        <w:rPr>
          <w:rFonts w:hint="eastAsia"/>
          <w:color w:val="auto"/>
          <w:lang w:val="en-US" w:eastAsia="zh-CN"/>
        </w:rPr>
        <w:t>1206.88</w:t>
      </w:r>
      <w:r>
        <w:rPr>
          <w:rFonts w:hint="eastAsia"/>
          <w:color w:val="auto"/>
        </w:rPr>
        <w:t>万元，全年执行数</w:t>
      </w:r>
      <w:r>
        <w:rPr>
          <w:rFonts w:hint="eastAsia"/>
          <w:color w:val="auto"/>
          <w:lang w:val="en-US" w:eastAsia="zh-CN"/>
        </w:rPr>
        <w:t>1206.88</w:t>
      </w:r>
      <w:r>
        <w:rPr>
          <w:rFonts w:hint="eastAsia"/>
          <w:color w:val="auto"/>
        </w:rPr>
        <w:t>万元，预算执行率为</w:t>
      </w:r>
      <w:r>
        <w:rPr>
          <w:rFonts w:hint="eastAsia"/>
          <w:color w:val="auto"/>
          <w:lang w:val="en-US" w:eastAsia="zh-CN"/>
        </w:rPr>
        <w:t>100</w:t>
      </w:r>
      <w:r>
        <w:rPr>
          <w:rFonts w:hint="eastAsia"/>
          <w:color w:val="auto"/>
        </w:rPr>
        <w:t>%，</w:t>
      </w:r>
      <w:r>
        <w:rPr>
          <w:rFonts w:hint="eastAsia"/>
          <w:color w:val="auto"/>
          <w:lang w:val="en-US" w:eastAsia="zh-CN"/>
        </w:rPr>
        <w:t>3.82万元用于</w:t>
      </w:r>
      <w:r>
        <w:rPr>
          <w:rFonts w:hint="eastAsia"/>
          <w:color w:val="auto"/>
        </w:rPr>
        <w:t>防疫知识宣传单</w:t>
      </w:r>
      <w:r>
        <w:rPr>
          <w:rFonts w:hint="eastAsia"/>
          <w:color w:val="auto"/>
          <w:lang w:val="en-US" w:eastAsia="zh-CN"/>
        </w:rPr>
        <w:t>制作，856.28万元用于疫情防控物资的采购,346.78万元用于隔离点疫情物资的采购</w:t>
      </w:r>
      <w:r>
        <w:rPr>
          <w:rFonts w:hint="eastAsia"/>
          <w:color w:val="auto"/>
        </w:rPr>
        <w:t>。</w:t>
      </w:r>
    </w:p>
    <w:p>
      <w:pPr>
        <w:pStyle w:val="4"/>
        <w:pageBreakBefore w:val="0"/>
        <w:kinsoku/>
        <w:wordWrap/>
        <w:overflowPunct/>
        <w:topLinePunct w:val="0"/>
        <w:autoSpaceDE/>
        <w:autoSpaceDN/>
        <w:bidi w:val="0"/>
        <w:spacing w:line="560" w:lineRule="exact"/>
        <w:ind w:firstLine="640" w:firstLineChars="200"/>
        <w:textAlignment w:val="auto"/>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pageBreakBefore w:val="0"/>
        <w:widowControl w:val="0"/>
        <w:numPr>
          <w:ilvl w:val="0"/>
          <w:numId w:val="0"/>
        </w:numPr>
        <w:kinsoku/>
        <w:wordWrap/>
        <w:overflowPunct/>
        <w:topLinePunct w:val="0"/>
        <w:autoSpaceDE/>
        <w:autoSpaceDN/>
        <w:bidi w:val="0"/>
        <w:adjustRightInd/>
        <w:spacing w:line="560" w:lineRule="exact"/>
        <w:ind w:firstLine="600" w:firstLineChars="200"/>
        <w:textAlignment w:val="auto"/>
        <w:rPr>
          <w:rFonts w:hint="eastAsia" w:eastAsia="仿宋"/>
          <w:lang w:val="en-US" w:eastAsia="zh-CN"/>
        </w:rPr>
      </w:pPr>
      <w:r>
        <w:rPr>
          <w:rFonts w:hint="eastAsia"/>
        </w:rPr>
        <w:t>1、总体目标：</w:t>
      </w:r>
      <w:r>
        <w:rPr>
          <w:rFonts w:hint="eastAsia" w:ascii="仿宋" w:hAnsi="仿宋" w:eastAsia="仿宋" w:cs="仿宋"/>
          <w:color w:val="000000" w:themeColor="text1"/>
          <w14:textFill>
            <w14:solidFill>
              <w14:schemeClr w14:val="tx1"/>
            </w14:solidFill>
          </w14:textFill>
        </w:rPr>
        <w:t>全面做好焉耆县新型冠状病毒感染的肺炎疫情防控工作，切实维护人民群众身体健康和生命安全，集中全县一切力量保障疫情防控医用物资的需求，保障疫情指挥部日常工作和各个隔离点日常物资的供应，做好疫情防控，全县人民生活生产恢复正常</w:t>
      </w:r>
      <w:r>
        <w:rPr>
          <w:rFonts w:hint="eastAsia" w:ascii="仿宋" w:hAnsi="仿宋" w:eastAsia="仿宋" w:cs="仿宋"/>
          <w:color w:val="000000" w:themeColor="text1"/>
          <w:lang w:eastAsia="zh-CN"/>
          <w14:textFill>
            <w14:solidFill>
              <w14:schemeClr w14:val="tx1"/>
            </w14:solidFill>
          </w14:textFill>
        </w:rPr>
        <w:t>。</w:t>
      </w:r>
    </w:p>
    <w:p>
      <w:pPr>
        <w:pageBreakBefore w:val="0"/>
        <w:widowControl w:val="0"/>
        <w:numPr>
          <w:ilvl w:val="0"/>
          <w:numId w:val="0"/>
        </w:numPr>
        <w:kinsoku/>
        <w:wordWrap/>
        <w:overflowPunct/>
        <w:topLinePunct w:val="0"/>
        <w:autoSpaceDE/>
        <w:autoSpaceDN/>
        <w:bidi w:val="0"/>
        <w:adjustRightInd/>
        <w:spacing w:line="560" w:lineRule="exact"/>
        <w:ind w:firstLine="600" w:firstLineChars="200"/>
        <w:textAlignment w:val="auto"/>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2、阶段性目标：</w:t>
      </w:r>
    </w:p>
    <w:p>
      <w:pPr>
        <w:pageBreakBefore w:val="0"/>
        <w:kinsoku/>
        <w:wordWrap/>
        <w:overflowPunct/>
        <w:topLinePunct w:val="0"/>
        <w:autoSpaceDE/>
        <w:autoSpaceDN/>
        <w:bidi w:val="0"/>
        <w:spacing w:line="560" w:lineRule="exact"/>
        <w:ind w:firstLine="600" w:firstLineChars="200"/>
        <w:textAlignment w:val="auto"/>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根据2020年全县疫情防控期间医用物资的实时需求、疫情指挥部日常工作开展和各个隔离点日常物资的供应需求，投入1206.88万元保障提供疫情防控所需物资，计划制作疫情防控宣传册16.4万份，</w:t>
      </w:r>
      <w:r>
        <w:rPr>
          <w:rFonts w:hint="eastAsia"/>
          <w:color w:val="auto"/>
          <w:lang w:val="en-US" w:eastAsia="zh-CN"/>
        </w:rPr>
        <w:t>3.82万元用于</w:t>
      </w:r>
      <w:r>
        <w:rPr>
          <w:rFonts w:hint="eastAsia"/>
          <w:color w:val="auto"/>
        </w:rPr>
        <w:t>防疫知识宣传单</w:t>
      </w:r>
      <w:r>
        <w:rPr>
          <w:rFonts w:hint="eastAsia"/>
          <w:color w:val="auto"/>
          <w:lang w:val="en-US" w:eastAsia="zh-CN"/>
        </w:rPr>
        <w:t>制作，856.28万元用于疫情防控物资的采购,346.78万元用于隔离点疫情物资的采购</w:t>
      </w:r>
      <w:r>
        <w:rPr>
          <w:rFonts w:hint="eastAsia" w:ascii="仿宋" w:hAnsi="仿宋" w:eastAsia="仿宋" w:cs="仿宋"/>
          <w:color w:val="000000" w:themeColor="text1"/>
          <w:lang w:val="en-US" w:eastAsia="zh-CN"/>
          <w14:textFill>
            <w14:solidFill>
              <w14:schemeClr w14:val="tx1"/>
            </w14:solidFill>
          </w14:textFill>
        </w:rPr>
        <w:t>,全面做好焉耆县新型冠状病毒感染的肺炎疫情防控工作，切实维护人民群众身体健康和生命安全，使全县疫情得到有效控制，保障全县人民生活生产恢复正常。</w:t>
      </w:r>
    </w:p>
    <w:p>
      <w:pPr>
        <w:pStyle w:val="3"/>
        <w:pageBreakBefore w:val="0"/>
        <w:kinsoku/>
        <w:wordWrap/>
        <w:overflowPunct/>
        <w:topLinePunct w:val="0"/>
        <w:autoSpaceDE/>
        <w:autoSpaceDN/>
        <w:bidi w:val="0"/>
        <w:spacing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pPr>
      <w:r>
        <w:rPr>
          <w:rFonts w:hint="eastAsia"/>
        </w:rPr>
        <w:t>1、绩效评价目的：</w:t>
      </w:r>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val="en-US" w:eastAsia="zh-CN"/>
        </w:rPr>
        <w:t>2023年疫情防控专项资金项目</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outlineLvl w:val="2"/>
      </w:pPr>
      <w:r>
        <w:rPr>
          <w:rFonts w:hint="eastAsia"/>
        </w:rPr>
        <w:t>2、绩效评价对象：</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lang w:val="en-US" w:eastAsia="zh-CN"/>
        </w:rPr>
        <w:t>2023年疫情防控专项资金项目</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pPr>
      <w:r>
        <w:rPr>
          <w:rFonts w:hint="eastAsia"/>
        </w:rPr>
        <w:t>3、绩效评价范围：</w:t>
      </w:r>
    </w:p>
    <w:p>
      <w:pPr>
        <w:pageBreakBefore w:val="0"/>
        <w:widowControl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本次评价从2023年疫情防控专项资金项目决策（包括绩效目标、决策过程）、项目管理（包括项目资金、项目实施）、项目产出（包括项目产出数量、产出质量、产出时效和产出成本）项目效益四个维度进行重大传染病补助资金项目评价，评价核心为专项资金的支出完成情况和效果。</w:t>
      </w:r>
    </w:p>
    <w:p>
      <w:pPr>
        <w:pStyle w:val="4"/>
        <w:pageBreakBefore w:val="0"/>
        <w:kinsoku/>
        <w:wordWrap/>
        <w:overflowPunct/>
        <w:topLinePunct w:val="0"/>
        <w:autoSpaceDE/>
        <w:autoSpaceDN/>
        <w:bidi w:val="0"/>
        <w:spacing w:line="560" w:lineRule="exact"/>
        <w:ind w:firstLine="640" w:firstLineChars="200"/>
        <w:textAlignment w:val="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pageBreakBefore w:val="0"/>
        <w:kinsoku/>
        <w:wordWrap/>
        <w:overflowPunct/>
        <w:topLinePunct w:val="0"/>
        <w:autoSpaceDE/>
        <w:autoSpaceDN/>
        <w:bidi w:val="0"/>
        <w:spacing w:line="560" w:lineRule="exact"/>
        <w:ind w:firstLine="600" w:firstLineChars="200"/>
        <w:textAlignment w:val="auto"/>
        <w:outlineLvl w:val="2"/>
      </w:pPr>
      <w:r>
        <w:rPr>
          <w:rFonts w:hint="eastAsia"/>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一）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基本公共项目实施情况评价，确保评价过程及结果客观、公正。</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（二）统筹兼顾。我单位组织评价小组，对基本公共项目实施情况评价，部门评价和财政评价在单位自评的基础上开展，职责明确，各有侧重，相互衔接。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（三）激励约束。绩效评价结果应与资金分配挂钩，建立健全评价结果与与财政预算资金分配挂钩，并作为改进管理、完善政策的重要依据，向上一年度绩效评价考核优秀的部门倾斜。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四）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pageBreakBefore w:val="0"/>
        <w:kinsoku/>
        <w:wordWrap/>
        <w:overflowPunct/>
        <w:topLinePunct w:val="0"/>
        <w:autoSpaceDE/>
        <w:autoSpaceDN/>
        <w:bidi w:val="0"/>
        <w:spacing w:line="560" w:lineRule="exact"/>
        <w:ind w:firstLine="600" w:firstLineChars="200"/>
        <w:textAlignment w:val="auto"/>
        <w:outlineLvl w:val="2"/>
      </w:pPr>
      <w:r>
        <w:rPr>
          <w:rFonts w:hint="eastAsia"/>
        </w:rPr>
        <w:t>2、评价指标体系（附表说明）</w:t>
      </w:r>
    </w:p>
    <w:p>
      <w:pPr>
        <w:pStyle w:val="4"/>
        <w:pageBreakBefore w:val="0"/>
        <w:kinsoku/>
        <w:wordWrap/>
        <w:overflowPunct/>
        <w:topLinePunct w:val="0"/>
        <w:autoSpaceDE/>
        <w:autoSpaceDN/>
        <w:bidi w:val="0"/>
        <w:spacing w:before="0" w:after="0" w:line="560" w:lineRule="exact"/>
        <w:jc w:val="center"/>
        <w:textAlignment w:val="auto"/>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2023年疫情防控专项资金项目</w:t>
      </w:r>
      <w:r>
        <w:rPr>
          <w:rFonts w:hint="eastAsia" w:ascii="Times New Roman" w:hAnsi="Times New Roman" w:eastAsia="仿宋_GB2312" w:cs="Times New Roman"/>
          <w:b w:val="0"/>
          <w:bCs w:val="0"/>
          <w:sz w:val="30"/>
          <w:szCs w:val="24"/>
        </w:rPr>
        <w:t>支出绩效评价指标体系</w:t>
      </w:r>
    </w:p>
    <w:tbl>
      <w:tblPr>
        <w:tblStyle w:val="13"/>
        <w:tblW w:w="5000"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696"/>
        <w:gridCol w:w="696"/>
        <w:gridCol w:w="783"/>
        <w:gridCol w:w="5652"/>
        <w:gridCol w:w="616"/>
        <w:gridCol w:w="61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54" w:hRule="atLeast"/>
          <w:tblHeader/>
          <w:jc w:val="center"/>
        </w:trPr>
        <w:tc>
          <w:tcPr>
            <w:tcW w:w="384" w:type="pc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384" w:type="pc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118"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340" w:type="pct"/>
            <w:tcBorders>
              <w:left w:val="single" w:color="auto" w:sz="4" w:space="0"/>
            </w:tcBorders>
            <w:shd w:val="clear" w:color="auto" w:fill="FFFFFF"/>
          </w:tcPr>
          <w:p>
            <w:pPr>
              <w:pageBreakBefore w:val="0"/>
              <w:widowControl/>
              <w:kinsoku/>
              <w:wordWrap/>
              <w:overflowPunct/>
              <w:topLinePunct w:val="0"/>
              <w:autoSpaceDE/>
              <w:autoSpaceDN/>
              <w:bidi w:val="0"/>
              <w:spacing w:line="56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340" w:type="pct"/>
            <w:shd w:val="clear" w:color="auto" w:fill="FFFFFF"/>
          </w:tcPr>
          <w:p>
            <w:pPr>
              <w:pageBreakBefore w:val="0"/>
              <w:widowControl/>
              <w:kinsoku/>
              <w:wordWrap/>
              <w:overflowPunct/>
              <w:topLinePunct w:val="0"/>
              <w:autoSpaceDE/>
              <w:autoSpaceDN/>
              <w:bidi w:val="0"/>
              <w:spacing w:line="56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35" w:hRule="atLeast"/>
          <w:jc w:val="center"/>
        </w:trPr>
        <w:tc>
          <w:tcPr>
            <w:tcW w:w="384" w:type="pct"/>
            <w:vMerge w:val="restar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决策</w:t>
            </w:r>
          </w:p>
        </w:tc>
        <w:tc>
          <w:tcPr>
            <w:tcW w:w="384" w:type="pct"/>
            <w:vMerge w:val="restar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项目立项　</w:t>
            </w: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立项依据</w:t>
            </w:r>
          </w:p>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充分性</w:t>
            </w:r>
          </w:p>
        </w:tc>
        <w:tc>
          <w:tcPr>
            <w:tcW w:w="3118"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340" w:type="pct"/>
            <w:tcBorders>
              <w:left w:val="single" w:color="auto" w:sz="4" w:space="0"/>
            </w:tcBorders>
            <w:shd w:val="clear" w:color="auto"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5</w:t>
            </w:r>
          </w:p>
        </w:tc>
        <w:tc>
          <w:tcPr>
            <w:tcW w:w="340" w:type="pct"/>
            <w:tcBorders>
              <w:bottom w:val="single" w:color="auto" w:sz="4" w:space="0"/>
            </w:tcBorders>
            <w:shd w:val="clear" w:color="auto"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384" w:type="pct"/>
            <w:vMerge w:val="continue"/>
            <w:shd w:val="clear" w:color="auto" w:fill="FFFFFF"/>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84" w:type="pct"/>
            <w:vMerge w:val="continue"/>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立项程序</w:t>
            </w:r>
          </w:p>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规范性</w:t>
            </w:r>
          </w:p>
        </w:tc>
        <w:tc>
          <w:tcPr>
            <w:tcW w:w="3118"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340" w:type="pct"/>
            <w:tcBorders>
              <w:left w:val="single" w:color="auto" w:sz="4" w:space="0"/>
            </w:tcBorders>
            <w:shd w:val="clear" w:color="auto"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5</w:t>
            </w:r>
          </w:p>
        </w:tc>
        <w:tc>
          <w:tcPr>
            <w:tcW w:w="340" w:type="pct"/>
            <w:shd w:val="clear" w:color="auto"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384" w:type="pct"/>
            <w:vMerge w:val="continue"/>
            <w:shd w:val="clear" w:color="auto" w:fill="FFFFFF"/>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84" w:type="pct"/>
            <w:vMerge w:val="restar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绩效目标</w:t>
            </w: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绩效目标</w:t>
            </w:r>
          </w:p>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合理性</w:t>
            </w:r>
          </w:p>
        </w:tc>
        <w:tc>
          <w:tcPr>
            <w:tcW w:w="3118" w:type="pct"/>
            <w:tcBorders>
              <w:right w:val="single" w:color="auto" w:sz="4" w:space="0"/>
            </w:tcBorders>
            <w:shd w:val="clear" w:color="000000"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340" w:type="pct"/>
            <w:tcBorders>
              <w:left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2.5</w:t>
            </w:r>
          </w:p>
        </w:tc>
        <w:tc>
          <w:tcPr>
            <w:tcW w:w="340" w:type="pct"/>
            <w:shd w:val="clear" w:color="000000"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384" w:type="pct"/>
            <w:vMerge w:val="continue"/>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84" w:type="pct"/>
            <w:vMerge w:val="continue"/>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绩效指标</w:t>
            </w:r>
          </w:p>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明确性</w:t>
            </w:r>
          </w:p>
        </w:tc>
        <w:tc>
          <w:tcPr>
            <w:tcW w:w="3118" w:type="pct"/>
            <w:tcBorders>
              <w:right w:val="single" w:color="auto" w:sz="4" w:space="0"/>
            </w:tcBorders>
            <w:shd w:val="clear" w:color="000000"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340" w:type="pct"/>
            <w:tcBorders>
              <w:left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2.5</w:t>
            </w:r>
          </w:p>
        </w:tc>
        <w:tc>
          <w:tcPr>
            <w:tcW w:w="340" w:type="pct"/>
            <w:tcBorders>
              <w:bottom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384" w:type="pct"/>
            <w:vMerge w:val="continue"/>
            <w:shd w:val="clear" w:color="auto" w:fill="FFFFFF"/>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84" w:type="pct"/>
            <w:vMerge w:val="restar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资金投入</w:t>
            </w:r>
          </w:p>
          <w:p>
            <w:pPr>
              <w:pageBreakBefore w:val="0"/>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　</w:t>
            </w: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预算编制</w:t>
            </w:r>
          </w:p>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科学性</w:t>
            </w:r>
          </w:p>
        </w:tc>
        <w:tc>
          <w:tcPr>
            <w:tcW w:w="3118"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340" w:type="pct"/>
            <w:tcBorders>
              <w:left w:val="single" w:color="auto" w:sz="4" w:space="0"/>
            </w:tcBorders>
            <w:shd w:val="clear" w:color="auto"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2.5</w:t>
            </w:r>
          </w:p>
        </w:tc>
        <w:tc>
          <w:tcPr>
            <w:tcW w:w="340" w:type="pct"/>
            <w:tcBorders>
              <w:bottom w:val="single" w:color="auto" w:sz="4" w:space="0"/>
            </w:tcBorders>
            <w:shd w:val="clear" w:color="auto"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384" w:type="pct"/>
            <w:vMerge w:val="continue"/>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84" w:type="pct"/>
            <w:vMerge w:val="continue"/>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资金分配</w:t>
            </w:r>
          </w:p>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合理性</w:t>
            </w:r>
          </w:p>
        </w:tc>
        <w:tc>
          <w:tcPr>
            <w:tcW w:w="3118"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340" w:type="pct"/>
            <w:tcBorders>
              <w:left w:val="single" w:color="auto" w:sz="4" w:space="0"/>
            </w:tcBorders>
            <w:shd w:val="clear" w:color="auto"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2.5</w:t>
            </w:r>
          </w:p>
        </w:tc>
        <w:tc>
          <w:tcPr>
            <w:tcW w:w="340" w:type="pct"/>
            <w:shd w:val="clear" w:color="auto"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384" w:type="pct"/>
            <w:vMerge w:val="restart"/>
            <w:shd w:val="clear" w:color="auto" w:fill="FFFFFF"/>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过程</w:t>
            </w:r>
          </w:p>
        </w:tc>
        <w:tc>
          <w:tcPr>
            <w:tcW w:w="384" w:type="pct"/>
            <w:vMerge w:val="restar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资金管理</w:t>
            </w: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资金到位率</w:t>
            </w:r>
          </w:p>
        </w:tc>
        <w:tc>
          <w:tcPr>
            <w:tcW w:w="3118" w:type="pct"/>
            <w:tcBorders>
              <w:right w:val="single" w:color="auto" w:sz="4" w:space="0"/>
            </w:tcBorders>
            <w:shd w:val="clear" w:color="000000"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340" w:type="pct"/>
            <w:tcBorders>
              <w:left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4</w:t>
            </w:r>
          </w:p>
        </w:tc>
        <w:tc>
          <w:tcPr>
            <w:tcW w:w="340" w:type="pct"/>
            <w:tcBorders>
              <w:bottom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384" w:type="pct"/>
            <w:vMerge w:val="continue"/>
            <w:shd w:val="clear" w:color="auto" w:fill="FFFFFF"/>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84" w:type="pct"/>
            <w:vMerge w:val="continue"/>
            <w:shd w:val="clear" w:color="auto" w:fill="FFFFFF"/>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预算执行率</w:t>
            </w:r>
          </w:p>
        </w:tc>
        <w:tc>
          <w:tcPr>
            <w:tcW w:w="3118"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340" w:type="pct"/>
            <w:tcBorders>
              <w:left w:val="single" w:color="auto" w:sz="4" w:space="0"/>
            </w:tcBorders>
            <w:shd w:val="clear" w:color="auto"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4</w:t>
            </w:r>
          </w:p>
        </w:tc>
        <w:tc>
          <w:tcPr>
            <w:tcW w:w="340" w:type="pct"/>
            <w:tcBorders>
              <w:bottom w:val="single" w:color="auto" w:sz="4" w:space="0"/>
            </w:tcBorders>
            <w:shd w:val="clear" w:color="auto"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384" w:type="pct"/>
            <w:vMerge w:val="continue"/>
            <w:shd w:val="clear" w:color="auto" w:fill="FFFFFF"/>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84" w:type="pc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资金管理</w:t>
            </w: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资金使用</w:t>
            </w:r>
          </w:p>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合规性</w:t>
            </w:r>
          </w:p>
        </w:tc>
        <w:tc>
          <w:tcPr>
            <w:tcW w:w="3118" w:type="pct"/>
            <w:tcBorders>
              <w:right w:val="single" w:color="auto" w:sz="4" w:space="0"/>
            </w:tcBorders>
            <w:shd w:val="clear" w:color="000000"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340" w:type="pct"/>
            <w:tcBorders>
              <w:left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4</w:t>
            </w:r>
          </w:p>
        </w:tc>
        <w:tc>
          <w:tcPr>
            <w:tcW w:w="340" w:type="pct"/>
            <w:tcBorders>
              <w:bottom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384" w:type="pct"/>
            <w:vMerge w:val="continue"/>
            <w:shd w:val="clear" w:color="auto" w:fill="FFFFFF"/>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84" w:type="pct"/>
            <w:vMerge w:val="restar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组织实施</w:t>
            </w:r>
          </w:p>
          <w:p>
            <w:pPr>
              <w:pageBreakBefore w:val="0"/>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　</w:t>
            </w: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管理制度</w:t>
            </w:r>
          </w:p>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健全性</w:t>
            </w:r>
          </w:p>
        </w:tc>
        <w:tc>
          <w:tcPr>
            <w:tcW w:w="3118" w:type="pct"/>
            <w:tcBorders>
              <w:right w:val="single" w:color="auto" w:sz="4" w:space="0"/>
            </w:tcBorders>
            <w:shd w:val="clear" w:color="000000"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340" w:type="pct"/>
            <w:tcBorders>
              <w:left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4</w:t>
            </w:r>
          </w:p>
        </w:tc>
        <w:tc>
          <w:tcPr>
            <w:tcW w:w="340" w:type="pct"/>
            <w:tcBorders>
              <w:bottom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384" w:type="pct"/>
            <w:vMerge w:val="continue"/>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84" w:type="pct"/>
            <w:vMerge w:val="continue"/>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制度执行</w:t>
            </w:r>
          </w:p>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有效性</w:t>
            </w:r>
          </w:p>
        </w:tc>
        <w:tc>
          <w:tcPr>
            <w:tcW w:w="3118" w:type="pct"/>
            <w:tcBorders>
              <w:right w:val="single" w:color="auto" w:sz="4" w:space="0"/>
            </w:tcBorders>
            <w:shd w:val="clear" w:color="000000"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340" w:type="pct"/>
            <w:tcBorders>
              <w:left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4</w:t>
            </w:r>
          </w:p>
        </w:tc>
        <w:tc>
          <w:tcPr>
            <w:tcW w:w="340" w:type="pct"/>
            <w:tcBorders>
              <w:bottom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384" w:type="pct"/>
            <w:vMerge w:val="restar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产出</w:t>
            </w:r>
          </w:p>
        </w:tc>
        <w:tc>
          <w:tcPr>
            <w:tcW w:w="384" w:type="pc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产出数量</w:t>
            </w: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实际完成率</w:t>
            </w:r>
          </w:p>
        </w:tc>
        <w:tc>
          <w:tcPr>
            <w:tcW w:w="3118" w:type="pct"/>
            <w:tcBorders>
              <w:right w:val="single" w:color="auto" w:sz="4" w:space="0"/>
            </w:tcBorders>
            <w:shd w:val="clear" w:color="000000"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340" w:type="pct"/>
            <w:tcBorders>
              <w:left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10</w:t>
            </w:r>
          </w:p>
        </w:tc>
        <w:tc>
          <w:tcPr>
            <w:tcW w:w="340" w:type="pct"/>
            <w:shd w:val="clear" w:color="000000"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384" w:type="pct"/>
            <w:vMerge w:val="continue"/>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84" w:type="pc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产出质量</w:t>
            </w: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质量达标率</w:t>
            </w:r>
          </w:p>
        </w:tc>
        <w:tc>
          <w:tcPr>
            <w:tcW w:w="3118" w:type="pct"/>
            <w:tcBorders>
              <w:right w:val="single" w:color="auto" w:sz="4" w:space="0"/>
            </w:tcBorders>
            <w:shd w:val="clear" w:color="000000"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340" w:type="pct"/>
            <w:tcBorders>
              <w:left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10</w:t>
            </w:r>
          </w:p>
        </w:tc>
        <w:tc>
          <w:tcPr>
            <w:tcW w:w="340" w:type="pct"/>
            <w:shd w:val="clear" w:color="000000"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384" w:type="pct"/>
            <w:vMerge w:val="continue"/>
            <w:shd w:val="clear" w:color="auto" w:fill="FFFFFF"/>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84" w:type="pct"/>
            <w:shd w:val="clear" w:color="auto" w:fill="FFFFFF"/>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产出时效</w:t>
            </w: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完成及时性</w:t>
            </w:r>
          </w:p>
        </w:tc>
        <w:tc>
          <w:tcPr>
            <w:tcW w:w="3118" w:type="pct"/>
            <w:tcBorders>
              <w:right w:val="single" w:color="auto" w:sz="4" w:space="0"/>
            </w:tcBorders>
            <w:shd w:val="clear" w:color="000000"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340" w:type="pct"/>
            <w:tcBorders>
              <w:left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10</w:t>
            </w:r>
          </w:p>
        </w:tc>
        <w:tc>
          <w:tcPr>
            <w:tcW w:w="340" w:type="pct"/>
            <w:shd w:val="clear" w:color="000000"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384" w:type="pct"/>
            <w:vMerge w:val="continue"/>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84" w:type="pc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产出成本</w:t>
            </w: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成本节约率</w:t>
            </w:r>
          </w:p>
        </w:tc>
        <w:tc>
          <w:tcPr>
            <w:tcW w:w="3118"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340" w:type="pct"/>
            <w:tcBorders>
              <w:left w:val="single" w:color="auto" w:sz="4" w:space="0"/>
            </w:tcBorders>
            <w:shd w:val="clear" w:color="auto"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10</w:t>
            </w:r>
          </w:p>
        </w:tc>
        <w:tc>
          <w:tcPr>
            <w:tcW w:w="340" w:type="pct"/>
            <w:shd w:val="clear" w:color="auto"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384" w:type="pct"/>
            <w:vMerge w:val="restar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效益　</w:t>
            </w:r>
          </w:p>
        </w:tc>
        <w:tc>
          <w:tcPr>
            <w:tcW w:w="384" w:type="pct"/>
            <w:vMerge w:val="restar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项目效益　</w:t>
            </w: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实施效益</w:t>
            </w:r>
          </w:p>
        </w:tc>
        <w:tc>
          <w:tcPr>
            <w:tcW w:w="3118"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项目实施所产生的效益。</w:t>
            </w:r>
          </w:p>
        </w:tc>
        <w:tc>
          <w:tcPr>
            <w:tcW w:w="340" w:type="pct"/>
            <w:tcBorders>
              <w:left w:val="single" w:color="auto" w:sz="4" w:space="0"/>
            </w:tcBorders>
            <w:shd w:val="clear" w:color="auto"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15</w:t>
            </w:r>
          </w:p>
        </w:tc>
        <w:tc>
          <w:tcPr>
            <w:tcW w:w="340" w:type="pct"/>
            <w:shd w:val="clear" w:color="auto" w:fill="FFFFFF"/>
          </w:tcPr>
          <w:p>
            <w:pPr>
              <w:pageBreakBefore w:val="0"/>
              <w:kinsoku/>
              <w:wordWrap/>
              <w:overflowPunct/>
              <w:topLinePunct w:val="0"/>
              <w:autoSpaceDE/>
              <w:autoSpaceDN/>
              <w:bidi w:val="0"/>
              <w:spacing w:line="560" w:lineRule="exact"/>
              <w:jc w:val="center"/>
              <w:textAlignment w:val="auto"/>
              <w:rPr>
                <w:rFonts w:hint="default" w:eastAsia="仿宋_GB2312"/>
                <w:lang w:val="en-US" w:eastAsia="zh-CN"/>
              </w:rP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384" w:type="pct"/>
            <w:vMerge w:val="continue"/>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84" w:type="pct"/>
            <w:vMerge w:val="continue"/>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431" w:type="pct"/>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满意度</w:t>
            </w:r>
          </w:p>
        </w:tc>
        <w:tc>
          <w:tcPr>
            <w:tcW w:w="3118" w:type="pct"/>
            <w:tcBorders>
              <w:right w:val="single" w:color="auto" w:sz="4" w:space="0"/>
            </w:tcBorders>
            <w:shd w:val="clear" w:color="000000"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340" w:type="pct"/>
            <w:tcBorders>
              <w:left w:val="single" w:color="auto" w:sz="4" w:space="0"/>
            </w:tcBorders>
            <w:shd w:val="clear" w:color="000000" w:fill="FFFFFF"/>
          </w:tcPr>
          <w:p>
            <w:pPr>
              <w:pageBreakBefore w:val="0"/>
              <w:kinsoku/>
              <w:wordWrap/>
              <w:overflowPunct/>
              <w:topLinePunct w:val="0"/>
              <w:autoSpaceDE/>
              <w:autoSpaceDN/>
              <w:bidi w:val="0"/>
              <w:spacing w:line="560" w:lineRule="exact"/>
              <w:jc w:val="center"/>
              <w:textAlignment w:val="auto"/>
              <w:rPr>
                <w:rFonts w:hint="eastAsia" w:eastAsia="仿宋_GB2312"/>
                <w:b w:val="0"/>
                <w:bCs w:val="0"/>
                <w:lang w:val="en-US" w:eastAsia="zh-CN"/>
              </w:rPr>
            </w:pPr>
            <w:r>
              <w:rPr>
                <w:rFonts w:hint="eastAsia"/>
                <w:b w:val="0"/>
                <w:bCs w:val="0"/>
                <w:lang w:val="en-US" w:eastAsia="zh-CN"/>
              </w:rPr>
              <w:t>5</w:t>
            </w:r>
          </w:p>
        </w:tc>
        <w:tc>
          <w:tcPr>
            <w:tcW w:w="340" w:type="pct"/>
            <w:shd w:val="clear" w:color="000000" w:fill="FFFFFF"/>
          </w:tcPr>
          <w:p>
            <w:pPr>
              <w:pageBreakBefore w:val="0"/>
              <w:kinsoku/>
              <w:wordWrap/>
              <w:overflowPunct/>
              <w:topLinePunct w:val="0"/>
              <w:autoSpaceDE/>
              <w:autoSpaceDN/>
              <w:bidi w:val="0"/>
              <w:spacing w:line="560" w:lineRule="exact"/>
              <w:jc w:val="center"/>
              <w:textAlignment w:val="auto"/>
              <w:rPr>
                <w:rFonts w:hint="eastAsia" w:eastAsia="仿宋_GB2312"/>
                <w:b w:val="0"/>
                <w:bCs w:val="0"/>
                <w:lang w:val="en-US" w:eastAsia="zh-CN"/>
              </w:rPr>
            </w:pPr>
            <w:r>
              <w:rPr>
                <w:rFonts w:hint="eastAsia"/>
                <w:b w:val="0"/>
                <w:bCs w:val="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1200" w:type="pct"/>
            <w:gridSpan w:val="3"/>
            <w:tcBorders>
              <w:righ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r>
              <w:rPr>
                <w:rFonts w:hint="eastAsia" w:ascii="宋体" w:hAnsi="宋体" w:cs="宋体"/>
                <w:b/>
                <w:bCs/>
                <w:color w:val="000000"/>
                <w:kern w:val="0"/>
                <w:sz w:val="22"/>
              </w:rPr>
              <w:t>总分</w:t>
            </w:r>
          </w:p>
        </w:tc>
        <w:tc>
          <w:tcPr>
            <w:tcW w:w="3118" w:type="pct"/>
            <w:tcBorders>
              <w:right w:val="single" w:color="auto" w:sz="4" w:space="0"/>
            </w:tcBorders>
            <w:shd w:val="clear" w:color="auto" w:fill="FFFFFF"/>
          </w:tcPr>
          <w:p>
            <w:pPr>
              <w:pageBreakBefore w:val="0"/>
              <w:widowControl/>
              <w:kinsoku/>
              <w:wordWrap/>
              <w:overflowPunct/>
              <w:topLinePunct w:val="0"/>
              <w:autoSpaceDE/>
              <w:autoSpaceDN/>
              <w:bidi w:val="0"/>
              <w:spacing w:line="560" w:lineRule="exact"/>
              <w:jc w:val="center"/>
              <w:textAlignment w:val="auto"/>
              <w:rPr>
                <w:rFonts w:ascii="宋体" w:hAnsi="宋体" w:cs="宋体"/>
                <w:color w:val="000000"/>
                <w:kern w:val="0"/>
                <w:sz w:val="22"/>
              </w:rPr>
            </w:pPr>
          </w:p>
        </w:tc>
        <w:tc>
          <w:tcPr>
            <w:tcW w:w="340" w:type="pct"/>
            <w:tcBorders>
              <w:left w:val="single" w:color="auto" w:sz="4" w:space="0"/>
            </w:tcBorders>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340" w:type="pct"/>
            <w:shd w:val="clear" w:color="auto" w:fill="FFFFFF"/>
            <w:vAlign w:val="center"/>
          </w:tcPr>
          <w:p>
            <w:pPr>
              <w:pageBreakBefore w:val="0"/>
              <w:widowControl/>
              <w:kinsoku/>
              <w:wordWrap/>
              <w:overflowPunct/>
              <w:topLinePunct w:val="0"/>
              <w:autoSpaceDE/>
              <w:autoSpaceDN/>
              <w:bidi w:val="0"/>
              <w:spacing w:line="560" w:lineRule="exact"/>
              <w:jc w:val="center"/>
              <w:textAlignment w:val="auto"/>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pageBreakBefore w:val="0"/>
        <w:kinsoku/>
        <w:wordWrap/>
        <w:overflowPunct/>
        <w:topLinePunct w:val="0"/>
        <w:autoSpaceDE/>
        <w:autoSpaceDN/>
        <w:bidi w:val="0"/>
        <w:spacing w:line="560" w:lineRule="exact"/>
        <w:textAlignment w:val="auto"/>
        <w:sectPr>
          <w:pgSz w:w="11906" w:h="16838"/>
          <w:pgMar w:top="1928" w:right="1531" w:bottom="1701" w:left="1531" w:header="737" w:footer="851" w:gutter="0"/>
          <w:cols w:space="720" w:num="1"/>
          <w:docGrid w:type="lines" w:linePitch="408" w:charSpace="0"/>
        </w:sectPr>
      </w:pPr>
    </w:p>
    <w:p>
      <w:pPr>
        <w:pageBreakBefore w:val="0"/>
        <w:kinsoku/>
        <w:wordWrap/>
        <w:overflowPunct/>
        <w:topLinePunct w:val="0"/>
        <w:autoSpaceDE/>
        <w:autoSpaceDN/>
        <w:bidi w:val="0"/>
        <w:spacing w:line="560" w:lineRule="exact"/>
        <w:ind w:firstLine="600" w:firstLineChars="200"/>
        <w:textAlignment w:val="auto"/>
        <w:outlineLvl w:val="0"/>
      </w:pPr>
      <w:r>
        <w:rPr>
          <w:rFonts w:hint="eastAsia"/>
        </w:rPr>
        <w:t>3、评价方法</w:t>
      </w:r>
    </w:p>
    <w:p>
      <w:pPr>
        <w:pageBreakBefore w:val="0"/>
        <w:widowControl w:val="0"/>
        <w:kinsoku/>
        <w:wordWrap/>
        <w:overflowPunct/>
        <w:topLinePunct w:val="0"/>
        <w:autoSpaceDE/>
        <w:autoSpaceDN/>
        <w:bidi w:val="0"/>
        <w:adjustRightInd/>
        <w:spacing w:line="560" w:lineRule="exact"/>
        <w:ind w:firstLine="600" w:firstLineChars="200"/>
        <w:textAlignment w:val="auto"/>
        <w:outlineLvl w:val="2"/>
      </w:pPr>
      <w:r>
        <w:rPr>
          <w:rFonts w:hint="eastAsia" w:ascii="仿宋" w:hAnsi="仿宋" w:eastAsia="仿宋" w:cs="仿宋"/>
          <w:b w:val="0"/>
          <w:bCs w:val="0"/>
          <w:kern w:val="0"/>
          <w:sz w:val="30"/>
          <w:szCs w:val="30"/>
          <w:lang w:val="en-US" w:eastAsia="zh-CN"/>
        </w:rPr>
        <w:t>本次项目支出绩效自评采用因素分析法，原因是：2023年疫情防控专项资金项目需要考虑内外部因素产生的影响及量化社会效益进行分析评价，因此选择因素分析法能更好的对2023年疫情防控专项资金项目的资金进行评价。</w:t>
      </w:r>
    </w:p>
    <w:p>
      <w:pPr>
        <w:pageBreakBefore w:val="0"/>
        <w:kinsoku/>
        <w:wordWrap/>
        <w:overflowPunct/>
        <w:topLinePunct w:val="0"/>
        <w:autoSpaceDE/>
        <w:autoSpaceDN/>
        <w:bidi w:val="0"/>
        <w:spacing w:line="560" w:lineRule="exact"/>
        <w:ind w:firstLine="600" w:firstLineChars="200"/>
        <w:textAlignment w:val="auto"/>
        <w:outlineLvl w:val="0"/>
      </w:pPr>
      <w:r>
        <w:rPr>
          <w:rFonts w:hint="eastAsia"/>
        </w:rPr>
        <w:t>4、评价标准</w:t>
      </w:r>
    </w:p>
    <w:p>
      <w:pPr>
        <w:pageBreakBefore w:val="0"/>
        <w:widowControl w:val="0"/>
        <w:kinsoku/>
        <w:wordWrap/>
        <w:overflowPunct/>
        <w:topLinePunct w:val="0"/>
        <w:autoSpaceDE/>
        <w:autoSpaceDN/>
        <w:bidi w:val="0"/>
        <w:adjustRightInd/>
        <w:spacing w:line="560" w:lineRule="exact"/>
        <w:ind w:firstLine="600" w:firstLineChars="200"/>
        <w:textAlignment w:val="auto"/>
        <w:outlineLvl w:val="2"/>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rPr>
        <w:t>本次评价主要采用了计划标准和行业标准。该项目设置年初绩效目标申报表时</w:t>
      </w:r>
      <w:r>
        <w:rPr>
          <w:rFonts w:hint="eastAsia" w:ascii="仿宋" w:hAnsi="仿宋" w:eastAsia="仿宋" w:cs="仿宋"/>
          <w:b w:val="0"/>
          <w:bCs w:val="0"/>
          <w:kern w:val="0"/>
          <w:sz w:val="30"/>
          <w:szCs w:val="30"/>
          <w:lang w:eastAsia="zh-CN"/>
        </w:rPr>
        <w:t>结合本辖区实际情况和本部门年初工作计划，</w:t>
      </w:r>
      <w:r>
        <w:rPr>
          <w:rFonts w:hint="eastAsia" w:ascii="仿宋" w:hAnsi="仿宋" w:eastAsia="仿宋" w:cs="仿宋"/>
          <w:b w:val="0"/>
          <w:bCs w:val="0"/>
          <w:kern w:val="0"/>
          <w:sz w:val="30"/>
          <w:szCs w:val="30"/>
        </w:rPr>
        <w:t>参照国家公布的</w:t>
      </w:r>
      <w:r>
        <w:rPr>
          <w:rFonts w:hint="eastAsia" w:ascii="仿宋" w:hAnsi="仿宋" w:eastAsia="仿宋" w:cs="仿宋"/>
          <w:b w:val="0"/>
          <w:bCs w:val="0"/>
          <w:kern w:val="0"/>
          <w:sz w:val="30"/>
          <w:szCs w:val="30"/>
          <w:lang w:eastAsia="zh-CN"/>
        </w:rPr>
        <w:t>卫生</w:t>
      </w:r>
      <w:r>
        <w:rPr>
          <w:rFonts w:hint="eastAsia" w:ascii="仿宋" w:hAnsi="仿宋" w:eastAsia="仿宋" w:cs="仿宋"/>
          <w:b w:val="0"/>
          <w:bCs w:val="0"/>
          <w:kern w:val="0"/>
          <w:sz w:val="30"/>
          <w:szCs w:val="30"/>
        </w:rPr>
        <w:t>行业指标数据制定的标准</w:t>
      </w:r>
      <w:r>
        <w:rPr>
          <w:rFonts w:hint="eastAsia" w:ascii="仿宋" w:hAnsi="仿宋" w:eastAsia="仿宋" w:cs="仿宋"/>
          <w:b w:val="0"/>
          <w:bCs w:val="0"/>
          <w:kern w:val="0"/>
          <w:sz w:val="30"/>
          <w:szCs w:val="30"/>
          <w:lang w:eastAsia="zh-CN"/>
        </w:rPr>
        <w:t>确定三级指标</w:t>
      </w:r>
      <w:r>
        <w:rPr>
          <w:rFonts w:hint="eastAsia" w:ascii="仿宋" w:hAnsi="仿宋" w:eastAsia="仿宋" w:cs="仿宋"/>
          <w:b w:val="0"/>
          <w:bCs w:val="0"/>
          <w:kern w:val="0"/>
          <w:sz w:val="30"/>
          <w:szCs w:val="30"/>
        </w:rPr>
        <w:t>。采用行业标准，可提高预算编制和预算额度测算准确率，使评价结果更加科学真实。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pageBreakBefore w:val="0"/>
        <w:widowControl w:val="0"/>
        <w:kinsoku/>
        <w:wordWrap/>
        <w:overflowPunct/>
        <w:topLinePunct w:val="0"/>
        <w:autoSpaceDE/>
        <w:autoSpaceDN/>
        <w:bidi w:val="0"/>
        <w:adjustRightInd/>
        <w:spacing w:line="560" w:lineRule="exact"/>
        <w:ind w:firstLine="600" w:firstLineChars="200"/>
        <w:textAlignment w:val="auto"/>
        <w:outlineLvl w:val="2"/>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lang w:val="en-US" w:eastAsia="zh-CN"/>
        </w:rPr>
        <w:t>1.</w:t>
      </w:r>
      <w:r>
        <w:rPr>
          <w:rFonts w:hint="eastAsia" w:ascii="仿宋" w:hAnsi="仿宋" w:eastAsia="仿宋" w:cs="仿宋"/>
          <w:b w:val="0"/>
          <w:bCs w:val="0"/>
          <w:kern w:val="0"/>
          <w:sz w:val="30"/>
          <w:szCs w:val="30"/>
        </w:rPr>
        <w:t>前期准备。首先成立评价工作组，开展前期调研；其次明确项目绩效目标，设计绩效评价指标体系并确定绩效评价方法；接着确定现场和非现场评价范围，设计资料清单；最后制定评价实施方案并进行论证。</w:t>
      </w:r>
    </w:p>
    <w:p>
      <w:pPr>
        <w:pageBreakBefore w:val="0"/>
        <w:widowControl w:val="0"/>
        <w:kinsoku/>
        <w:wordWrap/>
        <w:overflowPunct/>
        <w:topLinePunct w:val="0"/>
        <w:autoSpaceDE/>
        <w:autoSpaceDN/>
        <w:bidi w:val="0"/>
        <w:adjustRightInd/>
        <w:spacing w:line="560" w:lineRule="exact"/>
        <w:ind w:firstLine="600" w:firstLineChars="200"/>
        <w:textAlignment w:val="auto"/>
        <w:outlineLvl w:val="2"/>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lang w:val="en-US" w:eastAsia="zh-CN"/>
        </w:rPr>
        <w:t>2.</w:t>
      </w:r>
      <w:r>
        <w:rPr>
          <w:rFonts w:hint="eastAsia" w:ascii="仿宋" w:hAnsi="仿宋" w:eastAsia="仿宋" w:cs="仿宋"/>
          <w:b w:val="0"/>
          <w:bCs w:val="0"/>
          <w:kern w:val="0"/>
          <w:sz w:val="30"/>
          <w:szCs w:val="30"/>
        </w:rPr>
        <w:t>组织实施。制定绩效评价工作方案，具体包括项目概况、评价思路、方法手段、组织实施、进度安排等。收集项目立项依据、相关会议纪要、实施方案、财政资金分配方案、支付管理情况等相关评价资料并进行梳理。</w:t>
      </w:r>
    </w:p>
    <w:p>
      <w:pPr>
        <w:pageBreakBefore w:val="0"/>
        <w:widowControl w:val="0"/>
        <w:kinsoku/>
        <w:wordWrap/>
        <w:overflowPunct/>
        <w:topLinePunct w:val="0"/>
        <w:autoSpaceDE/>
        <w:autoSpaceDN/>
        <w:bidi w:val="0"/>
        <w:adjustRightInd/>
        <w:spacing w:line="560" w:lineRule="exact"/>
        <w:ind w:firstLine="600" w:firstLineChars="200"/>
        <w:textAlignment w:val="auto"/>
        <w:outlineLvl w:val="2"/>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lang w:val="en-US" w:eastAsia="zh-CN"/>
        </w:rPr>
        <w:t>3.</w:t>
      </w:r>
      <w:r>
        <w:rPr>
          <w:rFonts w:hint="eastAsia" w:ascii="仿宋" w:hAnsi="仿宋" w:eastAsia="仿宋" w:cs="仿宋"/>
          <w:b w:val="0"/>
          <w:bCs w:val="0"/>
          <w:kern w:val="0"/>
          <w:sz w:val="30"/>
          <w:szCs w:val="30"/>
        </w:rPr>
        <w:t>分析评价。根据收集梳理的资料围绕项目立项、资金落实、业务管理、财务管理、项目产出、项目效益等内容，对照已确定的绩效评价指标进行详细全面的分析评价，逐项打分并形成绩效评价最终结果。</w:t>
      </w:r>
      <w:bookmarkStart w:id="7" w:name="_Toc68703834"/>
    </w:p>
    <w:p>
      <w:pPr>
        <w:pageBreakBefore w:val="0"/>
        <w:widowControl w:val="0"/>
        <w:kinsoku/>
        <w:wordWrap/>
        <w:overflowPunct/>
        <w:topLinePunct w:val="0"/>
        <w:autoSpaceDE/>
        <w:autoSpaceDN/>
        <w:bidi w:val="0"/>
        <w:adjustRightInd/>
        <w:spacing w:line="560" w:lineRule="exact"/>
        <w:ind w:firstLine="640" w:firstLineChars="200"/>
        <w:textAlignment w:val="auto"/>
        <w:outlineLvl w:val="2"/>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spacing w:line="560" w:lineRule="exact"/>
        <w:ind w:firstLine="640" w:firstLineChars="200"/>
        <w:textAlignment w:val="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本项目严格按照科学公正、统筹兼顾、激励约束、公开透明绩效评价原则，采用因素分析法评价方法，坚持计划标准和行业标准绩效评价标准对本项目的立项、项绩效目标、资金投入、资金管理、组织实施、产出数量、产出质量、产出时效、产出成本、项目效益进行了综合评价。</w:t>
      </w:r>
    </w:p>
    <w:p>
      <w:pPr>
        <w:pageBreakBefore w:val="0"/>
        <w:widowControl w:val="0"/>
        <w:kinsoku/>
        <w:wordWrap/>
        <w:overflowPunct/>
        <w:topLinePunct w:val="0"/>
        <w:autoSpaceDE/>
        <w:autoSpaceDN/>
        <w:bidi w:val="0"/>
        <w:adjustRightInd/>
        <w:snapToGrid/>
        <w:spacing w:line="560" w:lineRule="exact"/>
        <w:ind w:firstLine="1500" w:firstLineChars="500"/>
        <w:textAlignment w:val="auto"/>
        <w:rPr>
          <w:color w:val="auto"/>
        </w:rPr>
      </w:pPr>
      <w:r>
        <w:rPr>
          <w:rFonts w:hint="eastAsia"/>
          <w:lang w:val="en-US" w:eastAsia="zh-CN"/>
        </w:rPr>
        <w:t>2023年疫情防控专项资金项目</w:t>
      </w:r>
      <w:r>
        <w:rPr>
          <w:rFonts w:hint="eastAsia"/>
          <w:color w:val="auto"/>
        </w:rPr>
        <w:t>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spacing w:line="560" w:lineRule="exact"/>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spacing w:line="560" w:lineRule="exact"/>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spacing w:line="560" w:lineRule="exact"/>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rFonts w:hint="default"/>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spacing w:line="560" w:lineRule="exact"/>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pPr>
        <w:pStyle w:val="4"/>
        <w:pageBreakBefore w:val="0"/>
        <w:kinsoku/>
        <w:wordWrap/>
        <w:overflowPunct/>
        <w:topLinePunct w:val="0"/>
        <w:autoSpaceDE/>
        <w:autoSpaceDN/>
        <w:bidi w:val="0"/>
        <w:spacing w:line="560" w:lineRule="exact"/>
        <w:ind w:firstLine="640" w:firstLineChars="200"/>
        <w:textAlignment w:val="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pageBreakBefore w:val="0"/>
        <w:widowControl w:val="0"/>
        <w:kinsoku/>
        <w:wordWrap/>
        <w:overflowPunct/>
        <w:topLinePunct w:val="0"/>
        <w:autoSpaceDE/>
        <w:autoSpaceDN/>
        <w:bidi w:val="0"/>
        <w:adjustRightInd/>
        <w:spacing w:line="560" w:lineRule="exact"/>
        <w:ind w:firstLine="600" w:firstLineChars="200"/>
        <w:textAlignment w:val="auto"/>
        <w:outlineLvl w:val="2"/>
        <w:rPr>
          <w:color w:val="FF0000"/>
        </w:rPr>
      </w:pPr>
      <w:r>
        <w:rPr>
          <w:rFonts w:hint="eastAsia" w:ascii="仿宋" w:hAnsi="仿宋" w:eastAsia="仿宋" w:cs="仿宋"/>
          <w:b w:val="0"/>
          <w:bCs w:val="0"/>
          <w:kern w:val="0"/>
          <w:sz w:val="30"/>
          <w:szCs w:val="30"/>
        </w:rPr>
        <w:t>本项目的项目决策20分，得分20分；项目过程20分，得分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分；产出40分，得分40分，</w:t>
      </w:r>
      <w:r>
        <w:rPr>
          <w:rFonts w:hint="eastAsia" w:ascii="仿宋" w:hAnsi="仿宋" w:eastAsia="仿宋" w:cs="仿宋"/>
          <w:b w:val="0"/>
          <w:bCs w:val="0"/>
          <w:kern w:val="0"/>
          <w:sz w:val="30"/>
          <w:szCs w:val="30"/>
          <w:lang w:eastAsia="zh-CN"/>
        </w:rPr>
        <w:t>产出</w:t>
      </w:r>
      <w:r>
        <w:rPr>
          <w:rFonts w:hint="eastAsia" w:ascii="仿宋" w:hAnsi="仿宋" w:eastAsia="仿宋" w:cs="仿宋"/>
          <w:b w:val="0"/>
          <w:bCs w:val="0"/>
          <w:kern w:val="0"/>
          <w:sz w:val="30"/>
          <w:szCs w:val="30"/>
        </w:rPr>
        <w:t>均达到了预期要求，项目决策20分，得分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分。最终得分为</w:t>
      </w:r>
      <w:r>
        <w:rPr>
          <w:rFonts w:hint="eastAsia" w:ascii="仿宋" w:hAnsi="仿宋" w:eastAsia="仿宋" w:cs="仿宋"/>
          <w:b w:val="0"/>
          <w:bCs w:val="0"/>
          <w:kern w:val="0"/>
          <w:sz w:val="30"/>
          <w:szCs w:val="30"/>
          <w:lang w:val="en-US" w:eastAsia="zh-CN"/>
        </w:rPr>
        <w:t>100</w:t>
      </w:r>
      <w:r>
        <w:rPr>
          <w:rFonts w:hint="eastAsia" w:ascii="仿宋" w:hAnsi="仿宋" w:eastAsia="仿宋" w:cs="仿宋"/>
          <w:b w:val="0"/>
          <w:bCs w:val="0"/>
          <w:kern w:val="0"/>
          <w:sz w:val="30"/>
          <w:szCs w:val="30"/>
        </w:rPr>
        <w:t>分。</w:t>
      </w:r>
    </w:p>
    <w:p>
      <w:pPr>
        <w:pStyle w:val="3"/>
        <w:pageBreakBefore w:val="0"/>
        <w:kinsoku/>
        <w:wordWrap/>
        <w:overflowPunct/>
        <w:topLinePunct w:val="0"/>
        <w:autoSpaceDE/>
        <w:autoSpaceDN/>
        <w:bidi w:val="0"/>
        <w:spacing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spacing w:line="560" w:lineRule="exact"/>
        <w:ind w:firstLine="640" w:firstLineChars="200"/>
        <w:textAlignment w:val="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spacing w:line="560" w:lineRule="exact"/>
        <w:ind w:firstLine="600" w:firstLineChars="200"/>
        <w:textAlignment w:val="auto"/>
        <w:outlineLvl w:val="2"/>
      </w:pPr>
      <w:r>
        <w:rPr>
          <w:rFonts w:hint="eastAsia"/>
        </w:rPr>
        <w:t>1、立项依据充分性</w:t>
      </w:r>
    </w:p>
    <w:p>
      <w:pPr>
        <w:pageBreakBefore w:val="0"/>
        <w:kinsoku/>
        <w:wordWrap/>
        <w:overflowPunct/>
        <w:topLinePunct w:val="0"/>
        <w:autoSpaceDE/>
        <w:autoSpaceDN/>
        <w:bidi w:val="0"/>
        <w:spacing w:line="560" w:lineRule="exact"/>
        <w:ind w:firstLine="600" w:firstLineChars="200"/>
        <w:textAlignment w:val="auto"/>
        <w:rPr>
          <w:rFonts w:hint="eastAsia" w:ascii="仿宋" w:hAnsi="仿宋" w:eastAsia="仿宋" w:cs="仿宋"/>
          <w:b w:val="0"/>
          <w:bCs w:val="0"/>
          <w:color w:val="auto"/>
          <w:kern w:val="0"/>
          <w:sz w:val="30"/>
          <w:szCs w:val="30"/>
        </w:rPr>
      </w:pPr>
      <w:r>
        <w:rPr>
          <w:rFonts w:hint="eastAsia" w:ascii="仿宋" w:hAnsi="仿宋" w:eastAsia="仿宋" w:cs="仿宋"/>
          <w:color w:val="000000" w:themeColor="text1"/>
          <w:sz w:val="30"/>
          <w:szCs w:val="30"/>
          <w:lang w:val="en-US" w:eastAsia="zh-CN"/>
          <w14:textFill>
            <w14:solidFill>
              <w14:schemeClr w14:val="tx1"/>
            </w14:solidFill>
          </w14:textFill>
        </w:rPr>
        <w:t>该</w:t>
      </w:r>
      <w:r>
        <w:rPr>
          <w:rFonts w:hint="eastAsia" w:ascii="仿宋" w:hAnsi="仿宋" w:eastAsia="仿宋" w:cs="仿宋"/>
          <w:color w:val="000000" w:themeColor="text1"/>
          <w:sz w:val="30"/>
          <w:szCs w:val="30"/>
          <w14:textFill>
            <w14:solidFill>
              <w14:schemeClr w14:val="tx1"/>
            </w14:solidFill>
          </w14:textFill>
        </w:rPr>
        <w:t>项目</w:t>
      </w:r>
      <w:r>
        <w:rPr>
          <w:rFonts w:hint="eastAsia" w:ascii="仿宋" w:hAnsi="仿宋" w:eastAsia="仿宋" w:cs="仿宋"/>
          <w:sz w:val="30"/>
          <w:szCs w:val="30"/>
        </w:rPr>
        <w:t>根据1月20日国务院召开电视电话会议精神以及自治区对新型冠状病毒感染的肺炎疫情防控工作部署、《巴州新型冠状病毒感染的肺炎疫情防控方案》和《焉耆县新型冠状病毒感染的肺炎疫情防控方案》</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以及</w:t>
      </w:r>
      <w:r>
        <w:rPr>
          <w:rFonts w:hint="eastAsia" w:ascii="仿宋" w:hAnsi="仿宋" w:eastAsia="仿宋" w:cs="仿宋"/>
          <w:sz w:val="30"/>
          <w:szCs w:val="30"/>
        </w:rPr>
        <w:t>疫情控制的需要，加强部门协同，采取实施联防联控。</w:t>
      </w:r>
      <w:r>
        <w:rPr>
          <w:rFonts w:hint="eastAsia" w:ascii="仿宋" w:hAnsi="仿宋" w:eastAsia="仿宋" w:cs="仿宋"/>
          <w:b w:val="0"/>
          <w:bCs w:val="0"/>
          <w:color w:val="auto"/>
          <w:kern w:val="0"/>
          <w:sz w:val="30"/>
          <w:szCs w:val="30"/>
        </w:rPr>
        <w:t>项目立项符合国家法律法规、国民经济发展规划和相关政策；</w:t>
      </w:r>
    </w:p>
    <w:p>
      <w:pPr>
        <w:pageBreakBefore w:val="0"/>
        <w:kinsoku/>
        <w:wordWrap/>
        <w:overflowPunct/>
        <w:topLinePunct w:val="0"/>
        <w:autoSpaceDE/>
        <w:autoSpaceDN/>
        <w:bidi w:val="0"/>
        <w:spacing w:line="560" w:lineRule="exact"/>
        <w:textAlignment w:val="auto"/>
      </w:pPr>
      <w:r>
        <w:rPr>
          <w:rFonts w:hint="eastAsia" w:ascii="仿宋" w:hAnsi="仿宋" w:eastAsia="仿宋" w:cs="仿宋"/>
          <w:b w:val="0"/>
          <w:bCs w:val="0"/>
          <w:color w:val="auto"/>
          <w:kern w:val="0"/>
          <w:sz w:val="30"/>
          <w:szCs w:val="30"/>
        </w:rPr>
        <w:t>项目立项符合行业发展规划和政策要求；项目立项与部门职责范围相符，属于部门履职所需；项目属于公共财政支持范围，符合中央、地方事权支出责任划分原则；项目与相关部门同类项目</w:t>
      </w:r>
      <w:r>
        <w:rPr>
          <w:rFonts w:hint="eastAsia" w:ascii="仿宋" w:hAnsi="仿宋" w:eastAsia="仿宋" w:cs="仿宋"/>
          <w:b w:val="0"/>
          <w:bCs w:val="0"/>
          <w:color w:val="auto"/>
          <w:kern w:val="0"/>
          <w:sz w:val="30"/>
          <w:szCs w:val="30"/>
          <w:lang w:eastAsia="zh-CN"/>
        </w:rPr>
        <w:t>不</w:t>
      </w:r>
      <w:r>
        <w:rPr>
          <w:rFonts w:hint="eastAsia" w:ascii="仿宋" w:hAnsi="仿宋" w:eastAsia="仿宋" w:cs="仿宋"/>
          <w:b w:val="0"/>
          <w:bCs w:val="0"/>
          <w:color w:val="auto"/>
          <w:kern w:val="0"/>
          <w:sz w:val="30"/>
          <w:szCs w:val="30"/>
        </w:rPr>
        <w:t>重复。</w:t>
      </w:r>
    </w:p>
    <w:p>
      <w:pPr>
        <w:pageBreakBefore w:val="0"/>
        <w:kinsoku/>
        <w:wordWrap/>
        <w:overflowPunct/>
        <w:topLinePunct w:val="0"/>
        <w:autoSpaceDE/>
        <w:autoSpaceDN/>
        <w:bidi w:val="0"/>
        <w:spacing w:line="560" w:lineRule="exact"/>
        <w:ind w:firstLine="600" w:firstLineChars="200"/>
        <w:textAlignment w:val="auto"/>
        <w:outlineLvl w:val="2"/>
      </w:pPr>
      <w:r>
        <w:rPr>
          <w:rFonts w:hint="eastAsia"/>
        </w:rPr>
        <w:t>2、立项程序规范性</w:t>
      </w:r>
    </w:p>
    <w:p>
      <w:pPr>
        <w:pageBreakBefore w:val="0"/>
        <w:widowControl w:val="0"/>
        <w:kinsoku/>
        <w:wordWrap/>
        <w:overflowPunct/>
        <w:topLinePunct w:val="0"/>
        <w:autoSpaceDE/>
        <w:autoSpaceDN/>
        <w:bidi w:val="0"/>
        <w:adjustRightInd/>
        <w:spacing w:line="560" w:lineRule="exact"/>
        <w:ind w:firstLine="600" w:firstLineChars="200"/>
        <w:textAlignment w:val="auto"/>
        <w:rPr>
          <w:color w:val="FF0000"/>
        </w:rPr>
      </w:pPr>
      <w:r>
        <w:rPr>
          <w:rFonts w:hint="eastAsia" w:ascii="仿宋" w:hAnsi="仿宋" w:eastAsia="仿宋" w:cs="仿宋"/>
          <w:lang w:val="en-US" w:eastAsia="zh-CN"/>
        </w:rPr>
        <w:t>项目按照规定和程序申请设立，预算批复等相关资料符合相关要求，事前已经过必要的可行性研究、集体决策。</w:t>
      </w:r>
    </w:p>
    <w:p>
      <w:pPr>
        <w:pageBreakBefore w:val="0"/>
        <w:kinsoku/>
        <w:wordWrap/>
        <w:overflowPunct/>
        <w:topLinePunct w:val="0"/>
        <w:autoSpaceDE/>
        <w:autoSpaceDN/>
        <w:bidi w:val="0"/>
        <w:spacing w:line="560" w:lineRule="exact"/>
        <w:ind w:firstLine="600" w:firstLineChars="200"/>
        <w:textAlignment w:val="auto"/>
        <w:outlineLvl w:val="2"/>
      </w:pPr>
      <w:r>
        <w:rPr>
          <w:rFonts w:hint="eastAsia"/>
        </w:rPr>
        <w:t>3、绩效目标合理性</w:t>
      </w:r>
    </w:p>
    <w:p>
      <w:pPr>
        <w:pageBreakBefore w:val="0"/>
        <w:widowControl w:val="0"/>
        <w:kinsoku/>
        <w:wordWrap/>
        <w:overflowPunct/>
        <w:topLinePunct w:val="0"/>
        <w:autoSpaceDE/>
        <w:autoSpaceDN/>
        <w:bidi w:val="0"/>
        <w:adjustRightInd/>
        <w:spacing w:line="560" w:lineRule="exact"/>
        <w:ind w:firstLine="600" w:firstLineChars="200"/>
        <w:textAlignment w:val="auto"/>
        <w:rPr>
          <w:color w:val="FF0000"/>
        </w:rPr>
      </w:pPr>
      <w:r>
        <w:rPr>
          <w:rFonts w:hint="eastAsia" w:ascii="仿宋" w:hAnsi="仿宋" w:eastAsia="仿宋" w:cs="仿宋"/>
          <w:lang w:eastAsia="zh-CN"/>
        </w:rPr>
        <w:t>疫情防控专项资金项目</w:t>
      </w:r>
      <w:r>
        <w:rPr>
          <w:rFonts w:hint="eastAsia" w:ascii="仿宋" w:hAnsi="仿宋" w:eastAsia="仿宋" w:cs="仿宋"/>
        </w:rPr>
        <w:t>设立了项目绩效目标，与《巴州新型冠状病毒感染的肺炎疫情防控方案》和《焉耆县新型冠状病毒感染的肺炎疫情防控方案》</w:t>
      </w:r>
      <w:r>
        <w:rPr>
          <w:rFonts w:hint="eastAsia" w:ascii="仿宋" w:hAnsi="仿宋" w:eastAsia="仿宋" w:cs="仿宋"/>
          <w:lang w:eastAsia="zh-CN"/>
        </w:rPr>
        <w:t>。</w:t>
      </w:r>
      <w:r>
        <w:rPr>
          <w:rFonts w:hint="eastAsia" w:ascii="仿宋" w:hAnsi="仿宋" w:eastAsia="仿宋" w:cs="仿宋"/>
        </w:rPr>
        <w:t>具有相关性，项目的预期产出效益和效果也均能符合正常的业绩水平，并且与预算确定的项目投资额或资金量相匹配。</w:t>
      </w:r>
    </w:p>
    <w:p>
      <w:pPr>
        <w:pageBreakBefore w:val="0"/>
        <w:kinsoku/>
        <w:wordWrap/>
        <w:overflowPunct/>
        <w:topLinePunct w:val="0"/>
        <w:autoSpaceDE/>
        <w:autoSpaceDN/>
        <w:bidi w:val="0"/>
        <w:spacing w:line="560" w:lineRule="exact"/>
        <w:ind w:firstLine="600" w:firstLineChars="200"/>
        <w:textAlignment w:val="auto"/>
        <w:outlineLvl w:val="2"/>
      </w:pPr>
      <w:r>
        <w:rPr>
          <w:rFonts w:hint="eastAsia"/>
        </w:rPr>
        <w:t>4、绩效指标明确性</w:t>
      </w:r>
    </w:p>
    <w:p>
      <w:pPr>
        <w:pageBreakBefore w:val="0"/>
        <w:widowControl w:val="0"/>
        <w:kinsoku/>
        <w:wordWrap/>
        <w:overflowPunct/>
        <w:topLinePunct w:val="0"/>
        <w:autoSpaceDE/>
        <w:autoSpaceDN/>
        <w:bidi w:val="0"/>
        <w:adjustRightInd/>
        <w:spacing w:line="560" w:lineRule="exact"/>
        <w:ind w:firstLine="600" w:firstLineChars="200"/>
        <w:textAlignment w:val="auto"/>
        <w:rPr>
          <w:color w:val="FF0000"/>
        </w:rPr>
      </w:pPr>
      <w:r>
        <w:rPr>
          <w:rFonts w:hint="eastAsia" w:ascii="仿宋" w:hAnsi="仿宋" w:eastAsia="仿宋" w:cs="仿宋"/>
          <w:lang w:eastAsia="zh-CN"/>
        </w:rPr>
        <w:t>疫情防控专项资金项目</w:t>
      </w:r>
      <w:r>
        <w:rPr>
          <w:rFonts w:hint="eastAsia" w:ascii="仿宋" w:hAnsi="仿宋" w:eastAsia="仿宋" w:cs="仿宋"/>
        </w:rPr>
        <w:t>将项目绩效目标细化分解为具体的绩效指标，一级指标共</w:t>
      </w:r>
      <w:r>
        <w:rPr>
          <w:rFonts w:hint="eastAsia" w:ascii="仿宋" w:hAnsi="仿宋" w:eastAsia="仿宋" w:cs="仿宋"/>
          <w:lang w:val="en-US" w:eastAsia="zh-CN"/>
        </w:rPr>
        <w:t>4</w:t>
      </w:r>
      <w:r>
        <w:rPr>
          <w:rFonts w:hint="eastAsia" w:ascii="仿宋" w:hAnsi="仿宋" w:eastAsia="仿宋" w:cs="仿宋"/>
        </w:rPr>
        <w:t>条，二级指标共</w:t>
      </w:r>
      <w:r>
        <w:rPr>
          <w:rFonts w:hint="eastAsia" w:ascii="仿宋" w:hAnsi="仿宋" w:eastAsia="仿宋" w:cs="仿宋"/>
          <w:lang w:val="en-US" w:eastAsia="zh-CN"/>
        </w:rPr>
        <w:t>6</w:t>
      </w:r>
      <w:r>
        <w:rPr>
          <w:rFonts w:hint="eastAsia" w:ascii="仿宋" w:hAnsi="仿宋" w:eastAsia="仿宋" w:cs="仿宋"/>
        </w:rPr>
        <w:t>条，三级指标共</w:t>
      </w:r>
      <w:r>
        <w:rPr>
          <w:rFonts w:hint="eastAsia" w:ascii="仿宋" w:hAnsi="仿宋" w:eastAsia="仿宋" w:cs="仿宋"/>
          <w:lang w:val="en-US" w:eastAsia="zh-CN"/>
        </w:rPr>
        <w:t>15</w:t>
      </w:r>
      <w:r>
        <w:rPr>
          <w:rFonts w:hint="eastAsia" w:ascii="仿宋" w:hAnsi="仿宋" w:eastAsia="仿宋" w:cs="仿宋"/>
        </w:rPr>
        <w:t>条，其中量化指标条数共</w:t>
      </w:r>
      <w:r>
        <w:rPr>
          <w:rFonts w:hint="eastAsia" w:ascii="仿宋" w:hAnsi="仿宋" w:eastAsia="仿宋" w:cs="仿宋"/>
          <w:lang w:val="en-US" w:eastAsia="zh-CN"/>
        </w:rPr>
        <w:t>15</w:t>
      </w:r>
      <w:r>
        <w:rPr>
          <w:rFonts w:hint="eastAsia" w:ascii="仿宋" w:hAnsi="仿宋" w:eastAsia="仿宋" w:cs="仿宋"/>
        </w:rPr>
        <w:t>条，所有绩效指标均通过清晰、可衡量的指标值予以体现，并且做到了与项目目标任务数或计划数相对应。</w:t>
      </w:r>
    </w:p>
    <w:p>
      <w:pPr>
        <w:pageBreakBefore w:val="0"/>
        <w:kinsoku/>
        <w:wordWrap/>
        <w:overflowPunct/>
        <w:topLinePunct w:val="0"/>
        <w:autoSpaceDE/>
        <w:autoSpaceDN/>
        <w:bidi w:val="0"/>
        <w:spacing w:line="560" w:lineRule="exact"/>
        <w:ind w:firstLine="600" w:firstLineChars="200"/>
        <w:textAlignment w:val="auto"/>
        <w:outlineLvl w:val="2"/>
      </w:pPr>
      <w:r>
        <w:rPr>
          <w:rFonts w:hint="eastAsia"/>
        </w:rPr>
        <w:t>5、预算编制科学性</w:t>
      </w:r>
    </w:p>
    <w:p>
      <w:pPr>
        <w:pageBreakBefore w:val="0"/>
        <w:widowControl w:val="0"/>
        <w:kinsoku/>
        <w:wordWrap/>
        <w:overflowPunct/>
        <w:topLinePunct w:val="0"/>
        <w:autoSpaceDE/>
        <w:autoSpaceDN/>
        <w:bidi w:val="0"/>
        <w:adjustRightInd/>
        <w:spacing w:line="560" w:lineRule="exact"/>
        <w:ind w:firstLine="600" w:firstLineChars="200"/>
        <w:textAlignment w:val="auto"/>
        <w:rPr>
          <w:color w:val="FF0000"/>
        </w:rPr>
      </w:pPr>
      <w:r>
        <w:rPr>
          <w:rFonts w:hint="eastAsia" w:ascii="仿宋" w:hAnsi="仿宋" w:eastAsia="仿宋" w:cs="仿宋"/>
        </w:rPr>
        <w:t>预算编制经过科学论证</w:t>
      </w:r>
      <w:r>
        <w:rPr>
          <w:rFonts w:hint="eastAsia" w:ascii="仿宋" w:hAnsi="仿宋" w:eastAsia="仿宋" w:cs="仿宋"/>
          <w:lang w:eastAsia="zh-CN"/>
        </w:rPr>
        <w:t>，</w:t>
      </w:r>
      <w:r>
        <w:rPr>
          <w:rFonts w:hint="eastAsia" w:ascii="仿宋" w:hAnsi="仿宋" w:eastAsia="仿宋" w:cs="仿宋"/>
        </w:rPr>
        <w:t>预算内容与项目内容匹配</w:t>
      </w:r>
      <w:r>
        <w:rPr>
          <w:rFonts w:hint="eastAsia" w:ascii="仿宋" w:hAnsi="仿宋" w:eastAsia="仿宋" w:cs="仿宋"/>
          <w:lang w:eastAsia="zh-CN"/>
        </w:rPr>
        <w:t>，</w:t>
      </w:r>
      <w:r>
        <w:rPr>
          <w:rFonts w:hint="eastAsia" w:ascii="仿宋" w:hAnsi="仿宋" w:eastAsia="仿宋" w:cs="仿宋"/>
        </w:rPr>
        <w:t>预算额度测算依据充分，按照标准编制；预算确定的项目投资额或资金量与工作任务相匹配。</w:t>
      </w:r>
    </w:p>
    <w:p>
      <w:pPr>
        <w:pageBreakBefore w:val="0"/>
        <w:kinsoku/>
        <w:wordWrap/>
        <w:overflowPunct/>
        <w:topLinePunct w:val="0"/>
        <w:autoSpaceDE/>
        <w:autoSpaceDN/>
        <w:bidi w:val="0"/>
        <w:spacing w:line="560" w:lineRule="exact"/>
        <w:ind w:firstLine="600" w:firstLineChars="200"/>
        <w:textAlignment w:val="auto"/>
        <w:outlineLvl w:val="2"/>
      </w:pPr>
      <w:r>
        <w:rPr>
          <w:rFonts w:hint="eastAsia"/>
        </w:rPr>
        <w:t>6、资金分配合理性</w:t>
      </w:r>
    </w:p>
    <w:p>
      <w:pPr>
        <w:pageBreakBefore w:val="0"/>
        <w:kinsoku/>
        <w:wordWrap/>
        <w:overflowPunct/>
        <w:topLinePunct w:val="0"/>
        <w:autoSpaceDE/>
        <w:autoSpaceDN/>
        <w:bidi w:val="0"/>
        <w:spacing w:line="560" w:lineRule="exact"/>
        <w:ind w:firstLine="600" w:firstLineChars="200"/>
        <w:textAlignment w:val="auto"/>
        <w:rPr>
          <w:rFonts w:hint="eastAsia" w:ascii="仿宋" w:hAnsi="仿宋" w:eastAsia="仿宋" w:cs="仿宋"/>
          <w:color w:val="auto"/>
          <w:lang w:val="en-US" w:eastAsia="zh-CN"/>
        </w:rPr>
      </w:pPr>
      <w:r>
        <w:rPr>
          <w:rFonts w:hint="eastAsia" w:ascii="仿宋" w:hAnsi="仿宋" w:eastAsia="仿宋" w:cs="仿宋"/>
          <w:color w:val="auto"/>
        </w:rPr>
        <w:t>预算资金分配依据充分</w:t>
      </w:r>
      <w:r>
        <w:rPr>
          <w:rFonts w:hint="eastAsia" w:ascii="仿宋" w:hAnsi="仿宋" w:eastAsia="仿宋" w:cs="仿宋"/>
          <w:color w:val="auto"/>
          <w:lang w:eastAsia="zh-CN"/>
        </w:rPr>
        <w:t>，</w:t>
      </w:r>
      <w:r>
        <w:rPr>
          <w:rFonts w:hint="eastAsia" w:ascii="仿宋" w:hAnsi="仿宋" w:eastAsia="仿宋" w:cs="仿宋"/>
          <w:color w:val="auto"/>
          <w:lang w:val="en-US" w:eastAsia="zh-CN"/>
        </w:rPr>
        <w:t>根据项目设置目标需求，</w:t>
      </w:r>
      <w:r>
        <w:rPr>
          <w:rFonts w:hint="eastAsia"/>
          <w:color w:val="auto"/>
          <w:lang w:val="en-US" w:eastAsia="zh-CN"/>
        </w:rPr>
        <w:t>3.82万元用于</w:t>
      </w:r>
      <w:r>
        <w:rPr>
          <w:rFonts w:hint="eastAsia"/>
          <w:color w:val="auto"/>
        </w:rPr>
        <w:t>防疫知识宣传单</w:t>
      </w:r>
      <w:r>
        <w:rPr>
          <w:rFonts w:hint="eastAsia"/>
          <w:color w:val="auto"/>
          <w:lang w:val="en-US" w:eastAsia="zh-CN"/>
        </w:rPr>
        <w:t>制作，856.28万元用于疫情防控物资的采购,346.78万元用于隔离点疫情物资的采购</w:t>
      </w:r>
      <w:r>
        <w:rPr>
          <w:rFonts w:hint="eastAsia" w:ascii="仿宋" w:hAnsi="仿宋" w:eastAsia="仿宋" w:cs="仿宋"/>
          <w:color w:val="auto"/>
          <w:lang w:val="en-US" w:eastAsia="zh-CN"/>
        </w:rPr>
        <w:t>。资金分配额度合理，与项目单位实际相适应。</w:t>
      </w:r>
    </w:p>
    <w:p>
      <w:pPr>
        <w:pStyle w:val="4"/>
        <w:pageBreakBefore w:val="0"/>
        <w:kinsoku/>
        <w:wordWrap/>
        <w:overflowPunct/>
        <w:topLinePunct w:val="0"/>
        <w:autoSpaceDE/>
        <w:autoSpaceDN/>
        <w:bidi w:val="0"/>
        <w:spacing w:line="560" w:lineRule="exact"/>
        <w:ind w:firstLine="640" w:firstLineChars="200"/>
        <w:textAlignment w:val="auto"/>
        <w:rPr>
          <w:rFonts w:ascii="仿宋_GB2312" w:eastAsia="仿宋_GB2312"/>
          <w:b w:val="0"/>
          <w:bCs w:val="0"/>
        </w:rPr>
      </w:pPr>
      <w:bookmarkStart w:id="12" w:name="_Toc68703839"/>
      <w:r>
        <w:rPr>
          <w:rFonts w:hint="eastAsia" w:ascii="仿宋_GB2312" w:eastAsia="仿宋_GB2312"/>
          <w:b w:val="0"/>
          <w:bCs w:val="0"/>
        </w:rPr>
        <w:t>（二）项目过程情况。</w:t>
      </w:r>
      <w:bookmarkEnd w:id="12"/>
    </w:p>
    <w:p>
      <w:pPr>
        <w:pageBreakBefore w:val="0"/>
        <w:kinsoku/>
        <w:wordWrap/>
        <w:overflowPunct/>
        <w:topLinePunct w:val="0"/>
        <w:autoSpaceDE/>
        <w:autoSpaceDN/>
        <w:bidi w:val="0"/>
        <w:spacing w:line="560" w:lineRule="exact"/>
        <w:ind w:firstLine="600" w:firstLineChars="200"/>
        <w:textAlignment w:val="auto"/>
        <w:outlineLvl w:val="2"/>
      </w:pPr>
      <w:r>
        <w:rPr>
          <w:rFonts w:hint="eastAsia"/>
        </w:rPr>
        <w:t>1、资金到位率</w:t>
      </w:r>
    </w:p>
    <w:p>
      <w:pPr>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实际到位资金1206.88万元，预算资金1206.88万元，资金到位率100%。</w:t>
      </w:r>
    </w:p>
    <w:p>
      <w:pPr>
        <w:pageBreakBefore w:val="0"/>
        <w:kinsoku/>
        <w:wordWrap/>
        <w:overflowPunct/>
        <w:topLinePunct w:val="0"/>
        <w:autoSpaceDE/>
        <w:autoSpaceDN/>
        <w:bidi w:val="0"/>
        <w:spacing w:line="560" w:lineRule="exact"/>
        <w:ind w:firstLine="600" w:firstLineChars="200"/>
        <w:textAlignment w:val="auto"/>
        <w:outlineLvl w:val="2"/>
      </w:pPr>
      <w:r>
        <w:rPr>
          <w:rFonts w:hint="eastAsia"/>
        </w:rPr>
        <w:t>2、预算执行率</w:t>
      </w:r>
    </w:p>
    <w:p>
      <w:pPr>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年初预算数1206.88万元，全年预算数1206.88万元，全年执行数1206.88万元，预算执行率为100%。</w:t>
      </w:r>
    </w:p>
    <w:p>
      <w:pPr>
        <w:pageBreakBefore w:val="0"/>
        <w:kinsoku/>
        <w:wordWrap/>
        <w:overflowPunct/>
        <w:topLinePunct w:val="0"/>
        <w:autoSpaceDE/>
        <w:autoSpaceDN/>
        <w:bidi w:val="0"/>
        <w:spacing w:line="560" w:lineRule="exact"/>
        <w:ind w:firstLine="600" w:firstLineChars="200"/>
        <w:textAlignment w:val="auto"/>
        <w:outlineLvl w:val="2"/>
      </w:pPr>
      <w:r>
        <w:rPr>
          <w:rFonts w:hint="eastAsia"/>
        </w:rPr>
        <w:t>3、资金使用合规性</w:t>
      </w:r>
    </w:p>
    <w:p>
      <w:pPr>
        <w:pageBreakBefore w:val="0"/>
        <w:kinsoku/>
        <w:wordWrap/>
        <w:overflowPunct/>
        <w:topLinePunct w:val="0"/>
        <w:autoSpaceDE/>
        <w:autoSpaceDN/>
        <w:bidi w:val="0"/>
        <w:spacing w:line="560" w:lineRule="exact"/>
        <w:ind w:firstLine="600" w:firstLineChars="200"/>
        <w:textAlignment w:val="auto"/>
        <w:rPr>
          <w:color w:val="FF0000"/>
        </w:rPr>
      </w:pPr>
      <w:r>
        <w:rPr>
          <w:rFonts w:hint="eastAsia" w:ascii="仿宋" w:hAnsi="仿宋" w:eastAsia="仿宋" w:cs="仿宋"/>
          <w:b w:val="0"/>
          <w:bCs w:val="0"/>
          <w:lang w:val="en-US" w:eastAsia="zh-CN"/>
        </w:rPr>
        <w:t>项目资金</w:t>
      </w:r>
      <w:r>
        <w:rPr>
          <w:rFonts w:hint="eastAsia" w:ascii="仿宋" w:hAnsi="仿宋" w:eastAsia="仿宋" w:cs="仿宋"/>
          <w:b w:val="0"/>
          <w:bCs w:val="0"/>
        </w:rPr>
        <w:t>符合国家财经法规和财务管理制度以及有关专项资金管理办法的规定；资金的拨付有完整的审批程序和手续；符合项目预算批复或合同规定的用途；</w:t>
      </w:r>
      <w:r>
        <w:rPr>
          <w:rFonts w:hint="eastAsia" w:ascii="仿宋" w:hAnsi="仿宋" w:eastAsia="仿宋" w:cs="仿宋"/>
          <w:b w:val="0"/>
          <w:bCs w:val="0"/>
          <w:lang w:val="en-US" w:eastAsia="zh-CN"/>
        </w:rPr>
        <w:t>不</w:t>
      </w:r>
      <w:r>
        <w:rPr>
          <w:rFonts w:hint="eastAsia" w:ascii="仿宋" w:hAnsi="仿宋" w:eastAsia="仿宋" w:cs="仿宋"/>
          <w:b w:val="0"/>
          <w:bCs w:val="0"/>
        </w:rPr>
        <w:t>存在截留、挤占、挪用、虚列支出等情况</w:t>
      </w:r>
      <w:r>
        <w:rPr>
          <w:rFonts w:hint="eastAsia" w:ascii="仿宋" w:hAnsi="仿宋" w:eastAsia="仿宋" w:cs="仿宋"/>
          <w:b w:val="0"/>
          <w:bCs w:val="0"/>
          <w:lang w:eastAsia="zh-CN"/>
        </w:rPr>
        <w:t>。</w:t>
      </w:r>
    </w:p>
    <w:p>
      <w:pPr>
        <w:pageBreakBefore w:val="0"/>
        <w:kinsoku/>
        <w:wordWrap/>
        <w:overflowPunct/>
        <w:topLinePunct w:val="0"/>
        <w:autoSpaceDE/>
        <w:autoSpaceDN/>
        <w:bidi w:val="0"/>
        <w:spacing w:line="560" w:lineRule="exact"/>
        <w:ind w:firstLine="600" w:firstLineChars="200"/>
        <w:textAlignment w:val="auto"/>
        <w:outlineLvl w:val="2"/>
      </w:pPr>
      <w:r>
        <w:rPr>
          <w:rFonts w:hint="eastAsia"/>
        </w:rPr>
        <w:t>4、管理制度健全性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ascii="仿宋" w:hAnsi="仿宋" w:eastAsia="仿宋" w:cs="仿宋"/>
          <w:color w:val="auto"/>
          <w:highlight w:val="none"/>
          <w:lang w:val="en-US" w:eastAsia="zh-CN"/>
        </w:rPr>
        <w:t>项目实施具</w:t>
      </w:r>
      <w:r>
        <w:rPr>
          <w:rFonts w:hint="eastAsia" w:ascii="仿宋" w:hAnsi="仿宋" w:eastAsia="仿宋" w:cs="仿宋"/>
          <w:color w:val="auto"/>
          <w:highlight w:val="none"/>
          <w:lang w:eastAsia="zh-CN"/>
        </w:rPr>
        <w:t>有相应的财务《中华人民共和国会计法》、《行政事业单位财务规则》、《</w:t>
      </w:r>
      <w:r>
        <w:rPr>
          <w:rFonts w:hint="eastAsia" w:ascii="仿宋" w:hAnsi="仿宋" w:eastAsia="仿宋" w:cs="仿宋"/>
          <w:color w:val="auto"/>
          <w:highlight w:val="none"/>
          <w:lang w:val="en-US" w:eastAsia="zh-CN"/>
        </w:rPr>
        <w:t>焉耆县疾病预防控制中心财务制度</w:t>
      </w:r>
      <w:r>
        <w:rPr>
          <w:rFonts w:hint="eastAsia" w:ascii="仿宋" w:hAnsi="仿宋" w:eastAsia="仿宋" w:cs="仿宋"/>
          <w:color w:val="auto"/>
          <w:highlight w:val="none"/>
          <w:lang w:eastAsia="zh-CN"/>
        </w:rPr>
        <w:t>》、预算管理内部控制制度、收支管理内部控制制度、政府采购管理内部控制制度等业务管理制度；财务和业务管理制度合法、合规、完整。</w:t>
      </w:r>
    </w:p>
    <w:p>
      <w:pPr>
        <w:pageBreakBefore w:val="0"/>
        <w:kinsoku/>
        <w:wordWrap/>
        <w:overflowPunct/>
        <w:topLinePunct w:val="0"/>
        <w:autoSpaceDE/>
        <w:autoSpaceDN/>
        <w:bidi w:val="0"/>
        <w:spacing w:line="560" w:lineRule="exact"/>
        <w:ind w:firstLine="600" w:firstLineChars="200"/>
        <w:textAlignment w:val="auto"/>
        <w:outlineLvl w:val="2"/>
      </w:pPr>
      <w:r>
        <w:rPr>
          <w:rFonts w:hint="eastAsia"/>
        </w:rPr>
        <w:t>5、制度执行有效性</w:t>
      </w:r>
    </w:p>
    <w:p>
      <w:pPr>
        <w:pageBreakBefore w:val="0"/>
        <w:kinsoku/>
        <w:wordWrap/>
        <w:overflowPunct/>
        <w:topLinePunct w:val="0"/>
        <w:autoSpaceDE/>
        <w:autoSpaceDN/>
        <w:bidi w:val="0"/>
        <w:spacing w:line="560" w:lineRule="exact"/>
        <w:ind w:firstLine="600" w:firstLineChars="200"/>
        <w:textAlignment w:val="auto"/>
        <w:outlineLvl w:val="2"/>
        <w:rPr>
          <w:rFonts w:hint="eastAsia"/>
        </w:rPr>
      </w:pPr>
      <w:r>
        <w:rPr>
          <w:rFonts w:hint="eastAsia"/>
        </w:rPr>
        <w:t>项目实施</w:t>
      </w:r>
      <w:r>
        <w:rPr>
          <w:rFonts w:hint="eastAsia"/>
          <w:lang w:val="en-US" w:eastAsia="zh-CN"/>
        </w:rPr>
        <w:t>执行</w:t>
      </w:r>
      <w:r>
        <w:rPr>
          <w:rFonts w:hint="eastAsia"/>
          <w:lang w:eastAsia="zh-CN"/>
        </w:rPr>
        <w:t>过程中</w:t>
      </w:r>
      <w:r>
        <w:rPr>
          <w:rFonts w:hint="eastAsia"/>
        </w:rPr>
        <w:t>遵守相关法律法规和相关管理规定；项目调整及支出调整手续完备；项目合同书、验收报告、技术鉴定等资料齐全并及时归档；项目实施的人员条件、场地设备等落实到位。</w:t>
      </w:r>
    </w:p>
    <w:p>
      <w:pPr>
        <w:pStyle w:val="4"/>
        <w:pageBreakBefore w:val="0"/>
        <w:kinsoku/>
        <w:wordWrap/>
        <w:overflowPunct/>
        <w:topLinePunct w:val="0"/>
        <w:autoSpaceDE/>
        <w:autoSpaceDN/>
        <w:bidi w:val="0"/>
        <w:spacing w:line="560" w:lineRule="exact"/>
        <w:ind w:firstLine="640" w:firstLineChars="200"/>
        <w:textAlignment w:val="auto"/>
        <w:rPr>
          <w:rFonts w:ascii="仿宋_GB2312" w:eastAsia="仿宋_GB2312"/>
          <w:b w:val="0"/>
          <w:bCs w:val="0"/>
          <w:color w:val="auto"/>
        </w:rPr>
      </w:pPr>
      <w:bookmarkStart w:id="13" w:name="_Toc68703840"/>
      <w:r>
        <w:rPr>
          <w:rFonts w:hint="eastAsia" w:ascii="仿宋_GB2312" w:eastAsia="仿宋_GB2312"/>
          <w:b w:val="0"/>
          <w:bCs w:val="0"/>
          <w:color w:val="auto"/>
        </w:rPr>
        <w:t>（三）项目产出情况</w:t>
      </w:r>
      <w:bookmarkEnd w:id="13"/>
    </w:p>
    <w:p>
      <w:pPr>
        <w:pageBreakBefore w:val="0"/>
        <w:numPr>
          <w:ilvl w:val="0"/>
          <w:numId w:val="1"/>
        </w:numPr>
        <w:kinsoku/>
        <w:wordWrap/>
        <w:overflowPunct/>
        <w:topLinePunct w:val="0"/>
        <w:autoSpaceDE/>
        <w:autoSpaceDN/>
        <w:bidi w:val="0"/>
        <w:spacing w:line="560" w:lineRule="exact"/>
        <w:ind w:firstLine="600" w:firstLineChars="200"/>
        <w:textAlignment w:val="auto"/>
        <w:rPr>
          <w:rFonts w:hint="eastAsia"/>
          <w:color w:val="auto"/>
        </w:rPr>
      </w:pPr>
      <w:r>
        <w:rPr>
          <w:rFonts w:hint="eastAsia"/>
          <w:color w:val="auto"/>
        </w:rPr>
        <w:t>产出数量指标：指标1：防疫知识宣传印制份数，指标值：</w:t>
      </w:r>
      <w:r>
        <w:rPr>
          <w:rFonts w:hint="eastAsia"/>
          <w:color w:val="auto"/>
          <w:lang w:val="en-US" w:eastAsia="zh-CN"/>
        </w:rPr>
        <w:t>22.4万份</w:t>
      </w:r>
      <w:r>
        <w:rPr>
          <w:rFonts w:hint="eastAsia"/>
          <w:color w:val="auto"/>
        </w:rPr>
        <w:t>，实际完成值</w:t>
      </w:r>
      <w:r>
        <w:rPr>
          <w:rFonts w:hint="eastAsia"/>
          <w:color w:val="auto"/>
          <w:lang w:val="en-US" w:eastAsia="zh-CN"/>
        </w:rPr>
        <w:t>16.4万份</w:t>
      </w:r>
      <w:r>
        <w:rPr>
          <w:rFonts w:hint="eastAsia"/>
          <w:color w:val="auto"/>
        </w:rPr>
        <w:t>，指标完成率100%，</w:t>
      </w:r>
      <w:r>
        <w:rPr>
          <w:rFonts w:hint="eastAsia"/>
          <w:color w:val="auto"/>
          <w:lang w:eastAsia="zh-CN"/>
        </w:rPr>
        <w:t>无偏差原因；</w:t>
      </w:r>
      <w:r>
        <w:rPr>
          <w:rFonts w:hint="eastAsia"/>
          <w:color w:val="auto"/>
        </w:rPr>
        <w:t>指标</w:t>
      </w:r>
      <w:r>
        <w:rPr>
          <w:rFonts w:hint="eastAsia"/>
          <w:color w:val="auto"/>
          <w:lang w:val="en-US" w:eastAsia="zh-CN"/>
        </w:rPr>
        <w:t>2</w:t>
      </w:r>
      <w:r>
        <w:rPr>
          <w:rFonts w:hint="eastAsia"/>
          <w:color w:val="auto"/>
        </w:rPr>
        <w:t>：疫情防控物资采购批次，指标值：&gt;=</w:t>
      </w:r>
      <w:r>
        <w:rPr>
          <w:rFonts w:hint="eastAsia"/>
          <w:color w:val="auto"/>
          <w:lang w:val="en-US" w:eastAsia="zh-CN"/>
        </w:rPr>
        <w:t>4次</w:t>
      </w:r>
      <w:r>
        <w:rPr>
          <w:rFonts w:hint="eastAsia"/>
          <w:color w:val="auto"/>
        </w:rPr>
        <w:t>，实际完成值</w:t>
      </w:r>
      <w:r>
        <w:rPr>
          <w:rFonts w:hint="eastAsia"/>
          <w:color w:val="auto"/>
          <w:lang w:val="en-US" w:eastAsia="zh-CN"/>
        </w:rPr>
        <w:t>4次</w:t>
      </w:r>
      <w:r>
        <w:rPr>
          <w:rFonts w:hint="eastAsia"/>
          <w:color w:val="auto"/>
        </w:rPr>
        <w:t>，指标完成率100%，</w:t>
      </w:r>
      <w:r>
        <w:rPr>
          <w:rFonts w:hint="eastAsia"/>
          <w:color w:val="auto"/>
          <w:lang w:eastAsia="zh-CN"/>
        </w:rPr>
        <w:t>无</w:t>
      </w:r>
      <w:r>
        <w:rPr>
          <w:rFonts w:hint="eastAsia"/>
          <w:color w:val="auto"/>
        </w:rPr>
        <w:t>偏差原因；指标</w:t>
      </w:r>
      <w:r>
        <w:rPr>
          <w:rFonts w:hint="eastAsia"/>
          <w:color w:val="auto"/>
          <w:lang w:val="en-US" w:eastAsia="zh-CN"/>
        </w:rPr>
        <w:t>3</w:t>
      </w:r>
      <w:r>
        <w:rPr>
          <w:rFonts w:hint="eastAsia"/>
          <w:color w:val="auto"/>
        </w:rPr>
        <w:t>：防疫场所补助发放次数，指标值：&gt;=</w:t>
      </w:r>
      <w:r>
        <w:rPr>
          <w:rFonts w:hint="eastAsia"/>
          <w:color w:val="auto"/>
          <w:lang w:val="en-US" w:eastAsia="zh-CN"/>
        </w:rPr>
        <w:t>4次</w:t>
      </w:r>
      <w:r>
        <w:rPr>
          <w:rFonts w:hint="eastAsia"/>
          <w:color w:val="auto"/>
        </w:rPr>
        <w:t>，实际完成值</w:t>
      </w:r>
      <w:r>
        <w:rPr>
          <w:rFonts w:hint="eastAsia"/>
          <w:color w:val="auto"/>
          <w:lang w:val="en-US" w:eastAsia="zh-CN"/>
        </w:rPr>
        <w:t>4次</w:t>
      </w:r>
      <w:r>
        <w:rPr>
          <w:rFonts w:hint="eastAsia"/>
          <w:color w:val="auto"/>
        </w:rPr>
        <w:t>，指标完成率100%，</w:t>
      </w:r>
      <w:r>
        <w:rPr>
          <w:rFonts w:hint="eastAsia"/>
          <w:color w:val="auto"/>
          <w:lang w:eastAsia="zh-CN"/>
        </w:rPr>
        <w:t>无偏差原因；</w:t>
      </w:r>
      <w:r>
        <w:rPr>
          <w:rFonts w:hint="eastAsia"/>
          <w:color w:val="auto"/>
        </w:rPr>
        <w:t>指标</w:t>
      </w:r>
      <w:r>
        <w:rPr>
          <w:rFonts w:hint="eastAsia"/>
          <w:color w:val="auto"/>
          <w:lang w:val="en-US" w:eastAsia="zh-CN"/>
        </w:rPr>
        <w:t>4</w:t>
      </w:r>
      <w:r>
        <w:rPr>
          <w:rFonts w:hint="eastAsia"/>
          <w:color w:val="auto"/>
        </w:rPr>
        <w:t>：疫情防疫场所数量，指标值：&gt;=</w:t>
      </w:r>
      <w:r>
        <w:rPr>
          <w:rFonts w:hint="eastAsia"/>
          <w:color w:val="auto"/>
          <w:lang w:val="en-US" w:eastAsia="zh-CN"/>
        </w:rPr>
        <w:t>5个</w:t>
      </w:r>
      <w:r>
        <w:rPr>
          <w:rFonts w:hint="eastAsia"/>
          <w:color w:val="auto"/>
        </w:rPr>
        <w:t>，实际完成值</w:t>
      </w:r>
      <w:r>
        <w:rPr>
          <w:rFonts w:hint="eastAsia"/>
          <w:color w:val="auto"/>
          <w:lang w:val="en-US" w:eastAsia="zh-CN"/>
        </w:rPr>
        <w:t>5个</w:t>
      </w:r>
      <w:r>
        <w:rPr>
          <w:rFonts w:hint="eastAsia"/>
          <w:color w:val="auto"/>
        </w:rPr>
        <w:t>，指标完成率100%，</w:t>
      </w:r>
      <w:r>
        <w:rPr>
          <w:rFonts w:hint="eastAsia"/>
          <w:color w:val="auto"/>
          <w:lang w:eastAsia="zh-CN"/>
        </w:rPr>
        <w:t>无偏差原因；</w:t>
      </w:r>
    </w:p>
    <w:p>
      <w:pPr>
        <w:pageBreakBefore w:val="0"/>
        <w:numPr>
          <w:ilvl w:val="0"/>
          <w:numId w:val="1"/>
        </w:numPr>
        <w:kinsoku/>
        <w:wordWrap/>
        <w:overflowPunct/>
        <w:topLinePunct w:val="0"/>
        <w:autoSpaceDE/>
        <w:autoSpaceDN/>
        <w:bidi w:val="0"/>
        <w:spacing w:line="560" w:lineRule="exact"/>
        <w:ind w:firstLine="600" w:firstLineChars="200"/>
        <w:textAlignment w:val="auto"/>
        <w:rPr>
          <w:rFonts w:hint="eastAsia"/>
        </w:rPr>
      </w:pPr>
      <w:r>
        <w:rPr>
          <w:rFonts w:hint="eastAsia"/>
        </w:rPr>
        <w:t>质量指标：指标</w:t>
      </w:r>
      <w:r>
        <w:rPr>
          <w:rFonts w:hint="eastAsia"/>
          <w:lang w:val="en-US" w:eastAsia="zh-CN"/>
        </w:rPr>
        <w:t>1</w:t>
      </w:r>
      <w:r>
        <w:rPr>
          <w:rFonts w:hint="eastAsia"/>
        </w:rPr>
        <w:t>：验收合格率，</w:t>
      </w:r>
      <w:bookmarkStart w:id="14" w:name="_Hlk98607777"/>
      <w:r>
        <w:rPr>
          <w:rFonts w:hint="eastAsia"/>
        </w:rPr>
        <w:t>指标值：&gt;=90%，实际完成值90%，</w:t>
      </w:r>
      <w:bookmarkStart w:id="15" w:name="_Hlk98607678"/>
      <w:r>
        <w:rPr>
          <w:rFonts w:hint="eastAsia"/>
        </w:rPr>
        <w:t>指标完成率</w:t>
      </w:r>
      <w:r>
        <w:rPr>
          <w:rFonts w:hint="eastAsia"/>
          <w:lang w:val="en-US" w:eastAsia="zh-CN"/>
        </w:rPr>
        <w:t>100</w:t>
      </w:r>
      <w:r>
        <w:rPr>
          <w:rFonts w:hint="eastAsia"/>
        </w:rPr>
        <w:t>%，</w:t>
      </w:r>
      <w:bookmarkEnd w:id="14"/>
      <w:bookmarkEnd w:id="15"/>
      <w:r>
        <w:rPr>
          <w:rFonts w:hint="eastAsia"/>
          <w:lang w:eastAsia="zh-CN"/>
        </w:rPr>
        <w:t>无偏差原因；</w:t>
      </w:r>
      <w:r>
        <w:rPr>
          <w:rFonts w:hint="eastAsia"/>
        </w:rPr>
        <w:t>指标</w:t>
      </w:r>
      <w:r>
        <w:rPr>
          <w:rFonts w:hint="eastAsia"/>
          <w:lang w:val="en-US" w:eastAsia="zh-CN"/>
        </w:rPr>
        <w:t>2</w:t>
      </w:r>
      <w:r>
        <w:rPr>
          <w:rFonts w:hint="eastAsia"/>
        </w:rPr>
        <w:t>：质量合格率，指标值：&gt;=90%，实际完成值90%，指标完成率</w:t>
      </w:r>
      <w:r>
        <w:rPr>
          <w:rFonts w:hint="eastAsia"/>
          <w:lang w:val="en-US" w:eastAsia="zh-CN"/>
        </w:rPr>
        <w:t>100</w:t>
      </w:r>
      <w:r>
        <w:rPr>
          <w:rFonts w:hint="eastAsia"/>
        </w:rPr>
        <w:t>%，</w:t>
      </w:r>
      <w:r>
        <w:rPr>
          <w:rFonts w:hint="eastAsia"/>
          <w:lang w:eastAsia="zh-CN"/>
        </w:rPr>
        <w:t>无偏差原因；</w:t>
      </w:r>
      <w:r>
        <w:rPr>
          <w:rFonts w:hint="eastAsia"/>
        </w:rPr>
        <w:t>指标</w:t>
      </w:r>
      <w:r>
        <w:rPr>
          <w:rFonts w:hint="eastAsia"/>
          <w:lang w:val="en-US" w:eastAsia="zh-CN"/>
        </w:rPr>
        <w:t>3</w:t>
      </w:r>
      <w:r>
        <w:rPr>
          <w:rFonts w:hint="eastAsia"/>
        </w:rPr>
        <w:t>：防疫场所补贴发放准确率，指标值：&gt;=9</w:t>
      </w:r>
      <w:r>
        <w:rPr>
          <w:rFonts w:hint="eastAsia"/>
          <w:lang w:val="en-US" w:eastAsia="zh-CN"/>
        </w:rPr>
        <w:t>0</w:t>
      </w:r>
      <w:r>
        <w:rPr>
          <w:rFonts w:hint="eastAsia"/>
        </w:rPr>
        <w:t>%，实际完成值=</w:t>
      </w:r>
      <w:r>
        <w:rPr>
          <w:rFonts w:hint="eastAsia"/>
          <w:lang w:val="en-US" w:eastAsia="zh-CN"/>
        </w:rPr>
        <w:t>90</w:t>
      </w:r>
      <w:r>
        <w:rPr>
          <w:rFonts w:hint="eastAsia"/>
        </w:rPr>
        <w:t>%，指标完成率</w:t>
      </w:r>
      <w:r>
        <w:rPr>
          <w:rFonts w:hint="eastAsia"/>
          <w:lang w:val="en-US" w:eastAsia="zh-CN"/>
        </w:rPr>
        <w:t>100</w:t>
      </w:r>
      <w:r>
        <w:rPr>
          <w:rFonts w:hint="eastAsia"/>
        </w:rPr>
        <w:t>%，</w:t>
      </w:r>
      <w:r>
        <w:rPr>
          <w:rFonts w:hint="eastAsia"/>
          <w:lang w:eastAsia="zh-CN"/>
        </w:rPr>
        <w:t>无偏差原因；</w:t>
      </w:r>
    </w:p>
    <w:p>
      <w:pPr>
        <w:pageBreakBefore w:val="0"/>
        <w:numPr>
          <w:ilvl w:val="0"/>
          <w:numId w:val="1"/>
        </w:numPr>
        <w:kinsoku/>
        <w:wordWrap/>
        <w:overflowPunct/>
        <w:topLinePunct w:val="0"/>
        <w:autoSpaceDE/>
        <w:autoSpaceDN/>
        <w:bidi w:val="0"/>
        <w:spacing w:line="560" w:lineRule="exact"/>
        <w:ind w:firstLine="600" w:firstLineChars="200"/>
        <w:textAlignment w:val="auto"/>
        <w:rPr>
          <w:rFonts w:hint="eastAsia"/>
          <w:color w:val="auto"/>
        </w:rPr>
      </w:pPr>
      <w:r>
        <w:rPr>
          <w:rFonts w:hint="eastAsia"/>
        </w:rPr>
        <w:t>时效指标：指标1：防疫知识宣传印刷及时率：指标值&gt;=9</w:t>
      </w:r>
      <w:r>
        <w:rPr>
          <w:rFonts w:hint="eastAsia"/>
          <w:lang w:val="en-US" w:eastAsia="zh-CN"/>
        </w:rPr>
        <w:t>5</w:t>
      </w:r>
      <w:r>
        <w:rPr>
          <w:rFonts w:hint="eastAsia"/>
        </w:rPr>
        <w:t>%，完成值9</w:t>
      </w:r>
      <w:r>
        <w:rPr>
          <w:rFonts w:hint="eastAsia"/>
          <w:lang w:val="en-US" w:eastAsia="zh-CN"/>
        </w:rPr>
        <w:t>5</w:t>
      </w:r>
      <w:r>
        <w:rPr>
          <w:rFonts w:hint="eastAsia"/>
        </w:rPr>
        <w:t>%</w:t>
      </w:r>
      <w:r>
        <w:rPr>
          <w:rFonts w:hint="eastAsia"/>
          <w:lang w:eastAsia="zh-CN"/>
        </w:rPr>
        <w:t>，</w:t>
      </w:r>
      <w:r>
        <w:rPr>
          <w:rFonts w:hint="eastAsia"/>
        </w:rPr>
        <w:t>指标完成率</w:t>
      </w:r>
      <w:r>
        <w:rPr>
          <w:rFonts w:hint="eastAsia"/>
          <w:lang w:val="en-US" w:eastAsia="zh-CN"/>
        </w:rPr>
        <w:t>100</w:t>
      </w:r>
      <w:r>
        <w:rPr>
          <w:rFonts w:hint="eastAsia"/>
        </w:rPr>
        <w:t>%，</w:t>
      </w:r>
      <w:r>
        <w:rPr>
          <w:rFonts w:hint="eastAsia"/>
          <w:lang w:eastAsia="zh-CN"/>
        </w:rPr>
        <w:t>无偏差原因；</w:t>
      </w:r>
      <w:r>
        <w:rPr>
          <w:rFonts w:hint="eastAsia"/>
        </w:rPr>
        <w:t>指标</w:t>
      </w:r>
      <w:r>
        <w:rPr>
          <w:rFonts w:hint="eastAsia"/>
          <w:lang w:val="en-US" w:eastAsia="zh-CN"/>
        </w:rPr>
        <w:t>2</w:t>
      </w:r>
      <w:r>
        <w:rPr>
          <w:rFonts w:hint="eastAsia"/>
        </w:rPr>
        <w:t>：疫情物资采购及时率：指标值&gt;=9</w:t>
      </w:r>
      <w:r>
        <w:rPr>
          <w:rFonts w:hint="eastAsia"/>
          <w:lang w:val="en-US" w:eastAsia="zh-CN"/>
        </w:rPr>
        <w:t>8</w:t>
      </w:r>
      <w:r>
        <w:rPr>
          <w:rFonts w:hint="eastAsia"/>
        </w:rPr>
        <w:t>%，完成值9</w:t>
      </w:r>
      <w:r>
        <w:rPr>
          <w:rFonts w:hint="eastAsia"/>
          <w:lang w:val="en-US" w:eastAsia="zh-CN"/>
        </w:rPr>
        <w:t>8</w:t>
      </w:r>
      <w:r>
        <w:rPr>
          <w:rFonts w:hint="eastAsia"/>
        </w:rPr>
        <w:t>%</w:t>
      </w:r>
      <w:r>
        <w:rPr>
          <w:rFonts w:hint="eastAsia"/>
          <w:lang w:eastAsia="zh-CN"/>
        </w:rPr>
        <w:t>，</w:t>
      </w:r>
      <w:r>
        <w:rPr>
          <w:rFonts w:hint="eastAsia"/>
        </w:rPr>
        <w:t>指标完成率</w:t>
      </w:r>
      <w:r>
        <w:rPr>
          <w:rFonts w:hint="eastAsia"/>
          <w:lang w:val="en-US" w:eastAsia="zh-CN"/>
        </w:rPr>
        <w:t>100</w:t>
      </w:r>
      <w:r>
        <w:rPr>
          <w:rFonts w:hint="eastAsia"/>
        </w:rPr>
        <w:t>%，</w:t>
      </w:r>
      <w:r>
        <w:rPr>
          <w:rFonts w:hint="eastAsia"/>
          <w:lang w:eastAsia="zh-CN"/>
        </w:rPr>
        <w:t>无偏差原因；</w:t>
      </w:r>
      <w:r>
        <w:rPr>
          <w:rFonts w:hint="eastAsia"/>
        </w:rPr>
        <w:t>指标</w:t>
      </w:r>
      <w:r>
        <w:rPr>
          <w:rFonts w:hint="eastAsia"/>
          <w:lang w:val="en-US" w:eastAsia="zh-CN"/>
        </w:rPr>
        <w:t>3</w:t>
      </w:r>
      <w:r>
        <w:rPr>
          <w:rFonts w:hint="eastAsia"/>
        </w:rPr>
        <w:t>：防疫场所补助发放及时率：指标值&gt;=9</w:t>
      </w:r>
      <w:r>
        <w:rPr>
          <w:rFonts w:hint="eastAsia"/>
          <w:lang w:val="en-US" w:eastAsia="zh-CN"/>
        </w:rPr>
        <w:t>8</w:t>
      </w:r>
      <w:r>
        <w:rPr>
          <w:rFonts w:hint="eastAsia"/>
        </w:rPr>
        <w:t>%，完成值9</w:t>
      </w:r>
      <w:r>
        <w:rPr>
          <w:rFonts w:hint="eastAsia"/>
          <w:lang w:val="en-US" w:eastAsia="zh-CN"/>
        </w:rPr>
        <w:t>8</w:t>
      </w:r>
      <w:r>
        <w:rPr>
          <w:rFonts w:hint="eastAsia"/>
        </w:rPr>
        <w:t>%</w:t>
      </w:r>
      <w:r>
        <w:rPr>
          <w:rFonts w:hint="eastAsia"/>
          <w:lang w:eastAsia="zh-CN"/>
        </w:rPr>
        <w:t>，</w:t>
      </w:r>
      <w:r>
        <w:rPr>
          <w:rFonts w:hint="eastAsia"/>
        </w:rPr>
        <w:t>指标完成率</w:t>
      </w:r>
      <w:r>
        <w:rPr>
          <w:rFonts w:hint="eastAsia"/>
          <w:lang w:val="en-US" w:eastAsia="zh-CN"/>
        </w:rPr>
        <w:t>100</w:t>
      </w:r>
      <w:r>
        <w:rPr>
          <w:rFonts w:hint="eastAsia"/>
        </w:rPr>
        <w:t>%，</w:t>
      </w:r>
      <w:r>
        <w:rPr>
          <w:rFonts w:hint="eastAsia"/>
          <w:lang w:eastAsia="zh-CN"/>
        </w:rPr>
        <w:t>无偏差原因；</w:t>
      </w:r>
    </w:p>
    <w:p>
      <w:pPr>
        <w:pageBreakBefore w:val="0"/>
        <w:numPr>
          <w:ilvl w:val="0"/>
          <w:numId w:val="1"/>
        </w:numPr>
        <w:kinsoku/>
        <w:wordWrap/>
        <w:overflowPunct/>
        <w:topLinePunct w:val="0"/>
        <w:autoSpaceDE/>
        <w:autoSpaceDN/>
        <w:bidi w:val="0"/>
        <w:spacing w:line="560" w:lineRule="exact"/>
        <w:ind w:firstLine="600" w:firstLineChars="200"/>
        <w:textAlignment w:val="auto"/>
        <w:rPr>
          <w:rFonts w:hint="eastAsia"/>
          <w:color w:val="auto"/>
        </w:rPr>
      </w:pPr>
      <w:r>
        <w:rPr>
          <w:rFonts w:hint="eastAsia"/>
          <w:color w:val="auto"/>
        </w:rPr>
        <w:t>成本指标：指标1：防疫知识宣传单采购控制数：指标值：&lt;=</w:t>
      </w:r>
      <w:r>
        <w:rPr>
          <w:rFonts w:hint="eastAsia"/>
          <w:color w:val="auto"/>
          <w:lang w:val="en-US" w:eastAsia="zh-CN"/>
        </w:rPr>
        <w:t>3.82</w:t>
      </w:r>
      <w:r>
        <w:rPr>
          <w:rFonts w:hint="eastAsia"/>
          <w:color w:val="auto"/>
        </w:rPr>
        <w:t>万元，实际完成值</w:t>
      </w:r>
      <w:r>
        <w:rPr>
          <w:rFonts w:hint="eastAsia"/>
          <w:color w:val="auto"/>
          <w:lang w:val="en-US" w:eastAsia="zh-CN"/>
        </w:rPr>
        <w:t>3.82</w:t>
      </w:r>
      <w:r>
        <w:rPr>
          <w:rFonts w:hint="eastAsia"/>
          <w:color w:val="auto"/>
        </w:rPr>
        <w:t>万元，指标完成率100%，</w:t>
      </w:r>
      <w:r>
        <w:rPr>
          <w:rFonts w:hint="eastAsia"/>
          <w:color w:val="auto"/>
          <w:lang w:eastAsia="zh-CN"/>
        </w:rPr>
        <w:t>无偏差原因；</w:t>
      </w:r>
      <w:r>
        <w:rPr>
          <w:rFonts w:hint="eastAsia"/>
          <w:color w:val="auto"/>
        </w:rPr>
        <w:t>指标</w:t>
      </w:r>
      <w:r>
        <w:rPr>
          <w:rFonts w:hint="eastAsia"/>
          <w:color w:val="auto"/>
          <w:lang w:val="en-US" w:eastAsia="zh-CN"/>
        </w:rPr>
        <w:t>2</w:t>
      </w:r>
      <w:r>
        <w:rPr>
          <w:rFonts w:hint="eastAsia"/>
          <w:color w:val="auto"/>
        </w:rPr>
        <w:t>：疫情防控物资采购成本控制数：指标值：&lt;=</w:t>
      </w:r>
      <w:r>
        <w:rPr>
          <w:rFonts w:hint="eastAsia"/>
          <w:color w:val="auto"/>
          <w:lang w:val="en-US" w:eastAsia="zh-CN"/>
        </w:rPr>
        <w:t>856.28</w:t>
      </w:r>
      <w:r>
        <w:rPr>
          <w:rFonts w:hint="eastAsia"/>
          <w:color w:val="auto"/>
        </w:rPr>
        <w:t>万元，实际完成值</w:t>
      </w:r>
      <w:r>
        <w:rPr>
          <w:rFonts w:hint="eastAsia"/>
          <w:color w:val="auto"/>
          <w:lang w:val="en-US" w:eastAsia="zh-CN"/>
        </w:rPr>
        <w:t>856.28</w:t>
      </w:r>
      <w:r>
        <w:rPr>
          <w:rFonts w:hint="eastAsia"/>
          <w:color w:val="auto"/>
        </w:rPr>
        <w:t>万元，指标完成率100%，</w:t>
      </w:r>
      <w:r>
        <w:rPr>
          <w:rFonts w:hint="eastAsia"/>
          <w:color w:val="auto"/>
          <w:lang w:eastAsia="zh-CN"/>
        </w:rPr>
        <w:t>无偏差原因；</w:t>
      </w:r>
      <w:r>
        <w:rPr>
          <w:rFonts w:hint="eastAsia"/>
          <w:color w:val="auto"/>
        </w:rPr>
        <w:t>指标</w:t>
      </w:r>
      <w:r>
        <w:rPr>
          <w:rFonts w:hint="eastAsia"/>
          <w:color w:val="auto"/>
          <w:lang w:val="en-US" w:eastAsia="zh-CN"/>
        </w:rPr>
        <w:t>3</w:t>
      </w:r>
      <w:r>
        <w:rPr>
          <w:rFonts w:hint="eastAsia"/>
          <w:color w:val="auto"/>
        </w:rPr>
        <w:t>：防疫场所补贴发放控制数：指标值：&lt;=</w:t>
      </w:r>
      <w:r>
        <w:rPr>
          <w:rFonts w:hint="eastAsia"/>
          <w:color w:val="auto"/>
          <w:lang w:val="en-US" w:eastAsia="zh-CN"/>
        </w:rPr>
        <w:t>346.78</w:t>
      </w:r>
      <w:r>
        <w:rPr>
          <w:rFonts w:hint="eastAsia"/>
          <w:color w:val="auto"/>
        </w:rPr>
        <w:t>万元，实际完成值</w:t>
      </w:r>
      <w:r>
        <w:rPr>
          <w:rFonts w:hint="eastAsia"/>
          <w:color w:val="auto"/>
          <w:lang w:val="en-US" w:eastAsia="zh-CN"/>
        </w:rPr>
        <w:t>346.78</w:t>
      </w:r>
      <w:r>
        <w:rPr>
          <w:rFonts w:hint="eastAsia"/>
          <w:color w:val="auto"/>
        </w:rPr>
        <w:t>万元，指标完成率100%，</w:t>
      </w:r>
      <w:r>
        <w:rPr>
          <w:rFonts w:hint="eastAsia"/>
          <w:color w:val="auto"/>
          <w:lang w:eastAsia="zh-CN"/>
        </w:rPr>
        <w:t>无偏差原因；</w:t>
      </w:r>
    </w:p>
    <w:p>
      <w:pPr>
        <w:pStyle w:val="4"/>
        <w:pageBreakBefore w:val="0"/>
        <w:kinsoku/>
        <w:wordWrap/>
        <w:overflowPunct/>
        <w:topLinePunct w:val="0"/>
        <w:autoSpaceDE/>
        <w:autoSpaceDN/>
        <w:bidi w:val="0"/>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bookmarkStart w:id="16" w:name="_Toc68703841"/>
      <w:r>
        <w:rPr>
          <w:rFonts w:hint="eastAsia" w:ascii="Times New Roman" w:hAnsi="Times New Roman" w:eastAsia="仿宋_GB2312" w:cs="Times New Roman"/>
          <w:b w:val="0"/>
          <w:bCs w:val="0"/>
          <w:color w:val="auto"/>
          <w:kern w:val="2"/>
          <w:sz w:val="30"/>
          <w:szCs w:val="24"/>
          <w:lang w:val="en-US" w:eastAsia="zh-CN" w:bidi="ar-SA"/>
        </w:rPr>
        <w:t>（四）项目效益情况</w:t>
      </w:r>
      <w:bookmarkEnd w:id="16"/>
    </w:p>
    <w:p>
      <w:pPr>
        <w:pageBreakBefore w:val="0"/>
        <w:kinsoku/>
        <w:wordWrap/>
        <w:overflowPunct/>
        <w:topLinePunct w:val="0"/>
        <w:autoSpaceDE/>
        <w:autoSpaceDN/>
        <w:bidi w:val="0"/>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1、效益指标：指标1：群众防疫知识的知晓率，</w:t>
      </w:r>
      <w:r>
        <w:rPr>
          <w:rFonts w:hint="eastAsia"/>
        </w:rPr>
        <w:t>指标值&gt;=9</w:t>
      </w:r>
      <w:r>
        <w:rPr>
          <w:rFonts w:hint="eastAsia"/>
          <w:lang w:val="en-US" w:eastAsia="zh-CN"/>
        </w:rPr>
        <w:t>8</w:t>
      </w:r>
      <w:r>
        <w:rPr>
          <w:rFonts w:hint="eastAsia"/>
        </w:rPr>
        <w:t>%，完成值9</w:t>
      </w:r>
      <w:r>
        <w:rPr>
          <w:rFonts w:hint="eastAsia"/>
          <w:lang w:val="en-US" w:eastAsia="zh-CN"/>
        </w:rPr>
        <w:t>8</w:t>
      </w:r>
      <w:r>
        <w:rPr>
          <w:rFonts w:hint="eastAsia"/>
        </w:rPr>
        <w:t>%</w:t>
      </w:r>
      <w:r>
        <w:rPr>
          <w:rFonts w:hint="eastAsia" w:ascii="Times New Roman" w:hAnsi="Times New Roman" w:eastAsia="仿宋_GB2312" w:cs="Times New Roman"/>
          <w:b w:val="0"/>
          <w:bCs w:val="0"/>
          <w:kern w:val="2"/>
          <w:sz w:val="30"/>
          <w:szCs w:val="24"/>
          <w:lang w:val="en-US" w:eastAsia="zh-CN" w:bidi="ar-SA"/>
        </w:rPr>
        <w:t>，指标完成率100%，无偏差原因；2、满意度指标：指标1：受益人员满意度：</w:t>
      </w:r>
      <w:bookmarkStart w:id="17" w:name="_Hlk98607522"/>
      <w:r>
        <w:rPr>
          <w:rFonts w:hint="eastAsia" w:ascii="Times New Roman" w:hAnsi="Times New Roman" w:eastAsia="仿宋_GB2312" w:cs="Times New Roman"/>
          <w:b w:val="0"/>
          <w:bCs w:val="0"/>
          <w:kern w:val="2"/>
          <w:sz w:val="30"/>
          <w:szCs w:val="24"/>
          <w:lang w:val="en-US" w:eastAsia="zh-CN" w:bidi="ar-SA"/>
        </w:rPr>
        <w:t>指标值：&gt;=95%，实际完成值95%，指标完成率100%，</w:t>
      </w:r>
      <w:bookmarkEnd w:id="17"/>
      <w:r>
        <w:rPr>
          <w:rFonts w:hint="eastAsia" w:ascii="Times New Roman" w:hAnsi="Times New Roman" w:eastAsia="仿宋_GB2312" w:cs="Times New Roman"/>
          <w:b w:val="0"/>
          <w:bCs w:val="0"/>
          <w:kern w:val="2"/>
          <w:sz w:val="30"/>
          <w:szCs w:val="24"/>
          <w:lang w:val="en-US" w:eastAsia="zh-CN" w:bidi="ar-SA"/>
        </w:rPr>
        <w:t>无偏差原因。</w:t>
      </w:r>
    </w:p>
    <w:p>
      <w:pPr>
        <w:pStyle w:val="3"/>
        <w:pageBreakBefore w:val="0"/>
        <w:kinsoku/>
        <w:wordWrap/>
        <w:overflowPunct/>
        <w:topLinePunct w:val="0"/>
        <w:autoSpaceDE/>
        <w:autoSpaceDN/>
        <w:bidi w:val="0"/>
        <w:spacing w:line="560" w:lineRule="exact"/>
        <w:ind w:firstLine="643" w:firstLineChars="200"/>
        <w:textAlignment w:val="auto"/>
        <w:rPr>
          <w:rFonts w:ascii="宋体" w:hAnsi="宋体" w:eastAsia="宋体"/>
          <w:sz w:val="32"/>
          <w:szCs w:val="32"/>
        </w:rPr>
      </w:pPr>
      <w:bookmarkStart w:id="18" w:name="_Toc68703842"/>
      <w:r>
        <w:rPr>
          <w:rFonts w:hint="eastAsia" w:ascii="宋体" w:hAnsi="宋体" w:eastAsia="宋体"/>
          <w:sz w:val="32"/>
          <w:szCs w:val="32"/>
        </w:rPr>
        <w:t>五、主要经验及做法、存在的问题及原因分析</w:t>
      </w:r>
      <w:bookmarkEnd w:id="18"/>
    </w:p>
    <w:p>
      <w:pPr>
        <w:pStyle w:val="4"/>
        <w:pageBreakBefore w:val="0"/>
        <w:kinsoku/>
        <w:wordWrap/>
        <w:overflowPunct/>
        <w:topLinePunct w:val="0"/>
        <w:autoSpaceDE/>
        <w:autoSpaceDN/>
        <w:bidi w:val="0"/>
        <w:spacing w:line="560" w:lineRule="exact"/>
        <w:ind w:firstLine="640" w:firstLineChars="200"/>
        <w:textAlignment w:val="auto"/>
        <w:rPr>
          <w:rFonts w:ascii="仿宋_GB2312" w:eastAsia="仿宋_GB2312"/>
          <w:b w:val="0"/>
          <w:bCs w:val="0"/>
        </w:rPr>
      </w:pPr>
      <w:bookmarkStart w:id="19" w:name="_Toc68703843"/>
      <w:r>
        <w:rPr>
          <w:rFonts w:hint="eastAsia" w:ascii="仿宋_GB2312" w:eastAsia="仿宋_GB2312"/>
          <w:b w:val="0"/>
          <w:bCs w:val="0"/>
        </w:rPr>
        <w:t>（一）主要经验及做法</w:t>
      </w:r>
      <w:bookmarkEnd w:id="19"/>
    </w:p>
    <w:p>
      <w:pPr>
        <w:pageBreakBefore w:val="0"/>
        <w:widowControl w:val="0"/>
        <w:kinsoku/>
        <w:wordWrap/>
        <w:overflowPunct/>
        <w:topLinePunct w:val="0"/>
        <w:autoSpaceDE/>
        <w:autoSpaceDN/>
        <w:bidi w:val="0"/>
        <w:adjustRightInd w:val="0"/>
        <w:snapToGrid/>
        <w:spacing w:line="560" w:lineRule="exact"/>
        <w:ind w:firstLine="640" w:firstLineChars="200"/>
        <w:textAlignment w:val="auto"/>
        <w:outlineLvl w:val="9"/>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pPr>
      <w:bookmarkStart w:id="20" w:name="_Toc68703844"/>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1、项目实施过程中，及时按年初预算进度支付经费，为项目实施做好资金保障。项目执行科室提出项目资金的使用计划，较为规范地组织实施，有条不紊开展相关工作，并做好资料收集整理工作。</w:t>
      </w:r>
    </w:p>
    <w:p>
      <w:pPr>
        <w:pageBreakBefore w:val="0"/>
        <w:widowControl w:val="0"/>
        <w:kinsoku/>
        <w:wordWrap/>
        <w:overflowPunct/>
        <w:topLinePunct w:val="0"/>
        <w:autoSpaceDE/>
        <w:autoSpaceDN/>
        <w:bidi w:val="0"/>
        <w:adjustRightInd w:val="0"/>
        <w:snapToGrid/>
        <w:spacing w:line="560" w:lineRule="exact"/>
        <w:ind w:firstLine="640" w:firstLineChars="200"/>
        <w:jc w:val="both"/>
        <w:textAlignment w:val="auto"/>
        <w:outlineLvl w:val="9"/>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2、项目实施过程中，按照年度计划规范地组织实施，有条不紊开展相关工作，并做好资料收集整理工作。</w:t>
      </w:r>
    </w:p>
    <w:p>
      <w:pPr>
        <w:pStyle w:val="22"/>
        <w:pageBreakBefore w:val="0"/>
        <w:widowControl w:val="0"/>
        <w:kinsoku/>
        <w:wordWrap/>
        <w:overflowPunct/>
        <w:topLinePunct w:val="0"/>
        <w:autoSpaceDE/>
        <w:autoSpaceDN/>
        <w:bidi w:val="0"/>
        <w:adjustRightInd w:val="0"/>
        <w:snapToGrid/>
        <w:spacing w:line="560" w:lineRule="exact"/>
        <w:ind w:firstLine="640" w:firstLineChars="200"/>
        <w:jc w:val="both"/>
        <w:textAlignment w:val="auto"/>
        <w:outlineLvl w:val="9"/>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3、合理安排项目资金，确保项目及时必要。</w:t>
      </w:r>
    </w:p>
    <w:p>
      <w:pPr>
        <w:pStyle w:val="4"/>
        <w:pageBreakBefore w:val="0"/>
        <w:kinsoku/>
        <w:wordWrap/>
        <w:overflowPunct/>
        <w:topLinePunct w:val="0"/>
        <w:autoSpaceDE/>
        <w:autoSpaceDN/>
        <w:bidi w:val="0"/>
        <w:spacing w:line="560" w:lineRule="exact"/>
        <w:ind w:firstLine="320" w:firstLineChars="1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20"/>
    </w:p>
    <w:p>
      <w:pPr>
        <w:pageBreakBefore w:val="0"/>
        <w:widowControl w:val="0"/>
        <w:kinsoku/>
        <w:wordWrap/>
        <w:overflowPunct/>
        <w:topLinePunct w:val="0"/>
        <w:autoSpaceDE/>
        <w:autoSpaceDN/>
        <w:bidi w:val="0"/>
        <w:adjustRightInd w:val="0"/>
        <w:snapToGrid/>
        <w:spacing w:line="560" w:lineRule="exact"/>
        <w:ind w:firstLine="640" w:firstLineChars="200"/>
        <w:jc w:val="both"/>
        <w:textAlignment w:val="auto"/>
        <w:outlineLvl w:val="9"/>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存在问题：绩效管理水平有待提高。</w:t>
      </w:r>
    </w:p>
    <w:p>
      <w:pPr>
        <w:pageBreakBefore w:val="0"/>
        <w:widowControl w:val="0"/>
        <w:kinsoku/>
        <w:wordWrap/>
        <w:overflowPunct/>
        <w:topLinePunct w:val="0"/>
        <w:autoSpaceDE/>
        <w:autoSpaceDN/>
        <w:bidi w:val="0"/>
        <w:adjustRightInd w:val="0"/>
        <w:snapToGrid/>
        <w:spacing w:line="560" w:lineRule="exact"/>
        <w:ind w:firstLine="640" w:firstLineChars="200"/>
        <w:jc w:val="both"/>
        <w:textAlignment w:val="auto"/>
        <w:outlineLvl w:val="9"/>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pP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原因分析：预算绩效管理</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、绩效理念尚未真正贯穿于实践工作，</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相关工作人员经验不足，绩效管理意识不高，</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绩效管理缺乏约束和制度保障。</w:t>
      </w:r>
    </w:p>
    <w:p>
      <w:pPr>
        <w:pStyle w:val="3"/>
        <w:pageBreakBefore w:val="0"/>
        <w:numPr>
          <w:numId w:val="0"/>
        </w:numPr>
        <w:kinsoku/>
        <w:wordWrap/>
        <w:overflowPunct/>
        <w:topLinePunct w:val="0"/>
        <w:autoSpaceDE/>
        <w:autoSpaceDN/>
        <w:bidi w:val="0"/>
        <w:spacing w:line="560" w:lineRule="exact"/>
        <w:textAlignment w:val="auto"/>
        <w:rPr>
          <w:rFonts w:hint="eastAsia" w:ascii="宋体" w:hAnsi="宋体" w:eastAsia="宋体"/>
          <w:sz w:val="32"/>
          <w:szCs w:val="32"/>
        </w:rPr>
      </w:pPr>
      <w:bookmarkStart w:id="21" w:name="_Toc68703845"/>
      <w:r>
        <w:rPr>
          <w:rFonts w:hint="eastAsia" w:ascii="宋体" w:hAnsi="宋体" w:eastAsia="宋体"/>
          <w:sz w:val="32"/>
          <w:szCs w:val="32"/>
          <w:lang w:val="en-US" w:eastAsia="zh-CN"/>
        </w:rPr>
        <w:t xml:space="preserve">    六、</w:t>
      </w:r>
      <w:r>
        <w:rPr>
          <w:rFonts w:hint="eastAsia" w:ascii="宋体" w:hAnsi="宋体" w:eastAsia="宋体"/>
          <w:sz w:val="32"/>
          <w:szCs w:val="32"/>
        </w:rPr>
        <w:t>有关建议</w:t>
      </w:r>
      <w:bookmarkEnd w:id="21"/>
    </w:p>
    <w:p>
      <w:pPr>
        <w:pageBreakBefore w:val="0"/>
        <w:widowControl w:val="0"/>
        <w:kinsoku/>
        <w:wordWrap/>
        <w:overflowPunct/>
        <w:topLinePunct w:val="0"/>
        <w:autoSpaceDE/>
        <w:autoSpaceDN/>
        <w:bidi w:val="0"/>
        <w:adjustRightInd w:val="0"/>
        <w:snapToGrid/>
        <w:spacing w:line="560" w:lineRule="exact"/>
        <w:ind w:firstLine="640" w:firstLineChars="200"/>
        <w:jc w:val="both"/>
        <w:textAlignment w:val="auto"/>
        <w:outlineLvl w:val="9"/>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pPr>
      <w:bookmarkStart w:id="22" w:name="_Toc68703846"/>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1、规范绩效评价管理资料的收集整理，确保相关信息完整、可靠，客观公正地反映项目资金实际使用和产生的绩效状况，为今后该项目实施方向及管理方式的改进提供指导。</w:t>
      </w:r>
    </w:p>
    <w:p>
      <w:pPr>
        <w:pageBreakBefore w:val="0"/>
        <w:widowControl w:val="0"/>
        <w:kinsoku/>
        <w:wordWrap/>
        <w:overflowPunct/>
        <w:topLinePunct w:val="0"/>
        <w:autoSpaceDE/>
        <w:autoSpaceDN/>
        <w:bidi w:val="0"/>
        <w:adjustRightInd w:val="0"/>
        <w:snapToGrid/>
        <w:spacing w:line="560" w:lineRule="exact"/>
        <w:ind w:firstLine="640" w:firstLineChars="200"/>
        <w:jc w:val="both"/>
        <w:textAlignment w:val="auto"/>
        <w:outlineLvl w:val="9"/>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2、加强单位资金管理。一是加强培训和学习，努力提高绩效评价工作水平和质量。二是加强项目管理和绩效管理相结合，以预算绩效管理为抓手，对专项资金实施全过程预算绩效管理，建立健全预算编制、执行和监督的绩效管理体系。三是加强预算执行情况分析，及时掌握项目绩效目标的实现情况、项目实施进程和资金支出进度，从而对出现的情况和问题及时采取措施予以纠正。</w:t>
      </w:r>
    </w:p>
    <w:p>
      <w:pPr>
        <w:pStyle w:val="3"/>
        <w:pageBreakBefore w:val="0"/>
        <w:widowControl w:val="0"/>
        <w:kinsoku/>
        <w:wordWrap/>
        <w:overflowPunct/>
        <w:topLinePunct w:val="0"/>
        <w:autoSpaceDE/>
        <w:autoSpaceDN/>
        <w:bidi w:val="0"/>
        <w:adjustRightInd/>
        <w:snapToGrid/>
        <w:spacing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七、其他需要说明的问题</w:t>
      </w:r>
      <w:bookmarkEnd w:id="22"/>
    </w:p>
    <w:p>
      <w:pPr>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 w:eastAsia="仿宋_GB2312" w:cs="宋体"/>
          <w:color w:val="333333"/>
          <w:sz w:val="32"/>
          <w:szCs w:val="32"/>
        </w:rPr>
      </w:pPr>
      <w:bookmarkStart w:id="23" w:name="_GoBack"/>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bookmarkEnd w:id="23"/>
    </w:p>
    <w:p>
      <w:pPr>
        <w:pageBreakBefore w:val="0"/>
        <w:widowControl w:val="0"/>
        <w:kinsoku/>
        <w:wordWrap/>
        <w:overflowPunct/>
        <w:topLinePunct w:val="0"/>
        <w:autoSpaceDE/>
        <w:autoSpaceDN/>
        <w:bidi w:val="0"/>
        <w:adjustRightInd/>
        <w:snapToGrid/>
        <w:spacing w:line="560" w:lineRule="exact"/>
        <w:textAlignment w:val="auto"/>
      </w:pPr>
    </w:p>
    <w:p>
      <w:pPr>
        <w:pageBreakBefore w:val="0"/>
        <w:widowControl w:val="0"/>
        <w:kinsoku/>
        <w:wordWrap/>
        <w:overflowPunct/>
        <w:topLinePunct w:val="0"/>
        <w:autoSpaceDE/>
        <w:autoSpaceDN/>
        <w:bidi w:val="0"/>
        <w:adjustRightInd/>
        <w:snapToGrid/>
        <w:spacing w:line="560" w:lineRule="exact"/>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0" w:usb1="00000000" w:usb2="00000000" w:usb3="00000000" w:csb0="0000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10672D"/>
    <w:multiLevelType w:val="singleLevel"/>
    <w:tmpl w:val="3C10672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hZjQ2MWMwOWIzN2U3MGUzOGZjMjk3Mjk0ZGZlMDE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1105063"/>
    <w:rsid w:val="01B078B4"/>
    <w:rsid w:val="120E2C52"/>
    <w:rsid w:val="149513E2"/>
    <w:rsid w:val="15DA37C6"/>
    <w:rsid w:val="1CAA2304"/>
    <w:rsid w:val="1EF93668"/>
    <w:rsid w:val="22F54CCE"/>
    <w:rsid w:val="26003D88"/>
    <w:rsid w:val="2732278A"/>
    <w:rsid w:val="28CA1B43"/>
    <w:rsid w:val="2A0F2C6C"/>
    <w:rsid w:val="2AC65AB6"/>
    <w:rsid w:val="38CA6B74"/>
    <w:rsid w:val="3C610768"/>
    <w:rsid w:val="3F3020FF"/>
    <w:rsid w:val="41790A2F"/>
    <w:rsid w:val="4F092709"/>
    <w:rsid w:val="509463E9"/>
    <w:rsid w:val="51720215"/>
    <w:rsid w:val="551B10AB"/>
    <w:rsid w:val="577C43F6"/>
    <w:rsid w:val="594A5C54"/>
    <w:rsid w:val="622575EA"/>
    <w:rsid w:val="6A875612"/>
    <w:rsid w:val="71FF0EFC"/>
    <w:rsid w:val="76820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unhideWhenUsed/>
    <w:qFormat/>
    <w:uiPriority w:val="99"/>
    <w:pPr>
      <w:keepNext/>
      <w:keepLines/>
      <w:spacing w:before="260" w:after="260" w:line="416" w:lineRule="auto"/>
      <w:outlineLvl w:val="2"/>
    </w:pPr>
    <w:rPr>
      <w:rFonts w:ascii="Calibri" w:hAnsi="Calibri" w:eastAsia="宋体" w:cs="Times New Roman"/>
      <w:b/>
      <w:bCs/>
      <w:kern w:val="0"/>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Body Text Indent"/>
    <w:basedOn w:val="1"/>
    <w:qFormat/>
    <w:uiPriority w:val="0"/>
    <w:pPr>
      <w:spacing w:before="453" w:line="2290" w:lineRule="atLeast"/>
      <w:ind w:firstLine="640"/>
      <w:jc w:val="left"/>
      <w:textAlignment w:val="baseline"/>
    </w:pPr>
    <w:rPr>
      <w:rFonts w:ascii="Times New Roman" w:eastAsia="宋体"/>
      <w:color w:val="000000"/>
      <w:sz w:val="31"/>
      <w:u w:val="none" w:color="000000"/>
      <w:vertAlign w:val="baseline"/>
      <w:lang w:val="en-US" w:eastAsia="zh-CN"/>
    </w:r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footnote text"/>
    <w:basedOn w:val="1"/>
    <w:qFormat/>
    <w:uiPriority w:val="0"/>
    <w:pPr>
      <w:snapToGrid w:val="0"/>
      <w:jc w:val="left"/>
    </w:pPr>
    <w:rPr>
      <w:sz w:val="18"/>
      <w:szCs w:val="18"/>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Body Text First Indent 2"/>
    <w:basedOn w:val="6"/>
    <w:qFormat/>
    <w:uiPriority w:val="0"/>
    <w:pPr>
      <w:spacing w:after="120"/>
      <w:ind w:left="420" w:leftChars="200" w:firstLine="420"/>
    </w:pPr>
    <w:rPr>
      <w:szCs w:val="30"/>
    </w:rPr>
  </w:style>
  <w:style w:type="character" w:styleId="15">
    <w:name w:val="Strong"/>
    <w:basedOn w:val="14"/>
    <w:qFormat/>
    <w:uiPriority w:val="0"/>
    <w:rPr>
      <w:b/>
      <w:bCs/>
    </w:rPr>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customStyle="1" w:styleId="17">
    <w:name w:val="标题 1 字符"/>
    <w:basedOn w:val="14"/>
    <w:link w:val="3"/>
    <w:qFormat/>
    <w:uiPriority w:val="9"/>
    <w:rPr>
      <w:rFonts w:ascii="Times New Roman" w:hAnsi="Times New Roman" w:eastAsia="仿宋_GB2312" w:cs="Times New Roman"/>
      <w:b/>
      <w:bCs/>
      <w:kern w:val="44"/>
      <w:sz w:val="44"/>
      <w:szCs w:val="44"/>
    </w:rPr>
  </w:style>
  <w:style w:type="character" w:customStyle="1" w:styleId="18">
    <w:name w:val="标题 2 字符"/>
    <w:basedOn w:val="14"/>
    <w:link w:val="4"/>
    <w:qFormat/>
    <w:uiPriority w:val="9"/>
    <w:rPr>
      <w:rFonts w:asciiTheme="majorHAnsi" w:hAnsiTheme="majorHAnsi" w:eastAsiaTheme="majorEastAsia" w:cstheme="majorBidi"/>
      <w:b/>
      <w:bCs/>
      <w:sz w:val="32"/>
      <w:szCs w:val="32"/>
    </w:rPr>
  </w:style>
  <w:style w:type="paragraph" w:customStyle="1" w:styleId="19">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0">
    <w:name w:val="页眉 字符"/>
    <w:basedOn w:val="14"/>
    <w:link w:val="8"/>
    <w:qFormat/>
    <w:uiPriority w:val="99"/>
    <w:rPr>
      <w:rFonts w:ascii="Times New Roman" w:hAnsi="Times New Roman" w:eastAsia="仿宋_GB2312" w:cs="Times New Roman"/>
      <w:sz w:val="18"/>
      <w:szCs w:val="18"/>
    </w:rPr>
  </w:style>
  <w:style w:type="character" w:customStyle="1" w:styleId="21">
    <w:name w:val="页脚 字符"/>
    <w:basedOn w:val="14"/>
    <w:link w:val="7"/>
    <w:qFormat/>
    <w:uiPriority w:val="99"/>
    <w:rPr>
      <w:rFonts w:ascii="Times New Roman" w:hAnsi="Times New Roman" w:eastAsia="仿宋_GB2312" w:cs="Times New Roman"/>
      <w:sz w:val="18"/>
      <w:szCs w:val="18"/>
    </w:rPr>
  </w:style>
  <w:style w:type="paragraph" w:customStyle="1" w:styleId="22">
    <w:name w:val="闻政-正文段落文字"/>
    <w:basedOn w:val="1"/>
    <w:qFormat/>
    <w:uiPriority w:val="99"/>
    <w:pPr>
      <w:spacing w:line="500" w:lineRule="exact"/>
      <w:ind w:firstLine="200" w:firstLineChars="200"/>
    </w:pPr>
    <w:rPr>
      <w:rFonts w:ascii="Calibri" w:hAnsi="Calibri"/>
      <w:kern w:val="0"/>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31</TotalTime>
  <ScaleCrop>false</ScaleCrop>
  <LinksUpToDate>false</LinksUpToDate>
  <CharactersWithSpaces>7342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HP</cp:lastModifiedBy>
  <dcterms:modified xsi:type="dcterms:W3CDTF">2024-05-14T08:39:43Z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C10A60A6D9144BF185A63F71A217C929_12</vt:lpwstr>
  </property>
</Properties>
</file>