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项目名称：焉耆镇2023年事业岗基本工资及社保</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焉耆镇人民政府</w:t>
      </w:r>
      <w:r>
        <w:rPr>
          <w:rFonts w:ascii="宋体" w:hAnsi="宋体" w:eastAsia="宋体" w:cs="宋体"/>
          <w:kern w:val="0"/>
          <w:sz w:val="32"/>
          <w:szCs w:val="32"/>
        </w:rPr>
        <w:t xml:space="preserve"> </w:t>
      </w:r>
    </w:p>
    <w:p>
      <w:pPr>
        <w:spacing w:line="560" w:lineRule="exact"/>
        <w:ind w:firstLine="321" w:firstLineChars="100"/>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宋体"/>
          <w:kern w:val="0"/>
          <w:sz w:val="32"/>
          <w:szCs w:val="32"/>
          <w:lang w:val="en-US" w:eastAsia="zh-CN"/>
        </w:rPr>
        <w:t>焉耆县人民政府</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val="en-US" w:eastAsia="zh-CN"/>
        </w:rPr>
        <w:t>魏振刚</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6"/>
            <w:jc w:val="center"/>
            <w:rPr>
              <w:rFonts w:ascii="宋体" w:hAnsi="宋体" w:eastAsia="宋体"/>
              <w:b/>
              <w:bCs/>
              <w:color w:val="auto"/>
              <w:lang w:val="zh-CN"/>
            </w:rPr>
          </w:pPr>
          <w:r>
            <w:rPr>
              <w:rFonts w:ascii="宋体" w:hAnsi="宋体" w:eastAsia="宋体"/>
              <w:b/>
              <w:bCs/>
              <w:color w:val="auto"/>
              <w:lang w:val="zh-CN"/>
            </w:rPr>
            <w:t>目录</w:t>
          </w:r>
        </w:p>
        <w:p>
          <w:pPr>
            <w:pStyle w:val="8"/>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color w:val="FF0000"/>
        </w:rPr>
      </w:pPr>
      <w:bookmarkStart w:id="1" w:name="_Toc68703828"/>
      <w:r>
        <w:rPr>
          <w:rFonts w:hint="eastAsia" w:ascii="仿宋_GB2312" w:eastAsia="仿宋_GB2312"/>
          <w:b w:val="0"/>
          <w:bCs w:val="0"/>
        </w:rPr>
        <w:t>（一）项目概况。</w:t>
      </w:r>
      <w:bookmarkEnd w:id="1"/>
    </w:p>
    <w:p>
      <w:pPr>
        <w:numPr>
          <w:ilvl w:val="0"/>
          <w:numId w:val="2"/>
        </w:numPr>
        <w:spacing w:line="360" w:lineRule="auto"/>
        <w:ind w:firstLine="600" w:firstLineChars="200"/>
        <w:rPr>
          <w:rFonts w:hint="eastAsia" w:ascii="仿宋_GB2312"/>
        </w:rPr>
      </w:pPr>
      <w:r>
        <w:rPr>
          <w:rFonts w:hint="eastAsia" w:ascii="仿宋_GB2312"/>
        </w:rPr>
        <w:t>项目背景</w:t>
      </w:r>
    </w:p>
    <w:p>
      <w:pPr>
        <w:numPr>
          <w:ilvl w:val="0"/>
          <w:numId w:val="0"/>
        </w:numPr>
        <w:spacing w:line="360" w:lineRule="auto"/>
        <w:ind w:firstLine="640" w:firstLineChars="200"/>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highlight w:val="none"/>
          <w:shd w:val="clear" w:fill="FFFFFF"/>
          <w:lang w:val="en-US" w:eastAsia="zh-CN"/>
        </w:rPr>
        <w:t>按照焉党组字[2023]2号文件，《关于加强城乡社区工作者职业体系建设实施方案（试行）》规定，</w:t>
      </w:r>
      <w:r>
        <w:rPr>
          <w:rFonts w:hint="eastAsia" w:ascii="仿宋" w:hAnsi="仿宋" w:eastAsia="仿宋" w:cs="仿宋"/>
          <w:i w:val="0"/>
          <w:iCs w:val="0"/>
          <w:caps w:val="0"/>
          <w:color w:val="auto"/>
          <w:spacing w:val="0"/>
          <w:sz w:val="32"/>
          <w:szCs w:val="32"/>
          <w:shd w:val="clear" w:fill="FFFFFF"/>
        </w:rPr>
        <w:t>妥</w:t>
      </w:r>
      <w:bookmarkStart w:id="24" w:name="_GoBack"/>
      <w:bookmarkEnd w:id="24"/>
      <w:r>
        <w:rPr>
          <w:rFonts w:hint="eastAsia" w:ascii="仿宋" w:hAnsi="仿宋" w:eastAsia="仿宋" w:cs="仿宋"/>
          <w:i w:val="0"/>
          <w:iCs w:val="0"/>
          <w:caps w:val="0"/>
          <w:color w:val="auto"/>
          <w:spacing w:val="0"/>
          <w:sz w:val="32"/>
          <w:szCs w:val="32"/>
          <w:shd w:val="clear" w:fill="FFFFFF"/>
        </w:rPr>
        <w:t>善解决好</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基层</w:t>
      </w:r>
      <w:r>
        <w:rPr>
          <w:rFonts w:hint="eastAsia" w:ascii="仿宋" w:hAnsi="仿宋" w:eastAsia="仿宋" w:cs="仿宋"/>
          <w:i w:val="0"/>
          <w:iCs w:val="0"/>
          <w:caps w:val="0"/>
          <w:color w:val="auto"/>
          <w:spacing w:val="0"/>
          <w:sz w:val="32"/>
          <w:szCs w:val="32"/>
          <w:shd w:val="clear" w:fill="FFFFFF"/>
          <w:lang w:val="en-US" w:eastAsia="zh-CN"/>
        </w:rPr>
        <w:t>事业岗</w:t>
      </w:r>
      <w:r>
        <w:rPr>
          <w:rFonts w:hint="eastAsia" w:ascii="仿宋" w:hAnsi="仿宋" w:eastAsia="仿宋" w:cs="仿宋"/>
          <w:i w:val="0"/>
          <w:iCs w:val="0"/>
          <w:caps w:val="0"/>
          <w:color w:val="auto"/>
          <w:spacing w:val="0"/>
          <w:sz w:val="32"/>
          <w:szCs w:val="32"/>
          <w:shd w:val="clear" w:fill="FFFFFF"/>
        </w:rPr>
        <w:t>干部的工资待遇</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维护</w:t>
      </w:r>
      <w:r>
        <w:rPr>
          <w:rFonts w:hint="eastAsia" w:ascii="仿宋" w:hAnsi="仿宋" w:eastAsia="仿宋" w:cs="仿宋"/>
          <w:i w:val="0"/>
          <w:iCs w:val="0"/>
          <w:caps w:val="0"/>
          <w:color w:val="auto"/>
          <w:spacing w:val="0"/>
          <w:sz w:val="32"/>
          <w:szCs w:val="32"/>
          <w:shd w:val="clear" w:fill="FFFFFF"/>
          <w:lang w:val="en-US" w:eastAsia="zh-CN"/>
        </w:rPr>
        <w:t>社区干部的合法权益</w:t>
      </w:r>
      <w:r>
        <w:rPr>
          <w:rFonts w:hint="eastAsia" w:ascii="仿宋" w:hAnsi="仿宋" w:eastAsia="仿宋" w:cs="仿宋"/>
          <w:i w:val="0"/>
          <w:iCs w:val="0"/>
          <w:caps w:val="0"/>
          <w:color w:val="auto"/>
          <w:spacing w:val="0"/>
          <w:sz w:val="32"/>
          <w:szCs w:val="32"/>
          <w:shd w:val="clear" w:fill="FFFFFF"/>
        </w:rPr>
        <w:t>，增强</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的管理和发展，充分调动广大基层</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干部工作的积极性，发挥</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干部在社会主义新农村建设中的引领作用</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lang w:val="en-US" w:eastAsia="zh-CN"/>
        </w:rPr>
        <w:t>根据焉耆镇2023年全年工作目标任务，为有效保障社区服务质量，焉耆镇事业岗人员工资及社保公积金项目，完成本单位事业岗人员工资</w:t>
      </w:r>
      <w:r>
        <w:rPr>
          <w:rFonts w:hint="eastAsia" w:ascii="仿宋_GB2312" w:hAnsiTheme="majorHAnsi" w:cstheme="majorBidi"/>
          <w:b w:val="0"/>
          <w:bCs w:val="0"/>
          <w:kern w:val="2"/>
          <w:sz w:val="32"/>
          <w:szCs w:val="32"/>
          <w:highlight w:val="none"/>
          <w:lang w:val="en-US" w:eastAsia="zh-CN" w:bidi="ar-SA"/>
        </w:rPr>
        <w:t>按月足额发放，</w:t>
      </w:r>
      <w:r>
        <w:rPr>
          <w:rFonts w:hint="eastAsia" w:ascii="仿宋_GB2312" w:eastAsia="仿宋_GB2312" w:hAnsiTheme="majorHAnsi" w:cstheme="majorBidi"/>
          <w:b w:val="0"/>
          <w:bCs w:val="0"/>
          <w:kern w:val="2"/>
          <w:sz w:val="32"/>
          <w:szCs w:val="32"/>
          <w:highlight w:val="none"/>
          <w:lang w:val="en-US" w:eastAsia="zh-CN" w:bidi="ar-SA"/>
        </w:rPr>
        <w:t>社保公积</w:t>
      </w:r>
      <w:r>
        <w:rPr>
          <w:rFonts w:hint="eastAsia" w:ascii="仿宋_GB2312" w:hAnsiTheme="majorHAnsi" w:cstheme="majorBidi"/>
          <w:b w:val="0"/>
          <w:bCs w:val="0"/>
          <w:kern w:val="2"/>
          <w:sz w:val="32"/>
          <w:szCs w:val="32"/>
          <w:highlight w:val="none"/>
          <w:lang w:val="en-US" w:eastAsia="zh-CN" w:bidi="ar-SA"/>
        </w:rPr>
        <w:t>金按月足额缴纳</w:t>
      </w:r>
      <w:r>
        <w:rPr>
          <w:rFonts w:hint="eastAsia" w:ascii="仿宋" w:hAnsi="仿宋" w:eastAsia="仿宋" w:cs="仿宋"/>
          <w:i w:val="0"/>
          <w:iCs w:val="0"/>
          <w:caps w:val="0"/>
          <w:color w:val="auto"/>
          <w:spacing w:val="0"/>
          <w:sz w:val="32"/>
          <w:szCs w:val="32"/>
          <w:highlight w:val="none"/>
          <w:shd w:val="clear" w:fill="FFFFFF"/>
          <w:lang w:val="en-US" w:eastAsia="zh-CN"/>
        </w:rPr>
        <w:t>。</w:t>
      </w:r>
      <w:r>
        <w:rPr>
          <w:rFonts w:hint="eastAsia" w:ascii="仿宋" w:hAnsi="仿宋" w:eastAsia="仿宋" w:cs="仿宋"/>
          <w:i w:val="0"/>
          <w:iCs w:val="0"/>
          <w:caps w:val="0"/>
          <w:color w:val="auto"/>
          <w:spacing w:val="0"/>
          <w:sz w:val="32"/>
          <w:szCs w:val="32"/>
          <w:shd w:val="clear" w:fill="FFFFFF"/>
        </w:rPr>
        <w:t> </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hint="eastAsia" w:ascii="仿宋_GB2312" w:eastAsia="仿宋_GB2312" w:hAnsiTheme="majorHAnsi" w:cstheme="majorBidi"/>
          <w:b w:val="0"/>
          <w:bCs w:val="0"/>
          <w:kern w:val="2"/>
          <w:sz w:val="32"/>
          <w:szCs w:val="32"/>
          <w:highlight w:val="none"/>
          <w:lang w:val="en-US" w:eastAsia="zh-CN" w:bidi="ar-SA"/>
        </w:rPr>
      </w:pPr>
      <w:r>
        <w:rPr>
          <w:rFonts w:hint="eastAsia" w:ascii="仿宋_GB2312"/>
        </w:rPr>
        <w:t>主要内容：</w:t>
      </w:r>
      <w:r>
        <w:rPr>
          <w:rFonts w:hint="eastAsia" w:ascii="仿宋_GB2312"/>
          <w:highlight w:val="none"/>
          <w:lang w:val="en-US" w:eastAsia="zh-CN"/>
        </w:rPr>
        <w:t>计划对社区</w:t>
      </w:r>
      <w:r>
        <w:rPr>
          <w:rFonts w:hint="eastAsia" w:ascii="仿宋_GB2312" w:eastAsia="仿宋_GB2312" w:hAnsiTheme="majorHAnsi" w:cstheme="majorBidi"/>
          <w:b w:val="0"/>
          <w:bCs w:val="0"/>
          <w:kern w:val="2"/>
          <w:sz w:val="32"/>
          <w:szCs w:val="32"/>
          <w:highlight w:val="none"/>
          <w:lang w:val="en-US" w:eastAsia="zh-CN" w:bidi="ar-SA"/>
        </w:rPr>
        <w:t>事业岗人员工资</w:t>
      </w:r>
      <w:r>
        <w:rPr>
          <w:rFonts w:hint="eastAsia" w:ascii="仿宋_GB2312" w:hAnsiTheme="majorHAnsi" w:cstheme="majorBidi"/>
          <w:b w:val="0"/>
          <w:bCs w:val="0"/>
          <w:kern w:val="2"/>
          <w:sz w:val="32"/>
          <w:szCs w:val="32"/>
          <w:highlight w:val="none"/>
          <w:lang w:val="en-US" w:eastAsia="zh-CN" w:bidi="ar-SA"/>
        </w:rPr>
        <w:t>按月足额发放，</w:t>
      </w:r>
      <w:r>
        <w:rPr>
          <w:rFonts w:hint="eastAsia" w:ascii="仿宋_GB2312" w:eastAsia="仿宋_GB2312" w:hAnsiTheme="majorHAnsi" w:cstheme="majorBidi"/>
          <w:b w:val="0"/>
          <w:bCs w:val="0"/>
          <w:kern w:val="2"/>
          <w:sz w:val="32"/>
          <w:szCs w:val="32"/>
          <w:highlight w:val="none"/>
          <w:lang w:val="en-US" w:eastAsia="zh-CN" w:bidi="ar-SA"/>
        </w:rPr>
        <w:t>社保公积</w:t>
      </w:r>
      <w:r>
        <w:rPr>
          <w:rFonts w:hint="eastAsia" w:ascii="仿宋_GB2312" w:hAnsiTheme="majorHAnsi" w:cstheme="majorBidi"/>
          <w:b w:val="0"/>
          <w:bCs w:val="0"/>
          <w:kern w:val="2"/>
          <w:sz w:val="32"/>
          <w:szCs w:val="32"/>
          <w:highlight w:val="none"/>
          <w:lang w:val="en-US" w:eastAsia="zh-CN" w:bidi="ar-SA"/>
        </w:rPr>
        <w:t>金按月足额缴纳。</w:t>
      </w:r>
    </w:p>
    <w:p>
      <w:pPr>
        <w:spacing w:line="360" w:lineRule="auto"/>
        <w:ind w:firstLine="600" w:firstLineChars="200"/>
        <w:rPr>
          <w:rFonts w:hint="eastAsia" w:ascii="仿宋_GB2312" w:hAnsiTheme="majorHAnsi" w:cstheme="majorBidi"/>
          <w:b w:val="0"/>
          <w:bCs w:val="0"/>
          <w:kern w:val="2"/>
          <w:sz w:val="32"/>
          <w:szCs w:val="32"/>
          <w:lang w:val="en-US" w:eastAsia="zh-CN" w:bidi="ar-SA"/>
        </w:rPr>
      </w:pPr>
      <w:r>
        <w:rPr>
          <w:rFonts w:hint="eastAsia" w:ascii="仿宋_GB2312"/>
        </w:rPr>
        <w:t>实施情况：</w:t>
      </w:r>
      <w:r>
        <w:rPr>
          <w:rFonts w:hint="eastAsia" w:ascii="仿宋_GB2312"/>
          <w:lang w:val="en-US" w:eastAsia="zh-CN"/>
        </w:rPr>
        <w:t>完成焉耆镇2023年</w:t>
      </w:r>
      <w:r>
        <w:rPr>
          <w:rFonts w:hint="eastAsia" w:ascii="仿宋_GB2312" w:eastAsia="仿宋_GB2312" w:hAnsiTheme="majorHAnsi" w:cstheme="majorBidi"/>
          <w:b w:val="0"/>
          <w:bCs w:val="0"/>
          <w:kern w:val="2"/>
          <w:sz w:val="32"/>
          <w:szCs w:val="32"/>
          <w:lang w:val="en-US" w:eastAsia="zh-CN" w:bidi="ar-SA"/>
        </w:rPr>
        <w:t>事业岗</w:t>
      </w:r>
      <w:r>
        <w:rPr>
          <w:rFonts w:hint="eastAsia" w:ascii="仿宋_GB2312" w:hAnsiTheme="majorHAnsi" w:cstheme="majorBidi"/>
          <w:b w:val="0"/>
          <w:bCs w:val="0"/>
          <w:kern w:val="2"/>
          <w:sz w:val="32"/>
          <w:szCs w:val="32"/>
          <w:lang w:val="en-US" w:eastAsia="zh-CN" w:bidi="ar-SA"/>
        </w:rPr>
        <w:t>基本工资事业岗</w:t>
      </w:r>
      <w:r>
        <w:rPr>
          <w:rFonts w:hint="eastAsia" w:ascii="仿宋_GB2312" w:eastAsia="仿宋_GB2312" w:hAnsiTheme="majorHAnsi" w:cstheme="majorBidi"/>
          <w:b w:val="0"/>
          <w:bCs w:val="0"/>
          <w:kern w:val="2"/>
          <w:sz w:val="32"/>
          <w:szCs w:val="32"/>
          <w:lang w:val="en-US" w:eastAsia="zh-CN" w:bidi="ar-SA"/>
        </w:rPr>
        <w:t>人员135人发放次数12次</w:t>
      </w:r>
      <w:r>
        <w:rPr>
          <w:rFonts w:hint="eastAsia" w:ascii="仿宋_GB2312" w:hAnsiTheme="majorHAnsi" w:cstheme="majorBidi"/>
          <w:b w:val="0"/>
          <w:bCs w:val="0"/>
          <w:kern w:val="2"/>
          <w:sz w:val="32"/>
          <w:szCs w:val="32"/>
          <w:lang w:val="en-US" w:eastAsia="zh-CN" w:bidi="ar-SA"/>
        </w:rPr>
        <w:t>足额发放，</w:t>
      </w:r>
      <w:r>
        <w:rPr>
          <w:rFonts w:hint="eastAsia" w:ascii="仿宋_GB2312" w:eastAsia="仿宋_GB2312" w:hAnsiTheme="majorHAnsi" w:cstheme="majorBidi"/>
          <w:b w:val="0"/>
          <w:bCs w:val="0"/>
          <w:kern w:val="2"/>
          <w:sz w:val="32"/>
          <w:szCs w:val="32"/>
          <w:highlight w:val="none"/>
          <w:lang w:val="en-US" w:eastAsia="zh-CN" w:bidi="ar-SA"/>
        </w:rPr>
        <w:t>社保公积</w:t>
      </w:r>
      <w:r>
        <w:rPr>
          <w:rFonts w:hint="eastAsia" w:ascii="仿宋_GB2312" w:hAnsiTheme="majorHAnsi" w:cstheme="majorBidi"/>
          <w:b w:val="0"/>
          <w:bCs w:val="0"/>
          <w:kern w:val="2"/>
          <w:sz w:val="32"/>
          <w:szCs w:val="32"/>
          <w:highlight w:val="none"/>
          <w:lang w:val="en-US" w:eastAsia="zh-CN" w:bidi="ar-SA"/>
        </w:rPr>
        <w:t>金按月足额缴纳。</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878.53</w:t>
      </w:r>
      <w:r>
        <w:rPr>
          <w:rFonts w:hint="eastAsia"/>
          <w:color w:val="auto"/>
        </w:rPr>
        <w:t>万元，全年预算数</w:t>
      </w:r>
      <w:r>
        <w:rPr>
          <w:rFonts w:hint="eastAsia"/>
          <w:color w:val="auto"/>
          <w:lang w:val="en-US" w:eastAsia="zh-CN"/>
        </w:rPr>
        <w:t>878.53</w:t>
      </w:r>
      <w:r>
        <w:rPr>
          <w:rFonts w:hint="eastAsia"/>
          <w:color w:val="auto"/>
        </w:rPr>
        <w:t>万元，实际总投入</w:t>
      </w:r>
      <w:r>
        <w:rPr>
          <w:rFonts w:hint="eastAsia"/>
          <w:color w:val="auto"/>
          <w:lang w:val="en-US" w:eastAsia="zh-CN"/>
        </w:rPr>
        <w:t>878.53</w:t>
      </w:r>
      <w:r>
        <w:rPr>
          <w:rFonts w:hint="eastAsia"/>
          <w:color w:val="auto"/>
        </w:rPr>
        <w:t>万元，该项目资金已全部落实到位，资金来源为</w:t>
      </w:r>
      <w:r>
        <w:rPr>
          <w:rFonts w:hint="eastAsia"/>
          <w:color w:val="auto"/>
          <w:lang w:val="en-US" w:eastAsia="zh-CN"/>
        </w:rPr>
        <w:t>财政预算资金</w:t>
      </w:r>
      <w:r>
        <w:rPr>
          <w:color w:val="auto"/>
        </w:rPr>
        <w:t xml:space="preserve"> </w:t>
      </w:r>
      <w:r>
        <w:rPr>
          <w:rFonts w:hint="eastAsia"/>
          <w:color w:val="auto"/>
        </w:rPr>
        <w:t>。</w:t>
      </w:r>
    </w:p>
    <w:p>
      <w:pPr>
        <w:spacing w:line="360" w:lineRule="auto"/>
        <w:ind w:firstLine="600" w:firstLineChars="200"/>
        <w:rPr>
          <w:color w:val="auto"/>
        </w:rPr>
      </w:pPr>
      <w:r>
        <w:rPr>
          <w:rFonts w:hint="eastAsia"/>
          <w:color w:val="auto"/>
        </w:rPr>
        <w:t>资金使用情况：该项目年初预算数</w:t>
      </w:r>
      <w:r>
        <w:rPr>
          <w:rFonts w:hint="eastAsia"/>
          <w:color w:val="auto"/>
          <w:lang w:val="en-US" w:eastAsia="zh-CN"/>
        </w:rPr>
        <w:t>878.53</w:t>
      </w:r>
      <w:r>
        <w:rPr>
          <w:rFonts w:hint="eastAsia"/>
          <w:color w:val="auto"/>
        </w:rPr>
        <w:t xml:space="preserve">万元，全年预算数 </w:t>
      </w:r>
      <w:r>
        <w:rPr>
          <w:color w:val="auto"/>
        </w:rPr>
        <w:t xml:space="preserve">   </w:t>
      </w:r>
      <w:r>
        <w:rPr>
          <w:rFonts w:hint="eastAsia"/>
          <w:color w:val="auto"/>
        </w:rPr>
        <w:t>万元，全年执行数</w:t>
      </w:r>
      <w:r>
        <w:rPr>
          <w:rFonts w:hint="eastAsia"/>
          <w:color w:val="auto"/>
          <w:lang w:val="en-US" w:eastAsia="zh-CN"/>
        </w:rPr>
        <w:t>878.53</w:t>
      </w:r>
      <w:r>
        <w:rPr>
          <w:color w:val="auto"/>
        </w:rPr>
        <w:t xml:space="preserve"> </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highlight w:val="none"/>
          <w:lang w:val="en-US" w:eastAsia="zh-CN"/>
        </w:rPr>
        <w:t>社区</w:t>
      </w:r>
      <w:r>
        <w:rPr>
          <w:rFonts w:hint="eastAsia" w:ascii="仿宋_GB2312" w:eastAsia="仿宋_GB2312" w:hAnsiTheme="majorHAnsi" w:cstheme="majorBidi"/>
          <w:b w:val="0"/>
          <w:bCs w:val="0"/>
          <w:kern w:val="2"/>
          <w:sz w:val="32"/>
          <w:szCs w:val="32"/>
          <w:highlight w:val="none"/>
          <w:lang w:val="en-US" w:eastAsia="zh-CN" w:bidi="ar-SA"/>
        </w:rPr>
        <w:t>事业岗人员工资</w:t>
      </w:r>
      <w:r>
        <w:rPr>
          <w:rFonts w:hint="eastAsia" w:ascii="仿宋_GB2312" w:hAnsiTheme="majorHAnsi" w:cstheme="majorBidi"/>
          <w:b w:val="0"/>
          <w:bCs w:val="0"/>
          <w:kern w:val="2"/>
          <w:sz w:val="32"/>
          <w:szCs w:val="32"/>
          <w:highlight w:val="none"/>
          <w:lang w:val="en-US" w:eastAsia="zh-CN" w:bidi="ar-SA"/>
        </w:rPr>
        <w:t>发放，</w:t>
      </w:r>
      <w:r>
        <w:rPr>
          <w:rFonts w:hint="eastAsia" w:ascii="仿宋_GB2312" w:eastAsia="仿宋_GB2312" w:hAnsiTheme="majorHAnsi" w:cstheme="majorBidi"/>
          <w:b w:val="0"/>
          <w:bCs w:val="0"/>
          <w:kern w:val="2"/>
          <w:sz w:val="32"/>
          <w:szCs w:val="32"/>
          <w:highlight w:val="none"/>
          <w:lang w:val="en-US" w:eastAsia="zh-CN" w:bidi="ar-SA"/>
        </w:rPr>
        <w:t>社保公积</w:t>
      </w:r>
      <w:r>
        <w:rPr>
          <w:rFonts w:hint="eastAsia" w:ascii="仿宋_GB2312" w:hAnsiTheme="majorHAnsi" w:cstheme="majorBidi"/>
          <w:b w:val="0"/>
          <w:bCs w:val="0"/>
          <w:kern w:val="2"/>
          <w:sz w:val="32"/>
          <w:szCs w:val="32"/>
          <w:highlight w:val="none"/>
          <w:lang w:val="en-US" w:eastAsia="zh-CN" w:bidi="ar-SA"/>
        </w:rPr>
        <w:t>金缴纳</w:t>
      </w:r>
      <w:r>
        <w:rPr>
          <w:rFonts w:hint="eastAsia"/>
          <w:color w:val="auto"/>
          <w:lang w:val="en-US" w:eastAsia="zh-CN"/>
        </w:rPr>
        <w:t>878.53</w:t>
      </w:r>
      <w:r>
        <w:rPr>
          <w:rFonts w:hint="eastAsia"/>
          <w:color w:val="auto"/>
        </w:rPr>
        <w:t>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numPr>
          <w:ilvl w:val="0"/>
          <w:numId w:val="3"/>
        </w:numPr>
        <w:spacing w:line="360" w:lineRule="auto"/>
        <w:ind w:left="0" w:leftChars="0" w:firstLine="600" w:firstLineChars="0"/>
        <w:rPr>
          <w:rFonts w:hint="eastAsia"/>
        </w:rPr>
      </w:pPr>
      <w:r>
        <w:rPr>
          <w:rFonts w:hint="eastAsia"/>
        </w:rPr>
        <w:t>总体目标：</w:t>
      </w:r>
      <w:r>
        <w:rPr>
          <w:rFonts w:hint="eastAsia"/>
          <w:lang w:val="en-US" w:eastAsia="zh-CN"/>
        </w:rPr>
        <w:t>通过该项目的实施，</w:t>
      </w:r>
      <w:r>
        <w:rPr>
          <w:rFonts w:hint="eastAsia" w:ascii="仿宋" w:hAnsi="仿宋" w:eastAsia="仿宋" w:cs="仿宋"/>
          <w:i w:val="0"/>
          <w:iCs w:val="0"/>
          <w:caps w:val="0"/>
          <w:color w:val="auto"/>
          <w:spacing w:val="0"/>
          <w:sz w:val="32"/>
          <w:szCs w:val="32"/>
          <w:shd w:val="clear" w:fill="FFFFFF"/>
        </w:rPr>
        <w:t>解决好</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基层</w:t>
      </w:r>
      <w:r>
        <w:rPr>
          <w:rFonts w:hint="eastAsia" w:ascii="仿宋" w:hAnsi="仿宋" w:eastAsia="仿宋" w:cs="仿宋"/>
          <w:i w:val="0"/>
          <w:iCs w:val="0"/>
          <w:caps w:val="0"/>
          <w:color w:val="auto"/>
          <w:spacing w:val="0"/>
          <w:sz w:val="32"/>
          <w:szCs w:val="32"/>
          <w:shd w:val="clear" w:fill="FFFFFF"/>
          <w:lang w:val="en-US" w:eastAsia="zh-CN"/>
        </w:rPr>
        <w:t>事业岗135名</w:t>
      </w:r>
      <w:r>
        <w:rPr>
          <w:rFonts w:hint="eastAsia" w:ascii="仿宋" w:hAnsi="仿宋" w:eastAsia="仿宋" w:cs="仿宋"/>
          <w:i w:val="0"/>
          <w:iCs w:val="0"/>
          <w:caps w:val="0"/>
          <w:color w:val="auto"/>
          <w:spacing w:val="0"/>
          <w:sz w:val="32"/>
          <w:szCs w:val="32"/>
          <w:shd w:val="clear" w:fill="FFFFFF"/>
        </w:rPr>
        <w:t>干部的工资待遇</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维护</w:t>
      </w:r>
      <w:r>
        <w:rPr>
          <w:rFonts w:hint="eastAsia" w:ascii="仿宋" w:hAnsi="仿宋" w:eastAsia="仿宋" w:cs="仿宋"/>
          <w:i w:val="0"/>
          <w:iCs w:val="0"/>
          <w:caps w:val="0"/>
          <w:color w:val="auto"/>
          <w:spacing w:val="0"/>
          <w:sz w:val="32"/>
          <w:szCs w:val="32"/>
          <w:shd w:val="clear" w:fill="FFFFFF"/>
          <w:lang w:val="en-US" w:eastAsia="zh-CN"/>
        </w:rPr>
        <w:t>社区干部的合法权益</w:t>
      </w:r>
      <w:r>
        <w:rPr>
          <w:rFonts w:hint="eastAsia" w:ascii="仿宋" w:hAnsi="仿宋" w:eastAsia="仿宋" w:cs="仿宋"/>
          <w:i w:val="0"/>
          <w:iCs w:val="0"/>
          <w:caps w:val="0"/>
          <w:color w:val="auto"/>
          <w:spacing w:val="0"/>
          <w:sz w:val="32"/>
          <w:szCs w:val="32"/>
          <w:shd w:val="clear" w:fill="FFFFFF"/>
        </w:rPr>
        <w:t>，增强</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的管理和发展，充分调动广大基层</w:t>
      </w:r>
      <w:r>
        <w:rPr>
          <w:rFonts w:hint="eastAsia" w:ascii="仿宋" w:hAnsi="仿宋" w:eastAsia="仿宋" w:cs="仿宋"/>
          <w:i w:val="0"/>
          <w:iCs w:val="0"/>
          <w:caps w:val="0"/>
          <w:color w:val="auto"/>
          <w:spacing w:val="0"/>
          <w:sz w:val="32"/>
          <w:szCs w:val="32"/>
          <w:shd w:val="clear" w:fill="FFFFFF"/>
          <w:lang w:val="en-US" w:eastAsia="zh-CN"/>
        </w:rPr>
        <w:t>社区</w:t>
      </w:r>
      <w:r>
        <w:rPr>
          <w:rFonts w:hint="eastAsia" w:ascii="仿宋" w:hAnsi="仿宋" w:eastAsia="仿宋" w:cs="仿宋"/>
          <w:i w:val="0"/>
          <w:iCs w:val="0"/>
          <w:caps w:val="0"/>
          <w:color w:val="auto"/>
          <w:spacing w:val="0"/>
          <w:sz w:val="32"/>
          <w:szCs w:val="32"/>
          <w:shd w:val="clear" w:fill="FFFFFF"/>
        </w:rPr>
        <w:t>干部工作的积极性</w:t>
      </w:r>
      <w:r>
        <w:rPr>
          <w:rFonts w:hint="eastAsia"/>
          <w:lang w:val="en-US" w:eastAsia="zh-CN"/>
        </w:rPr>
        <w:t>。</w:t>
      </w:r>
    </w:p>
    <w:p>
      <w:pPr>
        <w:numPr>
          <w:ilvl w:val="0"/>
          <w:numId w:val="3"/>
        </w:numPr>
        <w:spacing w:line="360" w:lineRule="auto"/>
        <w:ind w:left="0" w:leftChars="0" w:firstLine="600" w:firstLineChars="0"/>
        <w:rPr>
          <w:rFonts w:hint="eastAsia"/>
        </w:rPr>
      </w:pPr>
      <w:r>
        <w:rPr>
          <w:rFonts w:hint="eastAsia"/>
        </w:rPr>
        <w:t>阶段性目标：</w:t>
      </w:r>
    </w:p>
    <w:p>
      <w:pPr>
        <w:spacing w:line="360" w:lineRule="auto"/>
        <w:ind w:firstLine="600" w:firstLineChars="200"/>
        <w:rPr>
          <w:rFonts w:hint="eastAsia" w:ascii="仿宋" w:hAnsi="仿宋" w:eastAsia="仿宋" w:cs="仿宋"/>
          <w:color w:val="auto"/>
          <w:lang w:val="en-US" w:eastAsia="zh-CN"/>
        </w:rPr>
      </w:pPr>
      <w:r>
        <w:rPr>
          <w:rFonts w:hint="eastAsia" w:ascii="仿宋" w:hAnsi="仿宋" w:eastAsia="仿宋" w:cs="仿宋"/>
          <w:color w:val="auto"/>
        </w:rPr>
        <w:t>第一阶段：对</w:t>
      </w:r>
      <w:r>
        <w:rPr>
          <w:rFonts w:hint="eastAsia" w:ascii="仿宋" w:hAnsi="仿宋" w:eastAsia="仿宋" w:cs="仿宋"/>
          <w:color w:val="auto"/>
          <w:lang w:val="en-US" w:eastAsia="zh-CN"/>
        </w:rPr>
        <w:t>焉耆镇135</w:t>
      </w:r>
      <w:r>
        <w:rPr>
          <w:rFonts w:hint="eastAsia" w:ascii="仿宋" w:hAnsi="仿宋" w:eastAsia="仿宋" w:cs="仿宋"/>
          <w:color w:val="auto"/>
        </w:rPr>
        <w:t>名</w:t>
      </w:r>
      <w:r>
        <w:rPr>
          <w:rFonts w:hint="eastAsia" w:ascii="仿宋" w:hAnsi="仿宋" w:eastAsia="仿宋" w:cs="仿宋"/>
          <w:color w:val="auto"/>
          <w:lang w:val="en-US" w:eastAsia="zh-CN"/>
        </w:rPr>
        <w:t>事业岗</w:t>
      </w:r>
      <w:r>
        <w:rPr>
          <w:rFonts w:hint="eastAsia" w:ascii="仿宋" w:hAnsi="仿宋" w:eastAsia="仿宋" w:cs="仿宋"/>
          <w:color w:val="auto"/>
        </w:rPr>
        <w:t>干部</w:t>
      </w:r>
      <w:r>
        <w:rPr>
          <w:rFonts w:hint="eastAsia" w:ascii="仿宋" w:hAnsi="仿宋" w:eastAsia="仿宋" w:cs="仿宋"/>
          <w:color w:val="auto"/>
          <w:lang w:eastAsia="zh-CN"/>
        </w:rPr>
        <w:t>，</w:t>
      </w:r>
      <w:r>
        <w:rPr>
          <w:rFonts w:hint="eastAsia" w:ascii="仿宋" w:hAnsi="仿宋" w:eastAsia="仿宋" w:cs="仿宋"/>
          <w:color w:val="auto"/>
          <w:lang w:val="en-US" w:eastAsia="zh-CN"/>
        </w:rPr>
        <w:t>按照文件做好符合领取工资的资格审核，按人员档案确定工资标准，对工资进行核算报上级审批，保证事业岗审核工资的顺利进行。</w:t>
      </w:r>
    </w:p>
    <w:p>
      <w:pPr>
        <w:numPr>
          <w:ilvl w:val="0"/>
          <w:numId w:val="0"/>
        </w:numPr>
        <w:spacing w:line="360" w:lineRule="auto"/>
        <w:ind w:leftChars="200"/>
        <w:rPr>
          <w:rFonts w:hint="eastAsia" w:ascii="仿宋" w:hAnsi="仿宋" w:eastAsia="仿宋" w:cs="仿宋"/>
          <w:color w:val="auto"/>
          <w:lang w:val="en-US" w:eastAsia="zh-CN"/>
        </w:rPr>
      </w:pPr>
      <w:r>
        <w:rPr>
          <w:rFonts w:hint="eastAsia" w:ascii="仿宋" w:hAnsi="仿宋" w:eastAsia="仿宋" w:cs="仿宋"/>
          <w:color w:val="auto"/>
          <w:lang w:val="en-US" w:eastAsia="zh-CN"/>
        </w:rPr>
        <w:t>第二阶段：对符合资格领取工资事业岗人员每个月按考勤进行</w:t>
      </w:r>
    </w:p>
    <w:p>
      <w:pPr>
        <w:numPr>
          <w:ilvl w:val="0"/>
          <w:numId w:val="0"/>
        </w:numPr>
        <w:spacing w:line="360" w:lineRule="auto"/>
        <w:rPr>
          <w:rFonts w:hint="default" w:ascii="仿宋" w:hAnsi="仿宋" w:eastAsia="仿宋" w:cs="仿宋"/>
          <w:color w:val="auto"/>
          <w:lang w:val="en-US" w:eastAsia="zh-CN"/>
        </w:rPr>
      </w:pPr>
      <w:r>
        <w:rPr>
          <w:rFonts w:hint="eastAsia" w:ascii="仿宋" w:hAnsi="仿宋" w:eastAsia="仿宋" w:cs="仿宋"/>
          <w:color w:val="auto"/>
          <w:lang w:val="en-US" w:eastAsia="zh-CN"/>
        </w:rPr>
        <w:t>资金申报，按时准确发放135名社区干部，12个月工资按月足额发放，社保公积金按月足额缴纳</w:t>
      </w:r>
      <w:r>
        <w:rPr>
          <w:rFonts w:hint="eastAsia" w:ascii="仿宋" w:hAnsi="仿宋" w:eastAsia="仿宋" w:cs="仿宋"/>
          <w:color w:val="auto"/>
          <w:lang w:val="en-US" w:eastAsia="zh-CN"/>
        </w:rPr>
        <w:t>。确保资金支付及时且准确，提高事业岗人员的满意度，进一步推进社区基层工作的开展。</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通过绩效评价，客观地评判项目的管理绩效，了解和掌握焉耆镇2023年事业岗基本工资及社保</w:t>
      </w:r>
      <w:r>
        <w:rPr>
          <w:rFonts w:hint="eastAsia" w:ascii="仿宋_GB2312"/>
          <w:bCs/>
          <w:color w:val="auto"/>
          <w:sz w:val="32"/>
          <w:szCs w:val="32"/>
          <w:lang w:val="en-US" w:eastAsia="zh-CN"/>
        </w:rPr>
        <w:t>项目</w:t>
      </w:r>
      <w:r>
        <w:rPr>
          <w:rFonts w:hint="eastAsia" w:ascii="仿宋_GB2312"/>
          <w:bCs/>
          <w:color w:val="auto"/>
          <w:sz w:val="32"/>
          <w:szCs w:val="32"/>
        </w:rPr>
        <w:t>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40" w:firstLineChars="200"/>
        <w:rPr>
          <w:rFonts w:hint="eastAsia" w:ascii="仿宋_GB2312" w:eastAsia="仿宋_GB2312"/>
          <w:bCs/>
          <w:color w:val="auto"/>
          <w:sz w:val="32"/>
          <w:szCs w:val="32"/>
          <w:lang w:val="en-US" w:eastAsia="zh-CN"/>
        </w:rPr>
      </w:pPr>
      <w:r>
        <w:rPr>
          <w:rFonts w:hint="eastAsia" w:ascii="仿宋_GB2312"/>
          <w:bCs/>
          <w:color w:val="auto"/>
          <w:sz w:val="32"/>
          <w:szCs w:val="32"/>
        </w:rPr>
        <w:t>焉耆镇2023年事业岗基本工资及社保</w:t>
      </w:r>
      <w:r>
        <w:rPr>
          <w:rFonts w:hint="eastAsia" w:ascii="仿宋_GB2312"/>
          <w:bCs/>
          <w:color w:val="auto"/>
          <w:sz w:val="32"/>
          <w:szCs w:val="32"/>
          <w:lang w:val="en-US" w:eastAsia="zh-CN"/>
        </w:rPr>
        <w:t>项目</w:t>
      </w:r>
    </w:p>
    <w:p>
      <w:pPr>
        <w:spacing w:line="360" w:lineRule="auto"/>
        <w:ind w:firstLine="600" w:firstLineChars="200"/>
      </w:pPr>
      <w:r>
        <w:rPr>
          <w:rFonts w:hint="eastAsia"/>
        </w:rPr>
        <w:t>3、绩效评价范围：</w:t>
      </w:r>
    </w:p>
    <w:p>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焉耆镇2023年事业岗基本工资及社保</w:t>
      </w:r>
      <w:r>
        <w:rPr>
          <w:rFonts w:hint="eastAsia"/>
          <w:color w:val="auto"/>
          <w:lang w:val="en-US" w:eastAsia="zh-CN"/>
        </w:rPr>
        <w:t>项目</w:t>
      </w:r>
      <w:r>
        <w:rPr>
          <w:rFonts w:hint="eastAsia"/>
          <w:color w:val="auto"/>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360" w:lineRule="auto"/>
        <w:ind w:firstLine="600" w:firstLineChars="200"/>
        <w:rPr>
          <w:rFonts w:hint="eastAsia"/>
        </w:rPr>
      </w:pPr>
      <w:r>
        <w:rPr>
          <w:rFonts w:hint="eastAsia"/>
        </w:rPr>
        <w:t>（一）科学公正。本次自评按照前期准备、组织实施、分析评价的程序进行，采取绩效自评，通过材料核查、问卷调查等方式，综合运用对比分析和单位各部门负责人评议等方法进行评价，确保评价过程及结果客观、公正。</w:t>
      </w:r>
    </w:p>
    <w:p>
      <w:pPr>
        <w:spacing w:line="360" w:lineRule="auto"/>
        <w:ind w:firstLine="600" w:firstLineChars="200"/>
        <w:rPr>
          <w:rFonts w:hint="eastAsia"/>
        </w:rPr>
      </w:pPr>
      <w:r>
        <w:rPr>
          <w:rFonts w:hint="eastAsia"/>
        </w:rPr>
        <w:t>（二）统筹兼顾。本次由</w:t>
      </w:r>
      <w:r>
        <w:rPr>
          <w:rFonts w:hint="eastAsia"/>
          <w:lang w:eastAsia="zh-CN"/>
        </w:rPr>
        <w:t>焉耆镇人民政府</w:t>
      </w:r>
      <w:r>
        <w:rPr>
          <w:rFonts w:hint="eastAsia"/>
        </w:rPr>
        <w:t>主要领导负责召集各项目主管人员及项目执行部门召开项目自评会议，根据规范程序布置工作任务，统一自评标准，制定了项目绩效自评方案，分工明确，责任到人，确保绩效评价工作扎实、开展。</w:t>
      </w:r>
    </w:p>
    <w:p>
      <w:pPr>
        <w:spacing w:line="360" w:lineRule="auto"/>
        <w:ind w:firstLine="600" w:firstLineChars="200"/>
        <w:rPr>
          <w:rFonts w:hint="eastAsia"/>
        </w:rPr>
      </w:pPr>
      <w:r>
        <w:rPr>
          <w:rFonts w:hint="eastAsia"/>
        </w:rPr>
        <w:t>（三）激励约束。绩效评价结果应与资金分配挂钩，建立健全评价结果与与财政预算资金分配挂钩，并作为改进管理、完善政策的重要依据，向上一年度绩效评价考核优秀的部门倾斜。</w:t>
      </w:r>
    </w:p>
    <w:p>
      <w:pPr>
        <w:spacing w:line="360" w:lineRule="auto"/>
      </w:pPr>
      <w:r>
        <w:rPr>
          <w:rFonts w:hint="eastAsia"/>
        </w:rPr>
        <w:t>（四）公开透明。我单位绩效评价结束以后，将根据《政府信息公开条例》规定，自评结果在</w:t>
      </w:r>
      <w:r>
        <w:rPr>
          <w:rFonts w:hint="eastAsia"/>
          <w:lang w:eastAsia="zh-CN"/>
        </w:rPr>
        <w:t>焉耆县</w:t>
      </w:r>
      <w:r>
        <w:rPr>
          <w:rFonts w:hint="eastAsia"/>
        </w:rPr>
        <w:t>政府网站进行公开，广泛接受人民群众监督，接受社会各界监督，让公众全面了解政府绩效评价过程和评价结果。</w:t>
      </w:r>
    </w:p>
    <w:p>
      <w:pPr>
        <w:spacing w:line="360" w:lineRule="auto"/>
      </w:pP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焉耆镇2023年事业岗基本工资及社保项目支出绩效评价指标体系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beforeLines="0" w:afterLines="0" w:line="580" w:lineRule="atLeast"/>
              <w:jc w:val="center"/>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auto" w:fill="FFFFFF"/>
          </w:tcPr>
          <w:p>
            <w:pPr>
              <w:spacing w:beforeLines="0" w:afterLines="0" w:line="580" w:lineRule="atLeast"/>
              <w:jc w:val="center"/>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5</w:t>
            </w:r>
          </w:p>
        </w:tc>
        <w:tc>
          <w:tcPr>
            <w:tcW w:w="874" w:type="dxa"/>
            <w:shd w:val="clear" w:color="auto" w:fill="FFFFFF"/>
            <w:vAlign w:val="top"/>
          </w:tcPr>
          <w:p>
            <w:pPr>
              <w:spacing w:beforeLines="0" w:afterLines="0" w:line="580" w:lineRule="atLeast"/>
              <w:jc w:val="center"/>
              <w:rPr>
                <w:rFonts w:hint="eastAsia" w:ascii="仿宋" w:hAnsi="仿宋" w:eastAsia="仿宋" w:cs="仿宋"/>
                <w:color w:val="auto"/>
                <w:sz w:val="20"/>
                <w:szCs w:val="20"/>
                <w:lang w:val="zh-CN"/>
              </w:rPr>
            </w:pPr>
            <w:r>
              <w:rPr>
                <w:rFonts w:hint="eastAsia" w:ascii="仿宋" w:hAnsi="仿宋" w:eastAsia="仿宋" w:cs="仿宋"/>
                <w:color w:val="auto"/>
                <w:sz w:val="20"/>
                <w:szCs w:val="20"/>
                <w:lang w:val="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shd w:val="clear" w:color="000000"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vAlign w:val="top"/>
          </w:tcPr>
          <w:p>
            <w:pPr>
              <w:spacing w:beforeLines="0" w:afterLines="0" w:line="580" w:lineRule="atLeast"/>
              <w:jc w:val="center"/>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auto"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shd w:val="clear" w:color="auto"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auto"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beforeLines="0" w:afterLines="0" w:line="580" w:lineRule="atLeast"/>
              <w:jc w:val="center"/>
              <w:rPr>
                <w:rFonts w:hint="default"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vAlign w:val="top"/>
          </w:tcPr>
          <w:p>
            <w:pPr>
              <w:spacing w:beforeLines="0" w:afterLines="0" w:line="580" w:lineRule="atLeast"/>
              <w:jc w:val="center"/>
              <w:rPr>
                <w:rFonts w:hint="eastAsia" w:ascii="仿宋" w:hAnsi="仿宋" w:eastAsia="仿宋" w:cs="仿宋"/>
                <w:color w:val="auto"/>
                <w:sz w:val="20"/>
                <w:szCs w:val="20"/>
                <w:lang w:val="zh-CN"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beforeLines="0" w:afterLines="0" w:line="580" w:lineRule="atLeast"/>
              <w:jc w:val="center"/>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c>
          <w:tcPr>
            <w:tcW w:w="874" w:type="dxa"/>
            <w:tcBorders>
              <w:bottom w:val="single" w:color="auto" w:sz="4" w:space="0"/>
            </w:tcBorders>
            <w:shd w:val="clear" w:color="000000" w:fill="FFFFFF"/>
          </w:tcPr>
          <w:p>
            <w:pPr>
              <w:spacing w:beforeLines="0" w:afterLines="0" w:line="580" w:lineRule="atLeast"/>
              <w:jc w:val="center"/>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beforeLines="0" w:afterLines="0" w:line="580" w:lineRule="atLeast"/>
              <w:jc w:val="center"/>
              <w:rPr>
                <w:rFonts w:hint="default"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c>
          <w:tcPr>
            <w:tcW w:w="874" w:type="dxa"/>
            <w:shd w:val="clear" w:color="000000" w:fill="FFFFFF"/>
          </w:tcPr>
          <w:p>
            <w:pPr>
              <w:spacing w:beforeLines="0" w:afterLines="0" w:line="580" w:lineRule="atLeast"/>
              <w:jc w:val="center"/>
              <w:rPr>
                <w:rFonts w:hint="default" w:ascii="仿宋" w:hAnsi="仿宋" w:eastAsia="仿宋" w:cs="仿宋"/>
                <w:color w:val="auto"/>
                <w:sz w:val="20"/>
                <w:szCs w:val="20"/>
                <w:lang w:val="en-US" w:eastAsia="zh-CN"/>
              </w:rPr>
            </w:pPr>
            <w:r>
              <w:rPr>
                <w:rFonts w:hint="eastAsia" w:ascii="仿宋" w:hAnsi="仿宋" w:eastAsia="仿宋" w:cs="仿宋"/>
                <w:color w:val="auto"/>
                <w:sz w:val="20"/>
                <w:szCs w:val="2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5</w:t>
            </w:r>
          </w:p>
        </w:tc>
        <w:tc>
          <w:tcPr>
            <w:tcW w:w="874" w:type="dxa"/>
            <w:shd w:val="clear" w:color="000000"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5</w:t>
            </w:r>
          </w:p>
        </w:tc>
        <w:tc>
          <w:tcPr>
            <w:tcW w:w="874" w:type="dxa"/>
            <w:shd w:val="clear" w:color="000000"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auto"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auto"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c>
          <w:tcPr>
            <w:tcW w:w="874" w:type="dxa"/>
            <w:shd w:val="clear" w:color="000000" w:fill="FFFFFF"/>
          </w:tcPr>
          <w:p>
            <w:pPr>
              <w:widowControl/>
              <w:spacing w:line="0" w:lineRule="atLeast"/>
              <w:jc w:val="center"/>
              <w:rPr>
                <w:rFonts w:hint="default" w:ascii="宋体" w:hAnsi="宋体" w:cs="宋体"/>
                <w:color w:val="000000"/>
                <w:kern w:val="0"/>
                <w:sz w:val="22"/>
                <w:lang w:val="en-US" w:eastAsia="zh-CN"/>
              </w:rPr>
            </w:pPr>
            <w:r>
              <w:rPr>
                <w:rFonts w:hint="eastAsia" w:ascii="宋体" w:hAnsi="宋体" w:cs="宋体"/>
                <w:color w:val="000000"/>
                <w:kern w:val="0"/>
                <w:sz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spacing w:line="360" w:lineRule="auto"/>
        <w:ind w:firstLine="640" w:firstLineChars="200"/>
        <w:jc w:val="left"/>
      </w:pPr>
      <w:r>
        <w:rPr>
          <w:rFonts w:hint="eastAsia" w:ascii="仿宋" w:hAnsi="仿宋" w:eastAsia="仿宋" w:cs="仿宋"/>
          <w:bCs/>
          <w:color w:val="auto"/>
          <w:sz w:val="32"/>
          <w:szCs w:val="32"/>
        </w:rPr>
        <w:t>本次项目支出绩效自评采用</w:t>
      </w:r>
      <w:r>
        <w:rPr>
          <w:rFonts w:hint="eastAsia" w:ascii="仿宋" w:hAnsi="仿宋" w:eastAsia="仿宋" w:cs="仿宋"/>
          <w:bCs/>
          <w:color w:val="auto"/>
          <w:sz w:val="32"/>
          <w:szCs w:val="32"/>
          <w:lang w:val="en-US" w:eastAsia="zh-CN"/>
        </w:rPr>
        <w:t>因素分析</w:t>
      </w:r>
      <w:r>
        <w:rPr>
          <w:rFonts w:hint="eastAsia" w:ascii="仿宋" w:hAnsi="仿宋" w:eastAsia="仿宋" w:cs="仿宋"/>
          <w:bCs/>
          <w:color w:val="auto"/>
          <w:sz w:val="32"/>
          <w:szCs w:val="32"/>
        </w:rPr>
        <w:t>方法，原因是：按照财政项目支出绩效自评工作的要求，结合</w:t>
      </w:r>
      <w:r>
        <w:rPr>
          <w:rFonts w:hint="eastAsia" w:ascii="仿宋" w:hAnsi="仿宋" w:eastAsia="仿宋" w:cs="仿宋"/>
          <w:bCs/>
          <w:color w:val="auto"/>
          <w:sz w:val="32"/>
          <w:szCs w:val="32"/>
          <w:lang w:val="en-US" w:eastAsia="zh-CN"/>
        </w:rPr>
        <w:t>我单位</w:t>
      </w:r>
      <w:r>
        <w:rPr>
          <w:rFonts w:hint="eastAsia" w:ascii="仿宋" w:hAnsi="仿宋" w:eastAsia="仿宋" w:cs="仿宋"/>
          <w:bCs/>
          <w:color w:val="auto"/>
          <w:sz w:val="32"/>
          <w:szCs w:val="32"/>
        </w:rPr>
        <w:t>实际情况，组织相关人员根据项目绩效表指标内容</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对所有项目内容进行核实和考评，</w:t>
      </w:r>
      <w:r>
        <w:rPr>
          <w:rFonts w:hint="eastAsia" w:ascii="仿宋" w:hAnsi="仿宋" w:eastAsia="仿宋" w:cs="仿宋"/>
          <w:bCs/>
          <w:color w:val="auto"/>
          <w:sz w:val="32"/>
          <w:szCs w:val="32"/>
        </w:rPr>
        <w:t>项目评价内容主要围绕：数量指标、质量指标、时效指标、成本指标、社会效益指标、满意度指标等开展。原因是：本项目通过综合分析影响项目立项依据、绩效目标、资金投入、使用、产出及效益等方面的因素，判断项目实施情况，并在此基础上进行评价。</w:t>
      </w:r>
    </w:p>
    <w:p>
      <w:pPr>
        <w:numPr>
          <w:ilvl w:val="0"/>
          <w:numId w:val="0"/>
        </w:numPr>
        <w:spacing w:line="360" w:lineRule="auto"/>
        <w:rPr>
          <w:rFonts w:hint="eastAsia"/>
        </w:rPr>
      </w:pPr>
      <w:r>
        <w:rPr>
          <w:rFonts w:hint="eastAsia"/>
          <w:lang w:val="en-US" w:eastAsia="zh-CN"/>
        </w:rPr>
        <w:t>4、</w:t>
      </w:r>
      <w:r>
        <w:rPr>
          <w:rFonts w:hint="eastAsia"/>
        </w:rPr>
        <w:t>评价标准</w:t>
      </w:r>
    </w:p>
    <w:p>
      <w:pPr>
        <w:numPr>
          <w:ilvl w:val="0"/>
          <w:numId w:val="0"/>
        </w:numPr>
        <w:spacing w:line="360" w:lineRule="auto"/>
        <w:ind w:firstLine="640" w:firstLineChars="200"/>
        <w:rPr>
          <w:rFonts w:hint="eastAsia"/>
          <w:bCs/>
          <w:color w:val="FF0000"/>
          <w:sz w:val="32"/>
          <w:szCs w:val="32"/>
        </w:rPr>
      </w:pPr>
      <w:r>
        <w:rPr>
          <w:rFonts w:hint="eastAsia" w:ascii="仿宋" w:hAnsi="仿宋" w:eastAsia="仿宋" w:cs="仿宋"/>
          <w:bCs/>
          <w:color w:val="auto"/>
          <w:sz w:val="32"/>
          <w:szCs w:val="32"/>
          <w:lang w:eastAsia="zh-CN"/>
        </w:rPr>
        <w:t>本次项</w:t>
      </w:r>
      <w:r>
        <w:rPr>
          <w:rFonts w:hint="eastAsia" w:ascii="仿宋" w:hAnsi="仿宋" w:eastAsia="仿宋" w:cs="仿宋"/>
          <w:bCs/>
          <w:color w:val="auto"/>
          <w:sz w:val="32"/>
          <w:szCs w:val="32"/>
          <w:lang w:val="en-US" w:eastAsia="zh-CN"/>
        </w:rPr>
        <w:t>目支出绩效自评采用计划标准，原因是：本项目通过预先制定的目标、计划、预算指标数据确定三级指标进行自评，采用计划标准能够确保目标有序实现，提高工作效率。</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ascii="仿宋" w:hAnsi="仿宋" w:eastAsia="仿宋" w:cs="仿宋"/>
          <w:bCs/>
          <w:color w:val="auto"/>
          <w:sz w:val="32"/>
          <w:szCs w:val="32"/>
          <w:lang w:eastAsia="zh-CN"/>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9"/>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w:t>
      </w:r>
      <w:r>
        <w:rPr>
          <w:rFonts w:hint="eastAsia"/>
          <w:color w:val="auto"/>
          <w:lang w:val="en-US" w:eastAsia="zh-CN"/>
        </w:rPr>
        <w:t>项目</w:t>
      </w:r>
      <w:r>
        <w:rPr>
          <w:rFonts w:hint="eastAsia"/>
          <w:color w:val="auto"/>
        </w:rPr>
        <w:t>绩效评价原则，采用</w:t>
      </w:r>
      <w:r>
        <w:rPr>
          <w:rFonts w:hint="eastAsia"/>
          <w:color w:val="auto"/>
          <w:lang w:val="en-US" w:eastAsia="zh-CN"/>
        </w:rPr>
        <w:t>因素分析</w:t>
      </w:r>
      <w:r>
        <w:rPr>
          <w:rFonts w:hint="eastAsia"/>
          <w:color w:val="auto"/>
        </w:rPr>
        <w:t>评价方法，坚持</w:t>
      </w:r>
      <w:r>
        <w:rPr>
          <w:rFonts w:hint="eastAsia"/>
          <w:color w:val="auto"/>
          <w:lang w:val="en-US" w:eastAsia="zh-CN"/>
        </w:rPr>
        <w:t>计划</w:t>
      </w:r>
      <w:r>
        <w:rPr>
          <w:rFonts w:hint="eastAsia"/>
          <w:color w:val="auto"/>
        </w:rPr>
        <w:t>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ascii="Times New Roman" w:hAnsi="Times New Roman" w:eastAsia="仿宋_GB2312" w:cs="Times New Roman"/>
          <w:b w:val="0"/>
          <w:bCs w:val="0"/>
          <w:color w:val="auto"/>
          <w:sz w:val="30"/>
          <w:szCs w:val="24"/>
        </w:rPr>
        <w:t>焉耆镇2023年事业岗基本工资及社保</w:t>
      </w: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color w:val="auto"/>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w:t>
      </w:r>
      <w:r>
        <w:rPr>
          <w:rFonts w:hint="eastAsia"/>
          <w:color w:val="auto"/>
        </w:rPr>
        <w:t>项目属于公共财政支持范围，符合中央、地方事权支出责任划分原则</w:t>
      </w:r>
      <w:r>
        <w:rPr>
          <w:rFonts w:hint="eastAsia"/>
          <w:color w:val="auto"/>
          <w:lang w:eastAsia="zh-CN"/>
        </w:rPr>
        <w:t>，</w:t>
      </w:r>
      <w:r>
        <w:rPr>
          <w:rFonts w:hint="eastAsia"/>
          <w:color w:val="auto"/>
        </w:rPr>
        <w:t>与相关部门同类项目或部门内部相关项目重复。</w:t>
      </w:r>
    </w:p>
    <w:p>
      <w:pPr>
        <w:spacing w:line="360" w:lineRule="auto"/>
      </w:pPr>
      <w:r>
        <w:rPr>
          <w:rFonts w:hint="eastAsia"/>
        </w:rPr>
        <w:t>2、立项程序规范性</w:t>
      </w:r>
    </w:p>
    <w:p>
      <w:pPr>
        <w:spacing w:line="360" w:lineRule="auto"/>
        <w:ind w:firstLine="600" w:firstLineChars="200"/>
        <w:rPr>
          <w:color w:val="auto"/>
        </w:rPr>
      </w:pPr>
      <w:r>
        <w:rPr>
          <w:rFonts w:hint="eastAsia"/>
          <w:color w:val="auto"/>
          <w:lang w:eastAsia="zh-CN"/>
        </w:rPr>
        <w:t>该</w:t>
      </w: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pPr>
        <w:spacing w:line="360" w:lineRule="auto"/>
      </w:pPr>
      <w:r>
        <w:rPr>
          <w:rFonts w:hint="eastAsia"/>
        </w:rPr>
        <w:t>3、绩效目标合理性</w:t>
      </w:r>
    </w:p>
    <w:p>
      <w:pPr>
        <w:spacing w:line="360" w:lineRule="auto"/>
        <w:ind w:firstLine="640" w:firstLineChars="200"/>
        <w:rPr>
          <w:rFonts w:hint="eastAsia" w:ascii="仿宋" w:hAnsi="仿宋" w:eastAsia="仿宋" w:cs="仿宋"/>
          <w:bCs/>
          <w:color w:val="auto"/>
          <w:sz w:val="32"/>
          <w:szCs w:val="32"/>
        </w:rPr>
      </w:pPr>
      <w:r>
        <w:rPr>
          <w:rFonts w:hint="eastAsia" w:ascii="仿宋_GB2312"/>
          <w:bCs/>
          <w:color w:val="auto"/>
          <w:sz w:val="32"/>
          <w:szCs w:val="32"/>
        </w:rPr>
        <w:t>焉耆镇事业岗基本工资及社保</w:t>
      </w:r>
      <w:r>
        <w:rPr>
          <w:rFonts w:hint="eastAsia" w:ascii="仿宋_GB2312"/>
          <w:bCs/>
          <w:color w:val="auto"/>
          <w:sz w:val="32"/>
          <w:szCs w:val="32"/>
          <w:lang w:val="en-US" w:eastAsia="zh-CN"/>
        </w:rPr>
        <w:t>项目</w:t>
      </w:r>
      <w:r>
        <w:rPr>
          <w:rFonts w:hint="eastAsia" w:ascii="仿宋" w:hAnsi="仿宋" w:eastAsia="仿宋" w:cs="仿宋"/>
          <w:bCs/>
          <w:color w:val="auto"/>
          <w:sz w:val="32"/>
          <w:szCs w:val="32"/>
        </w:rPr>
        <w:t>设立了项目绩效目标，与</w:t>
      </w:r>
      <w:r>
        <w:rPr>
          <w:rFonts w:hint="eastAsia" w:ascii="仿宋_GB2312"/>
          <w:bCs/>
          <w:color w:val="auto"/>
          <w:sz w:val="32"/>
          <w:szCs w:val="32"/>
        </w:rPr>
        <w:t>焉耆镇事业岗基本工资及社保</w:t>
      </w:r>
      <w:r>
        <w:rPr>
          <w:rFonts w:hint="eastAsia" w:ascii="仿宋" w:hAnsi="仿宋" w:eastAsia="仿宋" w:cs="仿宋"/>
          <w:bCs/>
          <w:color w:val="auto"/>
          <w:sz w:val="32"/>
          <w:szCs w:val="32"/>
          <w:lang w:val="en-US" w:eastAsia="zh-CN"/>
        </w:rPr>
        <w:t>工作</w:t>
      </w:r>
      <w:r>
        <w:rPr>
          <w:rFonts w:hint="eastAsia" w:ascii="仿宋" w:hAnsi="仿宋" w:eastAsia="仿宋" w:cs="仿宋"/>
          <w:bCs/>
          <w:color w:val="auto"/>
          <w:sz w:val="32"/>
          <w:szCs w:val="32"/>
        </w:rPr>
        <w:t>具有相关性，项目的预期产出效益和效果也均能符合正常的业绩水平，并且与预算确定的项目投资额或资金量相匹配。</w:t>
      </w:r>
    </w:p>
    <w:p>
      <w:pPr>
        <w:spacing w:line="360" w:lineRule="auto"/>
        <w:ind w:firstLine="600" w:firstLineChars="200"/>
      </w:pPr>
      <w:r>
        <w:rPr>
          <w:rFonts w:hint="eastAsia"/>
        </w:rPr>
        <w:t>4、绩效指标明确性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bookmarkStart w:id="12" w:name="_Hlk68699917"/>
      <w:r>
        <w:rPr>
          <w:rFonts w:hint="eastAsia" w:ascii="仿宋_GB2312"/>
          <w:bCs/>
          <w:color w:val="auto"/>
          <w:sz w:val="32"/>
          <w:szCs w:val="32"/>
        </w:rPr>
        <w:t>焉耆镇事业岗基本工资及社保</w:t>
      </w:r>
      <w:r>
        <w:rPr>
          <w:rFonts w:hint="eastAsia" w:ascii="仿宋" w:hAnsi="仿宋" w:eastAsia="仿宋" w:cs="仿宋"/>
          <w:bCs/>
          <w:color w:val="auto"/>
          <w:sz w:val="32"/>
          <w:szCs w:val="32"/>
        </w:rPr>
        <w:t>项目将项目绩效目标细化分解为具体的绩效指标，一级指标共</w:t>
      </w:r>
      <w:r>
        <w:rPr>
          <w:rFonts w:hint="eastAsia" w:ascii="仿宋" w:hAnsi="仿宋" w:eastAsia="仿宋" w:cs="仿宋"/>
          <w:bCs/>
          <w:color w:val="auto"/>
          <w:sz w:val="32"/>
          <w:szCs w:val="32"/>
          <w:lang w:val="en-US" w:eastAsia="zh-CN"/>
        </w:rPr>
        <w:t>4</w:t>
      </w:r>
      <w:r>
        <w:rPr>
          <w:rFonts w:hint="eastAsia" w:ascii="仿宋" w:hAnsi="仿宋" w:eastAsia="仿宋" w:cs="仿宋"/>
          <w:bCs/>
          <w:color w:val="auto"/>
          <w:sz w:val="32"/>
          <w:szCs w:val="32"/>
        </w:rPr>
        <w:t>条，二级指标共6条，三级指标共</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条，其中量化指标条数共</w:t>
      </w:r>
      <w:r>
        <w:rPr>
          <w:rFonts w:hint="eastAsia" w:ascii="仿宋" w:hAnsi="仿宋" w:eastAsia="仿宋" w:cs="仿宋"/>
          <w:bCs/>
          <w:color w:val="auto"/>
          <w:sz w:val="32"/>
          <w:szCs w:val="32"/>
          <w:lang w:val="en-US" w:eastAsia="zh-CN"/>
        </w:rPr>
        <w:t>7</w:t>
      </w:r>
      <w:r>
        <w:rPr>
          <w:rFonts w:hint="eastAsia" w:ascii="仿宋" w:hAnsi="仿宋" w:eastAsia="仿宋" w:cs="仿宋"/>
          <w:bCs/>
          <w:color w:val="auto"/>
          <w:sz w:val="32"/>
          <w:szCs w:val="32"/>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lang w:val="en-US" w:eastAsia="zh-CN"/>
        </w:rPr>
        <w:t>该项目</w:t>
      </w:r>
      <w:r>
        <w:rPr>
          <w:rFonts w:hint="eastAsia" w:ascii="仿宋" w:hAnsi="仿宋" w:eastAsia="仿宋" w:cs="仿宋"/>
          <w:bCs/>
          <w:color w:val="auto"/>
          <w:sz w:val="32"/>
          <w:szCs w:val="32"/>
        </w:rPr>
        <w:t>预算编制是经过科学论证，预算内容与项目内容相匹配，预算额度测算依据充分</w:t>
      </w:r>
      <w:r>
        <w:rPr>
          <w:rFonts w:hint="eastAsia" w:ascii="仿宋" w:hAnsi="仿宋" w:eastAsia="仿宋" w:cs="仿宋"/>
          <w:bCs/>
          <w:color w:val="auto"/>
          <w:sz w:val="32"/>
          <w:szCs w:val="32"/>
          <w:lang w:eastAsia="zh-CN"/>
        </w:rPr>
        <w:t>，</w:t>
      </w:r>
      <w:r>
        <w:rPr>
          <w:rFonts w:hint="eastAsia" w:ascii="仿宋" w:hAnsi="仿宋" w:eastAsia="仿宋" w:cs="仿宋"/>
          <w:bCs/>
          <w:color w:val="auto"/>
          <w:sz w:val="32"/>
          <w:szCs w:val="32"/>
        </w:rPr>
        <w:t>按照计划标准，确定的项目投资额与工作任务</w:t>
      </w:r>
      <w:r>
        <w:rPr>
          <w:rFonts w:hint="eastAsia" w:ascii="仿宋" w:hAnsi="仿宋" w:eastAsia="仿宋" w:cs="仿宋"/>
          <w:bCs/>
          <w:color w:val="auto"/>
          <w:sz w:val="32"/>
          <w:szCs w:val="32"/>
          <w:lang w:val="en-US" w:eastAsia="zh-CN"/>
        </w:rPr>
        <w:t>相</w:t>
      </w:r>
      <w:r>
        <w:rPr>
          <w:rFonts w:hint="eastAsia" w:ascii="仿宋" w:hAnsi="仿宋" w:eastAsia="仿宋" w:cs="仿宋"/>
          <w:bCs/>
          <w:color w:val="auto"/>
          <w:sz w:val="32"/>
          <w:szCs w:val="32"/>
        </w:rPr>
        <w:t>匹配。</w:t>
      </w:r>
    </w:p>
    <w:p>
      <w:pPr>
        <w:spacing w:line="360" w:lineRule="auto"/>
      </w:pPr>
      <w:r>
        <w:rPr>
          <w:rFonts w:hint="eastAsia"/>
        </w:rPr>
        <w:t>6、资金分配合理性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00" w:firstLineChars="200"/>
        <w:textAlignment w:val="auto"/>
        <w:rPr>
          <w:rFonts w:hint="default" w:ascii="仿宋" w:hAnsi="仿宋" w:eastAsia="仿宋" w:cs="仿宋"/>
          <w:bCs/>
          <w:color w:val="auto"/>
          <w:sz w:val="32"/>
          <w:szCs w:val="32"/>
          <w:lang w:val="en-US" w:eastAsia="zh-CN"/>
        </w:rPr>
      </w:pPr>
      <w:bookmarkStart w:id="13" w:name="_Toc68703839"/>
      <w:r>
        <w:rPr>
          <w:rFonts w:hint="eastAsia"/>
          <w:lang w:eastAsia="zh-CN"/>
        </w:rPr>
        <w:t>该项目</w:t>
      </w:r>
      <w:r>
        <w:rPr>
          <w:rFonts w:hint="eastAsia"/>
        </w:rPr>
        <w:t>预算资金分配依据充分</w:t>
      </w:r>
      <w:r>
        <w:rPr>
          <w:rFonts w:hint="eastAsia"/>
          <w:lang w:eastAsia="zh-CN"/>
        </w:rPr>
        <w:t>，</w:t>
      </w:r>
      <w:r>
        <w:rPr>
          <w:rFonts w:hint="eastAsia"/>
        </w:rPr>
        <w:t>资金分配额度合理，与项目相适应。</w:t>
      </w:r>
    </w:p>
    <w:p>
      <w:pPr>
        <w:pStyle w:val="4"/>
        <w:spacing w:line="360" w:lineRule="auto"/>
        <w:rPr>
          <w:rFonts w:ascii="仿宋_GB2312" w:eastAsia="仿宋_GB2312"/>
          <w:b w:val="0"/>
          <w:bCs w:val="0"/>
        </w:rPr>
      </w:pPr>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878.53</w:t>
      </w:r>
      <w:r>
        <w:rPr>
          <w:color w:val="auto"/>
        </w:rPr>
        <w:t xml:space="preserve"> </w:t>
      </w:r>
      <w:r>
        <w:rPr>
          <w:rFonts w:hint="eastAsia"/>
          <w:color w:val="auto"/>
        </w:rPr>
        <w:t>万元，预算资金</w:t>
      </w:r>
      <w:r>
        <w:rPr>
          <w:color w:val="auto"/>
        </w:rPr>
        <w:t xml:space="preserve"> </w:t>
      </w:r>
      <w:r>
        <w:rPr>
          <w:rFonts w:hint="eastAsia"/>
          <w:color w:val="auto"/>
          <w:lang w:val="en-US" w:eastAsia="zh-CN"/>
        </w:rPr>
        <w:t>878.53</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rPr>
          <w:color w:val="auto"/>
        </w:rPr>
      </w:pPr>
      <w:r>
        <w:rPr>
          <w:rFonts w:hint="eastAsia"/>
          <w:color w:val="auto"/>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878.53</w:t>
      </w:r>
      <w:r>
        <w:rPr>
          <w:rFonts w:hint="eastAsia"/>
          <w:color w:val="auto"/>
        </w:rPr>
        <w:t>万元，全年预算数</w:t>
      </w:r>
      <w:r>
        <w:rPr>
          <w:rFonts w:hint="eastAsia"/>
          <w:color w:val="auto"/>
          <w:lang w:val="en-US" w:eastAsia="zh-CN"/>
        </w:rPr>
        <w:t>878.53</w:t>
      </w:r>
      <w:r>
        <w:rPr>
          <w:rFonts w:hint="eastAsia"/>
          <w:color w:val="auto"/>
        </w:rPr>
        <w:t>万元，全年执行数</w:t>
      </w:r>
      <w:r>
        <w:rPr>
          <w:rFonts w:hint="eastAsia"/>
          <w:color w:val="auto"/>
          <w:lang w:val="en-US" w:eastAsia="zh-CN"/>
        </w:rPr>
        <w:t>878.53</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pPr>
      <w:r>
        <w:rPr>
          <w:rFonts w:hint="eastAsia"/>
        </w:rPr>
        <w:t>3、资金使用合规性</w:t>
      </w:r>
    </w:p>
    <w:p>
      <w:pPr>
        <w:spacing w:line="360" w:lineRule="auto"/>
        <w:ind w:firstLine="600" w:firstLineChars="200"/>
        <w:rPr>
          <w:rFonts w:hint="eastAsia"/>
          <w:color w:val="auto"/>
        </w:rPr>
      </w:pPr>
      <w:r>
        <w:rPr>
          <w:rFonts w:hint="eastAsia"/>
          <w:color w:val="auto"/>
          <w:lang w:eastAsia="zh-CN"/>
        </w:rPr>
        <w:t>该</w:t>
      </w: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ind w:firstLine="600" w:firstLineChars="200"/>
      </w:pPr>
      <w:r>
        <w:rPr>
          <w:rFonts w:hint="eastAsia"/>
        </w:rPr>
        <w:t>4、管理制度健全性</w:t>
      </w:r>
    </w:p>
    <w:p>
      <w:pPr>
        <w:spacing w:line="360" w:lineRule="auto"/>
        <w:ind w:firstLine="600" w:firstLineChars="200"/>
        <w:rPr>
          <w:rFonts w:hint="eastAsia"/>
          <w:color w:val="auto"/>
          <w:lang w:val="en-US" w:eastAsia="zh-CN"/>
        </w:rPr>
      </w:pPr>
      <w:r>
        <w:rPr>
          <w:rFonts w:hint="eastAsia"/>
          <w:color w:val="auto"/>
        </w:rPr>
        <w:t>严格遵守《会计法》、《预算法》、《行政单位财务规则》等法律和有关财政财务规章，财务和业务管理制度合法、合规、完整</w:t>
      </w:r>
      <w:r>
        <w:rPr>
          <w:rFonts w:hint="eastAsia"/>
          <w:color w:val="auto"/>
          <w:lang w:val="en-US" w:eastAsia="zh-CN"/>
        </w:rPr>
        <w:t>，项目资金管理实施专款专用，严格管理，集体会议决定，专人审支付。县财政部门积极督促资金本单位对照绩效目标做好核绩效监控，确保项目顺利实施。</w:t>
      </w:r>
    </w:p>
    <w:p>
      <w:pPr>
        <w:spacing w:line="360" w:lineRule="auto"/>
        <w:ind w:firstLine="600" w:firstLineChars="200"/>
      </w:pPr>
      <w:r>
        <w:rPr>
          <w:rFonts w:hint="eastAsia"/>
        </w:rPr>
        <w:t>5、制度执行有效性</w:t>
      </w:r>
    </w:p>
    <w:p>
      <w:pPr>
        <w:pStyle w:val="4"/>
        <w:spacing w:line="360" w:lineRule="auto"/>
        <w:ind w:firstLine="640" w:firstLineChars="200"/>
        <w:rPr>
          <w:rFonts w:hint="eastAsia" w:ascii="仿宋" w:hAnsi="仿宋" w:eastAsia="仿宋" w:cs="仿宋"/>
          <w:b w:val="0"/>
          <w:bCs/>
          <w:color w:val="auto"/>
          <w:kern w:val="2"/>
          <w:sz w:val="32"/>
          <w:szCs w:val="32"/>
          <w:lang w:val="en-US" w:eastAsia="zh-CN" w:bidi="ar-SA"/>
        </w:rPr>
      </w:pPr>
      <w:bookmarkStart w:id="14" w:name="_Toc68703840"/>
      <w:r>
        <w:rPr>
          <w:rFonts w:hint="eastAsia" w:ascii="仿宋" w:hAnsi="仿宋" w:eastAsia="仿宋" w:cs="仿宋"/>
          <w:b w:val="0"/>
          <w:bCs/>
          <w:color w:val="auto"/>
          <w:kern w:val="2"/>
          <w:sz w:val="32"/>
          <w:szCs w:val="32"/>
          <w:lang w:val="en-US" w:eastAsia="zh-CN" w:bidi="ar-SA"/>
        </w:rPr>
        <w:t>该项目实施遵守相关法律法规和相关管理规定；项目调整及支出调整手续完备，项目实施过程中镇政府加强项目的监督管理，确保项目按时按量完成。镇政府认真对资料进行整理和收集。镇党政办、镇项目办与财政所的分工协做，共同管理好焉耆镇项目资金支付，提高资金使用效益。</w:t>
      </w:r>
    </w:p>
    <w:p>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4"/>
    </w:p>
    <w:p>
      <w:pPr>
        <w:numPr>
          <w:ilvl w:val="0"/>
          <w:numId w:val="4"/>
        </w:numPr>
        <w:spacing w:line="360" w:lineRule="auto"/>
        <w:ind w:left="300" w:leftChars="0" w:firstLine="600" w:firstLineChars="0"/>
        <w:rPr>
          <w:rFonts w:hint="eastAsia"/>
          <w:color w:val="auto"/>
        </w:rPr>
      </w:pPr>
      <w:r>
        <w:rPr>
          <w:rFonts w:hint="eastAsia"/>
          <w:color w:val="auto"/>
        </w:rPr>
        <w:t xml:space="preserve">产出数量指标：指标1： </w:t>
      </w:r>
      <w:r>
        <w:rPr>
          <w:rFonts w:hint="eastAsia"/>
          <w:color w:val="auto"/>
          <w:lang w:val="en-US" w:eastAsia="zh-CN"/>
        </w:rPr>
        <w:t>工资发放人数</w:t>
      </w:r>
      <w:r>
        <w:rPr>
          <w:rFonts w:hint="eastAsia"/>
          <w:color w:val="auto"/>
        </w:rPr>
        <w:t>，指标值：</w:t>
      </w:r>
      <w:r>
        <w:rPr>
          <w:rFonts w:hint="default" w:ascii="Arial" w:hAnsi="Arial" w:cs="Arial"/>
          <w:color w:val="auto"/>
        </w:rPr>
        <w:t>≥</w:t>
      </w:r>
      <w:r>
        <w:rPr>
          <w:rFonts w:hint="eastAsia" w:ascii="Arial" w:hAnsi="Arial" w:cs="Arial"/>
          <w:color w:val="auto"/>
          <w:lang w:val="en-US" w:eastAsia="zh-CN"/>
        </w:rPr>
        <w:t>135人</w:t>
      </w:r>
      <w:r>
        <w:rPr>
          <w:color w:val="auto"/>
        </w:rPr>
        <w:t xml:space="preserve">   </w:t>
      </w:r>
      <w:r>
        <w:rPr>
          <w:rFonts w:hint="eastAsia"/>
          <w:color w:val="auto"/>
        </w:rPr>
        <w:t xml:space="preserve">，实际完成值 </w:t>
      </w:r>
      <w:r>
        <w:rPr>
          <w:rFonts w:hint="eastAsia"/>
          <w:color w:val="auto"/>
          <w:lang w:val="en-US" w:eastAsia="zh-CN"/>
        </w:rPr>
        <w:t>135人</w:t>
      </w:r>
      <w:r>
        <w:rPr>
          <w:rFonts w:hint="eastAsia"/>
          <w:color w:val="auto"/>
        </w:rPr>
        <w:t>，指标完成率</w:t>
      </w:r>
      <w:r>
        <w:rPr>
          <w:color w:val="auto"/>
        </w:rPr>
        <w:t>100</w:t>
      </w:r>
      <w:r>
        <w:rPr>
          <w:rFonts w:hint="eastAsia"/>
          <w:color w:val="auto"/>
        </w:rPr>
        <w:t>%，偏差原因：</w:t>
      </w:r>
      <w:r>
        <w:rPr>
          <w:rFonts w:hint="eastAsia"/>
          <w:color w:val="auto"/>
          <w:lang w:val="en-US" w:eastAsia="zh-CN"/>
        </w:rPr>
        <w:t>无。</w:t>
      </w:r>
    </w:p>
    <w:p>
      <w:pPr>
        <w:numPr>
          <w:ilvl w:val="0"/>
          <w:numId w:val="0"/>
        </w:numPr>
        <w:spacing w:line="360" w:lineRule="auto"/>
        <w:ind w:firstLine="900" w:firstLineChars="300"/>
        <w:rPr>
          <w:rFonts w:hint="eastAsia"/>
          <w:color w:val="auto"/>
          <w:lang w:val="en-US" w:eastAsia="zh-CN"/>
        </w:rPr>
      </w:pPr>
      <w:r>
        <w:rPr>
          <w:rFonts w:hint="eastAsia"/>
          <w:color w:val="auto"/>
        </w:rPr>
        <w:t>指标</w:t>
      </w:r>
      <w:r>
        <w:rPr>
          <w:rFonts w:hint="eastAsia"/>
          <w:color w:val="auto"/>
          <w:lang w:val="en-US" w:eastAsia="zh-CN"/>
        </w:rPr>
        <w:t>2</w:t>
      </w:r>
      <w:r>
        <w:rPr>
          <w:rFonts w:hint="eastAsia"/>
          <w:color w:val="auto"/>
        </w:rPr>
        <w:t xml:space="preserve">： </w:t>
      </w:r>
      <w:r>
        <w:rPr>
          <w:rFonts w:hint="eastAsia"/>
          <w:color w:val="auto"/>
          <w:lang w:val="en-US" w:eastAsia="zh-CN"/>
        </w:rPr>
        <w:t>工资发放次数</w:t>
      </w:r>
      <w:r>
        <w:rPr>
          <w:rFonts w:hint="eastAsia"/>
          <w:color w:val="auto"/>
        </w:rPr>
        <w:t>，指标值：</w:t>
      </w:r>
      <w:r>
        <w:rPr>
          <w:rFonts w:hint="default" w:ascii="Arial" w:hAnsi="Arial" w:cs="Arial"/>
          <w:color w:val="auto"/>
        </w:rPr>
        <w:t>≥</w:t>
      </w:r>
      <w:r>
        <w:rPr>
          <w:rFonts w:hint="eastAsia" w:ascii="Arial" w:hAnsi="Arial" w:cs="Arial"/>
          <w:color w:val="auto"/>
          <w:lang w:val="en-US" w:eastAsia="zh-CN"/>
        </w:rPr>
        <w:t>12次</w:t>
      </w:r>
      <w:r>
        <w:rPr>
          <w:rFonts w:hint="eastAsia"/>
          <w:color w:val="auto"/>
        </w:rPr>
        <w:t xml:space="preserve">，实际完成值 </w:t>
      </w:r>
      <w:r>
        <w:rPr>
          <w:rFonts w:hint="eastAsia"/>
          <w:color w:val="auto"/>
          <w:lang w:val="en-US" w:eastAsia="zh-CN"/>
        </w:rPr>
        <w:t>12次</w:t>
      </w:r>
      <w:r>
        <w:rPr>
          <w:rFonts w:hint="eastAsia"/>
          <w:color w:val="auto"/>
        </w:rPr>
        <w:t>，指标完成率</w:t>
      </w:r>
      <w:r>
        <w:rPr>
          <w:color w:val="auto"/>
        </w:rPr>
        <w:t>100</w:t>
      </w:r>
      <w:r>
        <w:rPr>
          <w:rFonts w:hint="eastAsia"/>
          <w:color w:val="auto"/>
        </w:rPr>
        <w:t>%，偏差原因：</w:t>
      </w:r>
      <w:r>
        <w:rPr>
          <w:rFonts w:hint="eastAsia"/>
          <w:color w:val="auto"/>
          <w:lang w:val="en-US" w:eastAsia="zh-CN"/>
        </w:rPr>
        <w:t>无。</w:t>
      </w:r>
    </w:p>
    <w:p>
      <w:pPr>
        <w:numPr>
          <w:ilvl w:val="0"/>
          <w:numId w:val="0"/>
        </w:numPr>
        <w:spacing w:line="360" w:lineRule="auto"/>
        <w:ind w:firstLine="600" w:firstLineChars="200"/>
        <w:rPr>
          <w:rFonts w:hint="eastAsia" w:eastAsia="仿宋_GB2312"/>
          <w:color w:val="auto"/>
          <w:lang w:eastAsia="zh-CN"/>
        </w:rPr>
      </w:pPr>
      <w:r>
        <w:rPr>
          <w:rFonts w:hint="eastAsia"/>
          <w:color w:val="auto"/>
        </w:rPr>
        <w:t>2</w:t>
      </w:r>
      <w:r>
        <w:rPr>
          <w:rFonts w:hint="eastAsia"/>
          <w:color w:val="auto"/>
          <w:lang w:val="en-US" w:eastAsia="zh-CN"/>
        </w:rPr>
        <w:t>.</w:t>
      </w:r>
      <w:r>
        <w:rPr>
          <w:rFonts w:hint="eastAsia"/>
          <w:color w:val="auto"/>
        </w:rPr>
        <w:t>质量指标：</w:t>
      </w:r>
      <w:r>
        <w:rPr>
          <w:rFonts w:hint="eastAsia"/>
          <w:color w:val="auto"/>
          <w:lang w:val="en-US" w:eastAsia="zh-CN"/>
        </w:rPr>
        <w:t>工资发放覆盖</w:t>
      </w:r>
      <w:r>
        <w:rPr>
          <w:rFonts w:hint="eastAsia"/>
          <w:color w:val="auto"/>
        </w:rPr>
        <w:t>率，</w:t>
      </w:r>
      <w:bookmarkStart w:id="15" w:name="_Hlk98607777"/>
      <w:r>
        <w:rPr>
          <w:rFonts w:hint="eastAsia"/>
          <w:color w:val="auto"/>
        </w:rPr>
        <w:t xml:space="preserve">指标值： </w:t>
      </w:r>
      <w:r>
        <w:rPr>
          <w:rFonts w:hint="default" w:ascii="Arial" w:hAnsi="Arial" w:cs="Arial"/>
          <w:color w:val="auto"/>
        </w:rPr>
        <w:t>≥</w:t>
      </w:r>
      <w:r>
        <w:rPr>
          <w:color w:val="auto"/>
        </w:rPr>
        <w:t>100</w:t>
      </w:r>
      <w:r>
        <w:rPr>
          <w:rFonts w:hint="eastAsia"/>
          <w:color w:val="auto"/>
        </w:rPr>
        <w:t>%</w:t>
      </w:r>
      <w:r>
        <w:rPr>
          <w:color w:val="auto"/>
        </w:rPr>
        <w:t xml:space="preserve"> </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val="en-US" w:eastAsia="zh-CN"/>
        </w:rPr>
        <w:t>无</w:t>
      </w:r>
      <w:bookmarkEnd w:id="15"/>
      <w:bookmarkEnd w:id="16"/>
      <w:r>
        <w:rPr>
          <w:rFonts w:hint="eastAsia"/>
          <w:color w:val="auto"/>
          <w:lang w:eastAsia="zh-CN"/>
        </w:rPr>
        <w:t>。</w:t>
      </w:r>
    </w:p>
    <w:p>
      <w:pPr>
        <w:numPr>
          <w:ilvl w:val="0"/>
          <w:numId w:val="5"/>
        </w:numPr>
        <w:spacing w:line="360" w:lineRule="auto"/>
        <w:ind w:firstLine="600" w:firstLineChars="200"/>
        <w:rPr>
          <w:rFonts w:hint="eastAsia"/>
          <w:color w:val="auto"/>
          <w:lang w:val="en-US" w:eastAsia="zh-CN"/>
        </w:rPr>
      </w:pPr>
      <w:r>
        <w:rPr>
          <w:rFonts w:hint="eastAsia"/>
          <w:color w:val="auto"/>
        </w:rPr>
        <w:t>时效指标：</w:t>
      </w:r>
      <w:r>
        <w:rPr>
          <w:rFonts w:hint="eastAsia"/>
          <w:color w:val="auto"/>
          <w:lang w:val="en-US" w:eastAsia="zh-CN"/>
        </w:rPr>
        <w:t>工资发放及时率</w:t>
      </w:r>
      <w:r>
        <w:rPr>
          <w:rFonts w:hint="eastAsia"/>
          <w:color w:val="auto"/>
        </w:rPr>
        <w:t>：指标值</w:t>
      </w:r>
      <w:r>
        <w:rPr>
          <w:rFonts w:hint="default" w:ascii="Arial" w:hAnsi="Arial" w:cs="Arial"/>
          <w:color w:val="auto"/>
        </w:rPr>
        <w:t>≥</w:t>
      </w:r>
      <w:r>
        <w:rPr>
          <w:rFonts w:hint="eastAsia"/>
          <w:color w:val="auto"/>
          <w:lang w:val="en-US" w:eastAsia="zh-CN"/>
        </w:rPr>
        <w:t>95%</w:t>
      </w:r>
      <w:r>
        <w:rPr>
          <w:rFonts w:hint="eastAsia"/>
          <w:color w:val="auto"/>
        </w:rPr>
        <w:t>，完成值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val="en-US" w:eastAsia="zh-CN"/>
        </w:rPr>
        <w:t>无</w:t>
      </w:r>
      <w:r>
        <w:rPr>
          <w:color w:val="auto"/>
        </w:rPr>
        <w:t xml:space="preserve"> </w:t>
      </w:r>
      <w:r>
        <w:rPr>
          <w:rFonts w:hint="eastAsia"/>
          <w:color w:val="auto"/>
        </w:rPr>
        <w:t>（；</w:t>
      </w:r>
      <w:r>
        <w:rPr>
          <w:rFonts w:hint="eastAsia"/>
          <w:color w:val="auto"/>
          <w:lang w:val="en-US" w:eastAsia="zh-CN"/>
        </w:rPr>
        <w:t xml:space="preserve">    </w:t>
      </w:r>
    </w:p>
    <w:p>
      <w:pPr>
        <w:numPr>
          <w:ilvl w:val="0"/>
          <w:numId w:val="0"/>
        </w:numPr>
        <w:spacing w:line="360" w:lineRule="auto"/>
        <w:ind w:firstLine="600" w:firstLineChars="200"/>
        <w:rPr>
          <w:color w:val="auto"/>
        </w:rPr>
      </w:pPr>
      <w:r>
        <w:rPr>
          <w:rFonts w:hint="eastAsia"/>
          <w:color w:val="auto"/>
          <w:lang w:val="en-US" w:eastAsia="zh-CN"/>
        </w:rPr>
        <w:t>4.</w:t>
      </w:r>
      <w:r>
        <w:rPr>
          <w:rFonts w:hint="eastAsia"/>
          <w:color w:val="auto"/>
        </w:rPr>
        <w:t>成本指标：</w:t>
      </w:r>
      <w:r>
        <w:rPr>
          <w:rFonts w:hint="eastAsia"/>
          <w:color w:val="auto"/>
          <w:lang w:val="en-US" w:eastAsia="zh-CN"/>
        </w:rPr>
        <w:t>成本控制率，</w:t>
      </w:r>
      <w:r>
        <w:rPr>
          <w:rFonts w:hint="eastAsia"/>
          <w:color w:val="auto"/>
        </w:rPr>
        <w:t>指标值</w:t>
      </w:r>
      <w:r>
        <w:rPr>
          <w:rFonts w:hint="eastAsia"/>
          <w:color w:val="auto"/>
          <w:lang w:eastAsia="zh-CN"/>
        </w:rPr>
        <w:t>：</w:t>
      </w:r>
      <w:r>
        <w:rPr>
          <w:rFonts w:hint="eastAsia"/>
          <w:color w:val="auto"/>
        </w:rPr>
        <w:t>≤</w:t>
      </w:r>
      <w:r>
        <w:rPr>
          <w:rFonts w:hint="eastAsia"/>
          <w:color w:val="auto"/>
          <w:lang w:val="en-US" w:eastAsia="zh-CN"/>
        </w:rPr>
        <w:t>100</w:t>
      </w:r>
      <w:r>
        <w:rPr>
          <w:rFonts w:hint="eastAsia"/>
          <w:color w:val="auto"/>
        </w:rPr>
        <w:t>%</w:t>
      </w:r>
      <w:r>
        <w:rPr>
          <w:color w:val="auto"/>
        </w:rPr>
        <w:t xml:space="preserve"> </w:t>
      </w:r>
      <w:r>
        <w:rPr>
          <w:rFonts w:hint="eastAsia"/>
          <w:color w:val="auto"/>
        </w:rPr>
        <w:t xml:space="preserve">，实际完成值 </w:t>
      </w:r>
      <w:r>
        <w:rPr>
          <w:color w:val="auto"/>
        </w:rPr>
        <w:t xml:space="preserve">    </w:t>
      </w:r>
      <w:r>
        <w:rPr>
          <w:rFonts w:hint="eastAsia"/>
          <w:color w:val="auto"/>
          <w:lang w:val="en-US" w:eastAsia="zh-CN"/>
        </w:rPr>
        <w:t>100</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p>
    <w:p>
      <w:pPr>
        <w:pStyle w:val="4"/>
        <w:spacing w:line="360" w:lineRule="auto"/>
        <w:rPr>
          <w:rFonts w:ascii="仿宋_GB2312" w:eastAsia="仿宋_GB2312"/>
          <w:b w:val="0"/>
          <w:bCs w:val="0"/>
        </w:rPr>
      </w:pPr>
      <w:bookmarkStart w:id="17" w:name="_Toc68703841"/>
      <w:r>
        <w:rPr>
          <w:rFonts w:hint="eastAsia" w:ascii="仿宋_GB2312" w:eastAsia="仿宋_GB2312"/>
          <w:b w:val="0"/>
          <w:bCs w:val="0"/>
        </w:rPr>
        <w:t>（四）项目效益情况。</w:t>
      </w:r>
      <w:bookmarkEnd w:id="17"/>
    </w:p>
    <w:p>
      <w:pPr>
        <w:spacing w:line="360" w:lineRule="auto"/>
        <w:ind w:firstLine="600" w:firstLineChars="200"/>
        <w:rPr>
          <w:rFonts w:hint="eastAsia"/>
          <w:color w:val="auto"/>
          <w:lang w:eastAsia="zh-CN"/>
        </w:rPr>
      </w:pPr>
      <w:r>
        <w:rPr>
          <w:rFonts w:hint="eastAsia"/>
          <w:color w:val="auto"/>
          <w:lang w:val="en-US" w:eastAsia="zh-CN"/>
        </w:rPr>
        <w:t>1.</w:t>
      </w:r>
      <w:r>
        <w:rPr>
          <w:rFonts w:hint="eastAsia"/>
          <w:color w:val="auto"/>
        </w:rPr>
        <w:t>社会效益指标：</w:t>
      </w:r>
      <w:r>
        <w:rPr>
          <w:rFonts w:hint="eastAsia"/>
          <w:color w:val="auto"/>
          <w:lang w:val="en-US" w:eastAsia="zh-CN"/>
        </w:rPr>
        <w:t>提高办公质量</w:t>
      </w:r>
      <w:bookmarkStart w:id="18" w:name="_Hlk98607522"/>
      <w:r>
        <w:rPr>
          <w:rFonts w:hint="eastAsia"/>
          <w:color w:val="auto"/>
          <w:lang w:eastAsia="zh-CN"/>
        </w:rPr>
        <w:t>，</w:t>
      </w:r>
      <w:r>
        <w:rPr>
          <w:rFonts w:hint="eastAsia"/>
          <w:color w:val="auto"/>
        </w:rPr>
        <w:t>指标值：</w:t>
      </w:r>
      <w:r>
        <w:rPr>
          <w:rFonts w:hint="eastAsia"/>
          <w:color w:val="auto"/>
          <w:lang w:val="en-US" w:eastAsia="zh-CN"/>
        </w:rPr>
        <w:t>有效提高</w:t>
      </w:r>
      <w:r>
        <w:rPr>
          <w:color w:val="auto"/>
        </w:rPr>
        <w:t xml:space="preserve"> </w:t>
      </w:r>
      <w:r>
        <w:rPr>
          <w:rFonts w:hint="eastAsia"/>
          <w:color w:val="auto"/>
        </w:rPr>
        <w:t>，实际完成值</w:t>
      </w:r>
      <w:r>
        <w:rPr>
          <w:rFonts w:hint="eastAsia"/>
          <w:color w:val="auto"/>
          <w:lang w:val="en-US" w:eastAsia="zh-CN"/>
        </w:rPr>
        <w:t>达成目标</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r>
        <w:rPr>
          <w:color w:val="auto"/>
        </w:rPr>
        <w:t xml:space="preserve"> </w:t>
      </w:r>
      <w:bookmarkEnd w:id="18"/>
      <w:r>
        <w:rPr>
          <w:rFonts w:hint="eastAsia"/>
          <w:color w:val="auto"/>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Cs/>
          <w:color w:val="auto"/>
          <w:sz w:val="32"/>
          <w:szCs w:val="32"/>
          <w:lang w:val="zh-CN" w:eastAsia="zh-CN"/>
        </w:rPr>
      </w:pPr>
      <w:r>
        <w:rPr>
          <w:rFonts w:hint="eastAsia" w:ascii="仿宋" w:hAnsi="仿宋" w:eastAsia="仿宋" w:cs="仿宋"/>
          <w:bCs/>
          <w:color w:val="auto"/>
          <w:sz w:val="32"/>
          <w:szCs w:val="32"/>
          <w:lang w:val="en-US" w:eastAsia="zh-CN"/>
        </w:rPr>
        <w:t>2、</w:t>
      </w:r>
      <w:r>
        <w:rPr>
          <w:rFonts w:hint="eastAsia" w:ascii="仿宋" w:hAnsi="仿宋" w:eastAsia="仿宋" w:cs="仿宋"/>
          <w:bCs/>
          <w:color w:val="auto"/>
          <w:sz w:val="32"/>
          <w:szCs w:val="32"/>
          <w:lang w:val="zh-CN" w:eastAsia="zh-CN"/>
        </w:rPr>
        <w:t>满意度指标：指标</w:t>
      </w:r>
      <w:r>
        <w:rPr>
          <w:rFonts w:hint="eastAsia" w:ascii="仿宋" w:hAnsi="仿宋" w:eastAsia="仿宋" w:cs="仿宋"/>
          <w:bCs/>
          <w:color w:val="auto"/>
          <w:sz w:val="32"/>
          <w:szCs w:val="32"/>
          <w:lang w:val="en-US" w:eastAsia="zh-CN"/>
        </w:rPr>
        <w:t>1：发放人员</w:t>
      </w:r>
      <w:r>
        <w:rPr>
          <w:rFonts w:hint="eastAsia" w:ascii="仿宋" w:hAnsi="仿宋" w:eastAsia="仿宋" w:cs="仿宋"/>
          <w:bCs/>
          <w:color w:val="auto"/>
          <w:sz w:val="32"/>
          <w:szCs w:val="32"/>
          <w:lang w:val="zh-CN" w:eastAsia="zh-CN"/>
        </w:rPr>
        <w:t>满意度，指标值：≥9</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lang w:val="zh-CN" w:eastAsia="zh-CN"/>
        </w:rPr>
        <w:t>%，实际完成值9</w:t>
      </w:r>
      <w:r>
        <w:rPr>
          <w:rFonts w:hint="eastAsia" w:ascii="仿宋" w:hAnsi="仿宋" w:eastAsia="仿宋" w:cs="仿宋"/>
          <w:bCs/>
          <w:color w:val="auto"/>
          <w:sz w:val="32"/>
          <w:szCs w:val="32"/>
          <w:lang w:val="en-US" w:eastAsia="zh-CN"/>
        </w:rPr>
        <w:t>0</w:t>
      </w:r>
      <w:r>
        <w:rPr>
          <w:rFonts w:hint="eastAsia" w:ascii="仿宋" w:hAnsi="仿宋" w:eastAsia="仿宋" w:cs="仿宋"/>
          <w:bCs/>
          <w:color w:val="auto"/>
          <w:sz w:val="32"/>
          <w:szCs w:val="32"/>
          <w:lang w:val="zh-CN" w:eastAsia="zh-CN"/>
        </w:rPr>
        <w:t>%，指标完成率</w:t>
      </w:r>
      <w:r>
        <w:rPr>
          <w:rFonts w:hint="eastAsia" w:ascii="仿宋" w:hAnsi="仿宋" w:eastAsia="仿宋" w:cs="仿宋"/>
          <w:bCs/>
          <w:color w:val="auto"/>
          <w:sz w:val="32"/>
          <w:szCs w:val="32"/>
          <w:lang w:val="en-US" w:eastAsia="zh-CN"/>
        </w:rPr>
        <w:t>100</w:t>
      </w:r>
      <w:r>
        <w:rPr>
          <w:rFonts w:hint="eastAsia" w:ascii="仿宋" w:hAnsi="仿宋" w:eastAsia="仿宋" w:cs="仿宋"/>
          <w:bCs/>
          <w:color w:val="auto"/>
          <w:sz w:val="32"/>
          <w:szCs w:val="32"/>
          <w:lang w:val="zh-CN" w:eastAsia="zh-CN"/>
        </w:rPr>
        <w:t>%，</w:t>
      </w:r>
      <w:r>
        <w:rPr>
          <w:rFonts w:hint="eastAsia"/>
          <w:color w:val="auto"/>
        </w:rPr>
        <w:t>偏差原因：</w:t>
      </w:r>
      <w:r>
        <w:rPr>
          <w:rFonts w:hint="eastAsia"/>
          <w:color w:val="auto"/>
          <w:lang w:val="en-US" w:eastAsia="zh-CN"/>
        </w:rPr>
        <w:t>无</w:t>
      </w:r>
      <w:r>
        <w:rPr>
          <w:color w:val="auto"/>
        </w:rPr>
        <w:t xml:space="preserve"> </w:t>
      </w:r>
      <w:r>
        <w:rPr>
          <w:rFonts w:hint="eastAsia" w:ascii="仿宋" w:hAnsi="仿宋" w:eastAsia="仿宋" w:cs="仿宋"/>
          <w:bCs/>
          <w:color w:val="auto"/>
          <w:sz w:val="32"/>
          <w:szCs w:val="32"/>
          <w:lang w:val="zh-CN" w:eastAsia="zh-CN"/>
        </w:rPr>
        <w:t>。</w:t>
      </w:r>
    </w:p>
    <w:p>
      <w:pPr>
        <w:pStyle w:val="3"/>
        <w:spacing w:line="360" w:lineRule="auto"/>
        <w:rPr>
          <w:rFonts w:ascii="宋体" w:hAnsi="宋体" w:eastAsia="宋体"/>
          <w:sz w:val="32"/>
          <w:szCs w:val="32"/>
        </w:rPr>
      </w:pPr>
      <w:bookmarkStart w:id="19" w:name="_Toc68703842"/>
      <w:r>
        <w:rPr>
          <w:rFonts w:hint="eastAsia" w:ascii="宋体" w:hAnsi="宋体" w:eastAsia="宋体"/>
          <w:sz w:val="32"/>
          <w:szCs w:val="32"/>
        </w:rPr>
        <w:t>五、主要经验及做法、存在的问题及原因分析</w:t>
      </w:r>
      <w:bookmarkEnd w:id="19"/>
    </w:p>
    <w:p>
      <w:pPr>
        <w:pStyle w:val="4"/>
        <w:spacing w:line="360" w:lineRule="auto"/>
        <w:rPr>
          <w:rFonts w:hint="eastAsia" w:ascii="仿宋_GB2312" w:eastAsia="仿宋_GB2312"/>
          <w:b w:val="0"/>
          <w:bCs w:val="0"/>
        </w:rPr>
      </w:pPr>
      <w:bookmarkStart w:id="20" w:name="_Toc68703843"/>
      <w:r>
        <w:rPr>
          <w:rFonts w:hint="eastAsia" w:ascii="仿宋_GB2312" w:eastAsia="仿宋_GB2312"/>
          <w:b w:val="0"/>
          <w:bCs w:val="0"/>
        </w:rPr>
        <w:t>（一）主要经验及做法</w:t>
      </w:r>
      <w:bookmarkEnd w:id="20"/>
    </w:p>
    <w:p>
      <w:pPr>
        <w:spacing w:line="360" w:lineRule="auto"/>
        <w:ind w:firstLine="600" w:firstLineChars="200"/>
        <w:rPr>
          <w:rFonts w:hint="eastAsia"/>
          <w:color w:val="auto"/>
        </w:rPr>
      </w:pPr>
      <w:bookmarkStart w:id="21" w:name="_Toc68703844"/>
      <w:r>
        <w:rPr>
          <w:rFonts w:hint="eastAsia"/>
          <w:color w:val="auto"/>
        </w:rPr>
        <w:t>项目实施过程中，按照年度计划规范地组织实施，有条不紊开展相关工作，并做好资料收集整理工作。</w:t>
      </w:r>
    </w:p>
    <w:p>
      <w:pPr>
        <w:spacing w:line="360" w:lineRule="auto"/>
        <w:ind w:firstLine="600" w:firstLineChars="200"/>
        <w:rPr>
          <w:rFonts w:hint="eastAsia"/>
          <w:color w:val="auto"/>
        </w:rPr>
      </w:pPr>
      <w:r>
        <w:rPr>
          <w:rFonts w:hint="eastAsia"/>
          <w:color w:val="auto"/>
        </w:rPr>
        <w:t>成立项目绩效管理领导小组，将项目的运行，资金使用情况全部纳入领导小组的全程监管之下。</w:t>
      </w:r>
    </w:p>
    <w:p>
      <w:pPr>
        <w:pStyle w:val="4"/>
        <w:spacing w:line="360" w:lineRule="auto"/>
        <w:rPr>
          <w:rFonts w:ascii="仿宋_GB2312" w:eastAsia="仿宋_GB2312"/>
          <w:b w:val="0"/>
          <w:bCs w:val="0"/>
        </w:rPr>
      </w:pPr>
      <w:r>
        <w:rPr>
          <w:rFonts w:hint="eastAsia" w:ascii="仿宋_GB2312" w:eastAsia="仿宋_GB2312"/>
          <w:b w:val="0"/>
          <w:bCs w:val="0"/>
        </w:rPr>
        <w:t>（二）存在的问题及原因分析</w:t>
      </w:r>
      <w:bookmarkEnd w:id="21"/>
    </w:p>
    <w:p>
      <w:pPr>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hAnsiTheme="majorHAnsi" w:cstheme="majorBidi"/>
          <w:b w:val="0"/>
          <w:bCs w:val="0"/>
          <w:kern w:val="2"/>
          <w:sz w:val="32"/>
          <w:szCs w:val="32"/>
          <w:lang w:val="en-US" w:eastAsia="zh-CN" w:bidi="ar-SA"/>
        </w:rPr>
        <w:t>1、存在的问题：</w:t>
      </w:r>
      <w:r>
        <w:rPr>
          <w:rFonts w:hint="eastAsia" w:ascii="仿宋_GB2312" w:eastAsia="仿宋_GB2312" w:hAnsiTheme="majorHAnsi" w:cstheme="majorBidi"/>
          <w:b w:val="0"/>
          <w:bCs w:val="0"/>
          <w:kern w:val="2"/>
          <w:sz w:val="32"/>
          <w:szCs w:val="32"/>
          <w:lang w:val="en-US" w:eastAsia="zh-CN" w:bidi="ar-SA"/>
        </w:rPr>
        <w:t>财政绩效管理</w:t>
      </w:r>
      <w:r>
        <w:rPr>
          <w:rFonts w:hint="eastAsia" w:ascii="仿宋_GB2312" w:hAnsiTheme="majorHAnsi" w:cstheme="majorBidi"/>
          <w:b w:val="0"/>
          <w:bCs w:val="0"/>
          <w:kern w:val="2"/>
          <w:sz w:val="32"/>
          <w:szCs w:val="32"/>
          <w:lang w:val="en-US" w:eastAsia="zh-CN" w:bidi="ar-SA"/>
        </w:rPr>
        <w:t>水平</w:t>
      </w:r>
      <w:r>
        <w:rPr>
          <w:rFonts w:hint="eastAsia" w:ascii="仿宋_GB2312" w:eastAsia="仿宋_GB2312" w:hAnsiTheme="majorHAnsi" w:cstheme="majorBidi"/>
          <w:b w:val="0"/>
          <w:bCs w:val="0"/>
          <w:kern w:val="2"/>
          <w:sz w:val="32"/>
          <w:szCs w:val="32"/>
          <w:lang w:val="en-US" w:eastAsia="zh-CN" w:bidi="ar-SA"/>
        </w:rPr>
        <w:t>有待提高。</w:t>
      </w:r>
    </w:p>
    <w:p>
      <w:pPr>
        <w:ind w:firstLine="640" w:firstLineChars="200"/>
        <w:rPr>
          <w:color w:val="FF0000"/>
        </w:rPr>
      </w:pPr>
      <w:r>
        <w:rPr>
          <w:rFonts w:hint="eastAsia" w:ascii="仿宋_GB2312" w:hAnsiTheme="majorHAnsi" w:cstheme="majorBidi"/>
          <w:b w:val="0"/>
          <w:bCs w:val="0"/>
          <w:kern w:val="2"/>
          <w:sz w:val="32"/>
          <w:szCs w:val="32"/>
          <w:lang w:val="en-US" w:eastAsia="zh-CN" w:bidi="ar-SA"/>
        </w:rPr>
        <w:t>2、原因分析：</w:t>
      </w:r>
      <w:r>
        <w:rPr>
          <w:rFonts w:hint="eastAsia" w:ascii="仿宋_GB2312" w:eastAsia="仿宋_GB2312" w:hAnsiTheme="majorHAnsi" w:cstheme="majorBidi"/>
          <w:b w:val="0"/>
          <w:bCs w:val="0"/>
          <w:kern w:val="2"/>
          <w:sz w:val="32"/>
          <w:szCs w:val="32"/>
          <w:lang w:val="en-US" w:eastAsia="zh-CN" w:bidi="ar-SA"/>
        </w:rPr>
        <w:t>按照财政支出绩效管理要求，不断完善绩效评价的评价体系及工作流程，提高财政资金使用管理的水平和效率。</w:t>
      </w:r>
    </w:p>
    <w:p>
      <w:pPr>
        <w:pStyle w:val="3"/>
        <w:numPr>
          <w:ilvl w:val="0"/>
          <w:numId w:val="6"/>
        </w:numPr>
        <w:spacing w:line="360" w:lineRule="auto"/>
        <w:rPr>
          <w:rFonts w:hint="eastAsia" w:ascii="宋体" w:hAnsi="宋体" w:eastAsia="宋体"/>
          <w:sz w:val="32"/>
          <w:szCs w:val="32"/>
        </w:rPr>
      </w:pPr>
      <w:bookmarkStart w:id="22" w:name="_Toc68703845"/>
      <w:r>
        <w:rPr>
          <w:rFonts w:hint="eastAsia" w:ascii="宋体" w:hAnsi="宋体" w:eastAsia="宋体"/>
          <w:sz w:val="32"/>
          <w:szCs w:val="32"/>
        </w:rPr>
        <w:t>有关建议</w:t>
      </w:r>
      <w:bookmarkEnd w:id="22"/>
    </w:p>
    <w:p>
      <w:pPr>
        <w:spacing w:line="360" w:lineRule="auto"/>
        <w:ind w:firstLine="600" w:firstLineChars="200"/>
        <w:rPr>
          <w:rFonts w:hint="eastAsia"/>
          <w:color w:val="auto"/>
        </w:rPr>
      </w:pPr>
      <w:bookmarkStart w:id="23" w:name="_Toc68703846"/>
      <w:r>
        <w:rPr>
          <w:rFonts w:hint="eastAsia"/>
          <w:color w:val="auto"/>
        </w:rPr>
        <w:t>进一步提高绩效管理水平，加强与财政部门的紧密配合,开展好整体支出及项目资金绩效管理工作；加强学习。进一步明确全面实施预算绩效管理的要求，充分发挥预算绩效管理工作效用。</w:t>
      </w:r>
    </w:p>
    <w:p>
      <w:pPr>
        <w:pStyle w:val="3"/>
        <w:spacing w:line="360" w:lineRule="auto"/>
        <w:rPr>
          <w:rFonts w:ascii="宋体" w:hAnsi="宋体" w:eastAsia="宋体"/>
          <w:sz w:val="32"/>
          <w:szCs w:val="32"/>
        </w:rPr>
      </w:pPr>
      <w:r>
        <w:rPr>
          <w:rFonts w:hint="eastAsia" w:ascii="宋体" w:hAnsi="宋体" w:eastAsia="宋体"/>
          <w:sz w:val="32"/>
          <w:szCs w:val="32"/>
        </w:rPr>
        <w:t>七、其他需要说明的问题</w:t>
      </w:r>
      <w:bookmarkEnd w:id="23"/>
    </w:p>
    <w:p>
      <w:pPr>
        <w:spacing w:line="560" w:lineRule="exact"/>
        <w:ind w:firstLine="640" w:firstLineChars="200"/>
        <w:jc w:val="left"/>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DAE02"/>
    <w:multiLevelType w:val="singleLevel"/>
    <w:tmpl w:val="806DAE02"/>
    <w:lvl w:ilvl="0" w:tentative="0">
      <w:start w:val="6"/>
      <w:numFmt w:val="chineseCounting"/>
      <w:suff w:val="nothing"/>
      <w:lvlText w:val="%1、"/>
      <w:lvlJc w:val="left"/>
      <w:rPr>
        <w:rFonts w:hint="eastAsia"/>
      </w:rPr>
    </w:lvl>
  </w:abstractNum>
  <w:abstractNum w:abstractNumId="1">
    <w:nsid w:val="81A8AF39"/>
    <w:multiLevelType w:val="singleLevel"/>
    <w:tmpl w:val="81A8AF39"/>
    <w:lvl w:ilvl="0" w:tentative="0">
      <w:start w:val="1"/>
      <w:numFmt w:val="decimal"/>
      <w:suff w:val="nothing"/>
      <w:lvlText w:val="%1、"/>
      <w:lvlJc w:val="left"/>
      <w:pPr>
        <w:ind w:left="0"/>
      </w:pPr>
    </w:lvl>
  </w:abstractNum>
  <w:abstractNum w:abstractNumId="2">
    <w:nsid w:val="88A03227"/>
    <w:multiLevelType w:val="singleLevel"/>
    <w:tmpl w:val="88A03227"/>
    <w:lvl w:ilvl="0" w:tentative="0">
      <w:start w:val="1"/>
      <w:numFmt w:val="decimal"/>
      <w:suff w:val="nothing"/>
      <w:lvlText w:val="%1、"/>
      <w:lvlJc w:val="left"/>
    </w:lvl>
  </w:abstractNum>
  <w:abstractNum w:abstractNumId="3">
    <w:nsid w:val="EB0AC65F"/>
    <w:multiLevelType w:val="singleLevel"/>
    <w:tmpl w:val="EB0AC65F"/>
    <w:lvl w:ilvl="0" w:tentative="0">
      <w:start w:val="1"/>
      <w:numFmt w:val="decimal"/>
      <w:suff w:val="nothing"/>
      <w:lvlText w:val="%1、"/>
      <w:lvlJc w:val="left"/>
      <w:pPr>
        <w:ind w:left="300"/>
      </w:pPr>
    </w:lvl>
  </w:abstractNum>
  <w:abstractNum w:abstractNumId="4">
    <w:nsid w:val="161BBD76"/>
    <w:multiLevelType w:val="singleLevel"/>
    <w:tmpl w:val="161BBD76"/>
    <w:lvl w:ilvl="0" w:tentative="0">
      <w:start w:val="3"/>
      <w:numFmt w:val="decimal"/>
      <w:lvlText w:val="%1."/>
      <w:lvlJc w:val="left"/>
      <w:pPr>
        <w:tabs>
          <w:tab w:val="left" w:pos="312"/>
        </w:tabs>
      </w:pPr>
    </w:lvl>
  </w:abstractNum>
  <w:abstractNum w:abstractNumId="5">
    <w:nsid w:val="7BC03FB9"/>
    <w:multiLevelType w:val="multilevel"/>
    <w:tmpl w:val="7BC03FB9"/>
    <w:lvl w:ilvl="0" w:tentative="0">
      <w:start w:val="1"/>
      <w:numFmt w:val="chineseCountingThousand"/>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pStyle w:val="5"/>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hZjQ2MWMwOWIzN2U3MGUzOGZjMjk3Mjk0ZGZlMDE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2A2B6F"/>
    <w:rsid w:val="01D77928"/>
    <w:rsid w:val="0777374C"/>
    <w:rsid w:val="0B376AAB"/>
    <w:rsid w:val="0CDA6F55"/>
    <w:rsid w:val="0F19025D"/>
    <w:rsid w:val="112B76B0"/>
    <w:rsid w:val="11A44C8A"/>
    <w:rsid w:val="15C9282D"/>
    <w:rsid w:val="15DA37C6"/>
    <w:rsid w:val="168E750D"/>
    <w:rsid w:val="19CD087F"/>
    <w:rsid w:val="1A8F0B58"/>
    <w:rsid w:val="1B9F3904"/>
    <w:rsid w:val="1CEF0902"/>
    <w:rsid w:val="215B626A"/>
    <w:rsid w:val="26677B34"/>
    <w:rsid w:val="26722E4A"/>
    <w:rsid w:val="2732278A"/>
    <w:rsid w:val="28880BCD"/>
    <w:rsid w:val="2AFF276E"/>
    <w:rsid w:val="2B3E1BA0"/>
    <w:rsid w:val="2BA83317"/>
    <w:rsid w:val="30633AF6"/>
    <w:rsid w:val="38F17153"/>
    <w:rsid w:val="3A912B01"/>
    <w:rsid w:val="3AD37BE7"/>
    <w:rsid w:val="3DD748F3"/>
    <w:rsid w:val="3F3020FF"/>
    <w:rsid w:val="40A47321"/>
    <w:rsid w:val="441E7F98"/>
    <w:rsid w:val="46C532AD"/>
    <w:rsid w:val="47561A00"/>
    <w:rsid w:val="49517522"/>
    <w:rsid w:val="4C2D7792"/>
    <w:rsid w:val="549F0F79"/>
    <w:rsid w:val="551730E9"/>
    <w:rsid w:val="569572E6"/>
    <w:rsid w:val="57A26C7F"/>
    <w:rsid w:val="580979F7"/>
    <w:rsid w:val="59D476EF"/>
    <w:rsid w:val="5A70724D"/>
    <w:rsid w:val="5BF46663"/>
    <w:rsid w:val="5C0641DD"/>
    <w:rsid w:val="5EBF61F0"/>
    <w:rsid w:val="5F4B2AE7"/>
    <w:rsid w:val="60AF0621"/>
    <w:rsid w:val="61D2205F"/>
    <w:rsid w:val="622575EA"/>
    <w:rsid w:val="623E0E34"/>
    <w:rsid w:val="63051894"/>
    <w:rsid w:val="64EF30F2"/>
    <w:rsid w:val="68DC0825"/>
    <w:rsid w:val="69011405"/>
    <w:rsid w:val="6BB62418"/>
    <w:rsid w:val="6EA06B9B"/>
    <w:rsid w:val="6F7A1F12"/>
    <w:rsid w:val="71801B6D"/>
    <w:rsid w:val="71AD5023"/>
    <w:rsid w:val="72995373"/>
    <w:rsid w:val="72E26A54"/>
    <w:rsid w:val="7303545D"/>
    <w:rsid w:val="737251A3"/>
    <w:rsid w:val="7E17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numPr>
        <w:ilvl w:val="2"/>
        <w:numId w:val="1"/>
      </w:numPr>
      <w:spacing w:line="360" w:lineRule="auto"/>
      <w:outlineLvl w:val="2"/>
    </w:pPr>
    <w:rPr>
      <w:rFonts w:eastAsia="黑体"/>
      <w:b/>
      <w:sz w:val="32"/>
      <w:szCs w:val="30"/>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7"/>
    <w:qFormat/>
    <w:uiPriority w:val="99"/>
    <w:rPr>
      <w:rFonts w:ascii="Times New Roman" w:hAnsi="Times New Roman" w:eastAsia="仿宋_GB2312" w:cs="Times New Roman"/>
      <w:sz w:val="18"/>
      <w:szCs w:val="18"/>
    </w:rPr>
  </w:style>
  <w:style w:type="character" w:customStyle="1" w:styleId="18">
    <w:name w:val="页脚 字符"/>
    <w:basedOn w:val="12"/>
    <w:link w:val="6"/>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3</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LENOVO</cp:lastModifiedBy>
  <dcterms:modified xsi:type="dcterms:W3CDTF">2024-05-16T05:14:05Z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