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宋体" w:cs="Times New Roman"/>
          <w:b/>
          <w:bCs/>
          <w:sz w:val="48"/>
          <w:szCs w:val="48"/>
        </w:rPr>
      </w:pPr>
      <w:bookmarkStart w:id="21" w:name="_GoBack"/>
      <w:bookmarkEnd w:id="21"/>
    </w:p>
    <w:p>
      <w:pPr>
        <w:jc w:val="center"/>
        <w:rPr>
          <w:rFonts w:hint="default" w:ascii="Times New Roman" w:hAnsi="Times New Roman" w:eastAsia="宋体" w:cs="Times New Roman"/>
          <w:b/>
          <w:bCs/>
          <w:sz w:val="48"/>
          <w:szCs w:val="48"/>
        </w:rPr>
      </w:pPr>
    </w:p>
    <w:p>
      <w:pPr>
        <w:jc w:val="center"/>
        <w:rPr>
          <w:rFonts w:hint="default" w:ascii="Times New Roman" w:hAnsi="Times New Roman" w:eastAsia="宋体" w:cs="Times New Roman"/>
          <w:b/>
          <w:bCs/>
          <w:sz w:val="48"/>
          <w:szCs w:val="48"/>
        </w:rPr>
      </w:pPr>
    </w:p>
    <w:p>
      <w:pPr>
        <w:jc w:val="center"/>
        <w:rPr>
          <w:rFonts w:hint="default" w:ascii="Times New Roman" w:hAnsi="Times New Roman" w:eastAsia="宋体" w:cs="Times New Roman"/>
          <w:b/>
          <w:bCs/>
          <w:sz w:val="52"/>
          <w:szCs w:val="52"/>
        </w:rPr>
      </w:pPr>
      <w:r>
        <w:rPr>
          <w:rFonts w:hint="default" w:ascii="Times New Roman" w:hAnsi="Times New Roman" w:eastAsia="宋体" w:cs="Times New Roman"/>
          <w:b/>
          <w:bCs/>
          <w:sz w:val="52"/>
          <w:szCs w:val="52"/>
        </w:rPr>
        <w:t>项目支出绩效评价报告</w:t>
      </w:r>
    </w:p>
    <w:p>
      <w:pPr>
        <w:jc w:val="center"/>
        <w:rPr>
          <w:rFonts w:hint="default" w:ascii="Times New Roman" w:hAnsi="Times New Roman" w:eastAsia="宋体" w:cs="Times New Roman"/>
          <w:b/>
          <w:bCs/>
          <w:sz w:val="48"/>
          <w:szCs w:val="48"/>
        </w:rPr>
      </w:pPr>
    </w:p>
    <w:p>
      <w:pPr>
        <w:widowControl/>
        <w:spacing w:line="560" w:lineRule="exact"/>
        <w:jc w:val="center"/>
        <w:rPr>
          <w:rFonts w:hint="default" w:ascii="Times New Roman" w:hAnsi="Times New Roman" w:cs="Times New Roman"/>
          <w:b/>
          <w:kern w:val="0"/>
          <w:sz w:val="50"/>
          <w:szCs w:val="50"/>
          <w:lang w:bidi="en-US"/>
        </w:rPr>
      </w:pPr>
      <w:r>
        <w:rPr>
          <w:rFonts w:hint="default" w:ascii="Times New Roman" w:hAnsi="Times New Roman" w:eastAsia="方正小标宋简体" w:cs="Times New Roman"/>
          <w:color w:val="000000"/>
          <w:kern w:val="0"/>
          <w:sz w:val="36"/>
          <w:szCs w:val="36"/>
        </w:rPr>
        <w:t>（202</w:t>
      </w:r>
      <w:r>
        <w:rPr>
          <w:rFonts w:hint="default" w:ascii="Times New Roman" w:hAnsi="Times New Roman" w:eastAsia="方正小标宋简体" w:cs="Times New Roman"/>
          <w:color w:val="000000"/>
          <w:kern w:val="0"/>
          <w:sz w:val="36"/>
          <w:szCs w:val="36"/>
          <w:lang w:val="en-US" w:eastAsia="zh-CN"/>
        </w:rPr>
        <w:t>3</w:t>
      </w:r>
      <w:r>
        <w:rPr>
          <w:rFonts w:hint="default" w:ascii="Times New Roman" w:hAnsi="Times New Roman" w:eastAsia="方正小标宋简体" w:cs="Times New Roman"/>
          <w:color w:val="000000"/>
          <w:kern w:val="0"/>
          <w:sz w:val="36"/>
          <w:szCs w:val="36"/>
        </w:rPr>
        <w:t>年度）</w:t>
      </w:r>
    </w:p>
    <w:p>
      <w:pPr>
        <w:spacing w:line="480" w:lineRule="auto"/>
        <w:jc w:val="center"/>
        <w:rPr>
          <w:rFonts w:hint="default" w:ascii="Times New Roman" w:hAnsi="Times New Roman" w:cs="Times New Roman"/>
          <w:b/>
          <w:kern w:val="0"/>
          <w:sz w:val="50"/>
          <w:szCs w:val="50"/>
          <w:lang w:bidi="en-US"/>
        </w:rPr>
      </w:pPr>
    </w:p>
    <w:p>
      <w:pPr>
        <w:spacing w:line="480" w:lineRule="auto"/>
        <w:jc w:val="center"/>
        <w:rPr>
          <w:rFonts w:hint="default" w:ascii="Times New Roman" w:hAnsi="Times New Roman" w:cs="Times New Roman"/>
          <w:b/>
          <w:kern w:val="0"/>
          <w:sz w:val="50"/>
          <w:szCs w:val="50"/>
          <w:lang w:bidi="en-US"/>
        </w:rPr>
      </w:pPr>
    </w:p>
    <w:p>
      <w:pPr>
        <w:spacing w:line="480" w:lineRule="auto"/>
        <w:jc w:val="center"/>
        <w:rPr>
          <w:rFonts w:hint="default" w:ascii="Times New Roman" w:hAnsi="Times New Roman" w:cs="Times New Roman"/>
          <w:b/>
          <w:kern w:val="0"/>
          <w:sz w:val="50"/>
          <w:szCs w:val="50"/>
          <w:lang w:bidi="en-US"/>
        </w:rPr>
      </w:pPr>
    </w:p>
    <w:p>
      <w:pPr>
        <w:spacing w:line="480" w:lineRule="auto"/>
        <w:jc w:val="center"/>
        <w:rPr>
          <w:rFonts w:hint="default" w:ascii="Times New Roman" w:hAnsi="Times New Roman" w:cs="Times New Roman"/>
          <w:b/>
          <w:kern w:val="0"/>
          <w:sz w:val="50"/>
          <w:szCs w:val="50"/>
          <w:lang w:bidi="en-US"/>
        </w:rPr>
      </w:pPr>
    </w:p>
    <w:p>
      <w:pPr>
        <w:spacing w:line="480" w:lineRule="auto"/>
        <w:jc w:val="center"/>
        <w:rPr>
          <w:rFonts w:hint="default" w:ascii="Times New Roman" w:hAnsi="Times New Roman" w:cs="Times New Roman"/>
          <w:b/>
          <w:kern w:val="0"/>
          <w:sz w:val="50"/>
          <w:szCs w:val="50"/>
          <w:lang w:bidi="en-US"/>
        </w:rPr>
      </w:pPr>
    </w:p>
    <w:p>
      <w:pPr>
        <w:spacing w:line="560" w:lineRule="exact"/>
        <w:ind w:firstLine="321" w:firstLineChars="100"/>
        <w:rPr>
          <w:rFonts w:hint="default" w:ascii="Times New Roman" w:hAnsi="Times New Roman" w:cs="Times New Roman"/>
          <w:kern w:val="0"/>
          <w:sz w:val="32"/>
          <w:szCs w:val="32"/>
          <w:lang w:val="en-US" w:eastAsia="zh-CN"/>
        </w:rPr>
      </w:pPr>
      <w:r>
        <w:rPr>
          <w:rFonts w:hint="default" w:ascii="Times New Roman" w:hAnsi="Times New Roman" w:eastAsia="宋体" w:cs="Times New Roman"/>
          <w:b/>
          <w:bCs/>
          <w:color w:val="000000"/>
          <w:kern w:val="0"/>
          <w:sz w:val="32"/>
          <w:szCs w:val="32"/>
        </w:rPr>
        <w:t>项目名称：</w:t>
      </w:r>
      <w:r>
        <w:rPr>
          <w:rFonts w:hint="default" w:ascii="Times New Roman" w:hAnsi="Times New Roman" w:cs="Times New Roman"/>
          <w:kern w:val="0"/>
          <w:sz w:val="32"/>
          <w:szCs w:val="32"/>
          <w:lang w:val="en-US" w:eastAsia="zh-CN"/>
        </w:rPr>
        <w:t xml:space="preserve">全民健康体检项目 </w:t>
      </w:r>
    </w:p>
    <w:p>
      <w:pPr>
        <w:spacing w:line="560" w:lineRule="exact"/>
        <w:ind w:firstLine="321" w:firstLineChars="100"/>
        <w:rPr>
          <w:rFonts w:hint="default" w:ascii="Times New Roman" w:hAnsi="Times New Roman" w:cs="Times New Roman"/>
          <w:kern w:val="0"/>
          <w:sz w:val="32"/>
          <w:szCs w:val="32"/>
          <w:lang w:val="en-US" w:eastAsia="zh-CN"/>
        </w:rPr>
      </w:pPr>
      <w:r>
        <w:rPr>
          <w:rFonts w:hint="default" w:ascii="Times New Roman" w:hAnsi="Times New Roman" w:eastAsia="宋体" w:cs="Times New Roman"/>
          <w:b/>
          <w:bCs/>
          <w:color w:val="000000"/>
          <w:kern w:val="0"/>
          <w:sz w:val="32"/>
          <w:szCs w:val="32"/>
        </w:rPr>
        <w:t>实施单位（公章）：</w:t>
      </w:r>
      <w:r>
        <w:rPr>
          <w:rFonts w:hint="default" w:ascii="Times New Roman" w:hAnsi="Times New Roman" w:cs="Times New Roman"/>
          <w:kern w:val="0"/>
          <w:sz w:val="32"/>
          <w:szCs w:val="32"/>
          <w:lang w:val="en-US" w:eastAsia="zh-CN"/>
        </w:rPr>
        <w:t>焉耆回族自治县</w:t>
      </w:r>
      <w:r>
        <w:rPr>
          <w:rFonts w:hint="eastAsia" w:cs="Times New Roman"/>
          <w:kern w:val="0"/>
          <w:sz w:val="32"/>
          <w:szCs w:val="32"/>
          <w:lang w:val="en-US" w:eastAsia="zh-CN"/>
        </w:rPr>
        <w:t>永宁</w:t>
      </w:r>
      <w:r>
        <w:rPr>
          <w:rFonts w:hint="default" w:ascii="Times New Roman" w:hAnsi="Times New Roman" w:cs="Times New Roman"/>
          <w:kern w:val="0"/>
          <w:sz w:val="32"/>
          <w:szCs w:val="32"/>
          <w:lang w:val="en-US" w:eastAsia="zh-CN"/>
        </w:rPr>
        <w:t>镇卫生院</w:t>
      </w:r>
    </w:p>
    <w:p>
      <w:pPr>
        <w:spacing w:line="560" w:lineRule="exact"/>
        <w:ind w:firstLine="321" w:firstLineChars="100"/>
        <w:rPr>
          <w:rFonts w:hint="default" w:ascii="Times New Roman" w:hAnsi="Times New Roman" w:cs="Times New Roman"/>
          <w:kern w:val="0"/>
          <w:sz w:val="32"/>
          <w:szCs w:val="32"/>
          <w:lang w:eastAsia="zh-CN"/>
        </w:rPr>
      </w:pPr>
      <w:r>
        <w:rPr>
          <w:rFonts w:hint="default" w:ascii="Times New Roman" w:hAnsi="Times New Roman" w:eastAsia="宋体" w:cs="Times New Roman"/>
          <w:b/>
          <w:bCs/>
          <w:color w:val="000000"/>
          <w:kern w:val="0"/>
          <w:sz w:val="32"/>
          <w:szCs w:val="32"/>
        </w:rPr>
        <w:t>主管部门（公章）：</w:t>
      </w:r>
      <w:r>
        <w:rPr>
          <w:rFonts w:hint="default" w:ascii="Times New Roman" w:hAnsi="Times New Roman" w:cs="Times New Roman"/>
          <w:kern w:val="0"/>
          <w:sz w:val="32"/>
          <w:szCs w:val="32"/>
          <w:lang w:val="en-US" w:eastAsia="zh-CN"/>
        </w:rPr>
        <w:t>焉耆回族自治县卫生健康委员会</w:t>
      </w:r>
      <w:r>
        <w:rPr>
          <w:rFonts w:hint="default" w:ascii="Times New Roman" w:hAnsi="Times New Roman" w:cs="Times New Roman"/>
          <w:kern w:val="0"/>
          <w:sz w:val="32"/>
          <w:szCs w:val="32"/>
          <w:lang w:eastAsia="zh-CN"/>
        </w:rPr>
        <w:t xml:space="preserve"> </w:t>
      </w:r>
    </w:p>
    <w:p>
      <w:pPr>
        <w:spacing w:line="560" w:lineRule="exact"/>
        <w:ind w:firstLine="321" w:firstLineChars="100"/>
        <w:rPr>
          <w:rFonts w:hint="default" w:ascii="Times New Roman" w:hAnsi="Times New Roman" w:eastAsia="宋体" w:cs="Times New Roman"/>
          <w:kern w:val="0"/>
          <w:sz w:val="32"/>
          <w:szCs w:val="32"/>
        </w:rPr>
      </w:pPr>
      <w:r>
        <w:rPr>
          <w:rFonts w:hint="default" w:ascii="Times New Roman" w:hAnsi="Times New Roman" w:eastAsia="宋体" w:cs="Times New Roman"/>
          <w:b/>
          <w:bCs/>
          <w:color w:val="000000"/>
          <w:kern w:val="0"/>
          <w:sz w:val="32"/>
          <w:szCs w:val="32"/>
        </w:rPr>
        <w:t>项目负责人（签章）：</w:t>
      </w:r>
      <w:r>
        <w:rPr>
          <w:rFonts w:hint="eastAsia" w:cs="Times New Roman"/>
          <w:kern w:val="0"/>
          <w:sz w:val="32"/>
          <w:szCs w:val="32"/>
          <w:lang w:val="en-US" w:eastAsia="zh-CN"/>
        </w:rPr>
        <w:t>王雪</w:t>
      </w:r>
    </w:p>
    <w:p>
      <w:pPr>
        <w:spacing w:line="560" w:lineRule="exact"/>
        <w:ind w:firstLine="321" w:firstLineChars="100"/>
        <w:rPr>
          <w:rFonts w:hint="default" w:ascii="Times New Roman" w:hAnsi="Times New Roman" w:eastAsia="宋体" w:cs="Times New Roman"/>
          <w:color w:val="000000"/>
          <w:kern w:val="0"/>
          <w:sz w:val="32"/>
          <w:szCs w:val="32"/>
        </w:rPr>
      </w:pPr>
      <w:r>
        <w:rPr>
          <w:rFonts w:hint="default" w:ascii="Times New Roman" w:hAnsi="Times New Roman" w:eastAsia="宋体" w:cs="Times New Roman"/>
          <w:b/>
          <w:bCs/>
          <w:color w:val="000000"/>
          <w:kern w:val="0"/>
          <w:sz w:val="32"/>
          <w:szCs w:val="32"/>
        </w:rPr>
        <w:t>填报时间：</w:t>
      </w:r>
      <w:r>
        <w:rPr>
          <w:rFonts w:hint="default" w:ascii="Times New Roman" w:hAnsi="Times New Roman" w:cs="Times New Roman"/>
          <w:kern w:val="0"/>
          <w:sz w:val="32"/>
          <w:szCs w:val="32"/>
          <w:lang w:val="en-US" w:eastAsia="zh-CN"/>
        </w:rPr>
        <w:t>2024年04月20日</w:t>
      </w:r>
    </w:p>
    <w:p>
      <w:pPr>
        <w:jc w:val="center"/>
        <w:rPr>
          <w:rFonts w:hint="default" w:ascii="Times New Roman" w:hAnsi="Times New Roman" w:eastAsia="宋体" w:cs="Times New Roman"/>
          <w:b/>
          <w:bCs/>
          <w:sz w:val="36"/>
          <w:szCs w:val="36"/>
        </w:rPr>
      </w:pPr>
    </w:p>
    <w:p>
      <w:pPr>
        <w:widowControl/>
        <w:jc w:val="left"/>
        <w:rPr>
          <w:rFonts w:hint="default" w:ascii="Times New Roman" w:hAnsi="Times New Roman" w:eastAsia="宋体" w:cs="Times New Roman"/>
          <w:b/>
          <w:bCs/>
          <w:sz w:val="36"/>
          <w:szCs w:val="36"/>
        </w:rPr>
      </w:pPr>
      <w:r>
        <w:rPr>
          <w:rFonts w:hint="default" w:ascii="Times New Roman" w:hAnsi="Times New Roman" w:eastAsia="宋体" w:cs="Times New Roman"/>
          <w:b/>
          <w:bCs/>
          <w:sz w:val="36"/>
          <w:szCs w:val="36"/>
        </w:rPr>
        <w:br w:type="page"/>
      </w:r>
    </w:p>
    <w:sdt>
      <w:sdtPr>
        <w:rPr>
          <w:rFonts w:hint="default"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hint="default" w:ascii="Times New Roman" w:hAnsi="Times New Roman" w:eastAsia="仿宋_GB2312" w:cs="Times New Roman"/>
          <w:b/>
          <w:bCs/>
          <w:color w:val="auto"/>
          <w:kern w:val="2"/>
          <w:sz w:val="30"/>
          <w:szCs w:val="24"/>
          <w:lang w:val="zh-CN"/>
        </w:rPr>
      </w:sdtEndPr>
      <w:sdtContent>
        <w:sdt>
          <w:sdtPr>
            <w:rPr>
              <w:rFonts w:hint="default"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hint="default" w:ascii="Times New Roman" w:hAnsi="Times New Roman" w:eastAsia="仿宋_GB2312" w:cs="Times New Roman"/>
              <w:b/>
              <w:bCs/>
              <w:color w:val="auto"/>
              <w:kern w:val="2"/>
              <w:sz w:val="30"/>
              <w:szCs w:val="24"/>
              <w:lang w:val="zh-CN"/>
            </w:rPr>
          </w:sdtEndPr>
          <w:sdtContent>
            <w:p>
              <w:pPr>
                <w:pStyle w:val="17"/>
                <w:jc w:val="center"/>
                <w:rPr>
                  <w:rFonts w:hint="default" w:ascii="Times New Roman" w:hAnsi="Times New Roman" w:eastAsia="宋体" w:cs="Times New Roman"/>
                  <w:b/>
                  <w:bCs/>
                  <w:color w:val="auto"/>
                  <w:lang w:val="zh-CN"/>
                </w:rPr>
              </w:pPr>
              <w:r>
                <w:rPr>
                  <w:rFonts w:hint="default" w:ascii="Times New Roman" w:hAnsi="Times New Roman" w:eastAsia="宋体" w:cs="Times New Roman"/>
                  <w:b/>
                  <w:bCs/>
                  <w:color w:val="auto"/>
                  <w:lang w:val="zh-CN"/>
                </w:rPr>
                <w:t>目录</w:t>
              </w:r>
            </w:p>
            <w:p>
              <w:pPr>
                <w:pStyle w:val="8"/>
                <w:keepNext w:val="0"/>
                <w:keepLines w:val="0"/>
                <w:pageBreakBefore w:val="0"/>
                <w:widowControl/>
                <w:tabs>
                  <w:tab w:val="right" w:leader="dot" w:pos="8834"/>
                </w:tabs>
                <w:kinsoku/>
                <w:wordWrap/>
                <w:overflowPunct/>
                <w:topLinePunct w:val="0"/>
                <w:autoSpaceDE/>
                <w:autoSpaceDN/>
                <w:bidi w:val="0"/>
                <w:adjustRightInd/>
                <w:snapToGrid/>
                <w:spacing w:line="560" w:lineRule="exact"/>
                <w:textAlignment w:val="auto"/>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"_Toc68703827" </w:instrText>
              </w:r>
              <w:r>
                <w:rPr>
                  <w:rFonts w:hint="default" w:ascii="Times New Roman" w:hAnsi="Times New Roman" w:cs="Times New Roman"/>
                </w:rPr>
                <w:fldChar w:fldCharType="separate"/>
              </w:r>
              <w:r>
                <w:rPr>
                  <w:rStyle w:val="14"/>
                  <w:rFonts w:hint="default" w:ascii="Times New Roman" w:hAnsi="Times New Roman" w:eastAsia="宋体" w:cs="Times New Roman"/>
                  <w:color w:val="auto"/>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_Toc68703827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"_Toc68703828" </w:instrText>
              </w:r>
              <w:r>
                <w:rPr>
                  <w:rFonts w:hint="default" w:ascii="Times New Roman" w:hAnsi="Times New Roman" w:cs="Times New Roman"/>
                </w:rPr>
                <w:fldChar w:fldCharType="separate"/>
              </w:r>
              <w:r>
                <w:rPr>
                  <w:rStyle w:val="14"/>
                  <w:rFonts w:hint="default" w:ascii="Times New Roman" w:hAnsi="Times New Roman" w:eastAsia="仿宋_GB2312" w:cs="Times New Roman"/>
                  <w:color w:val="auto"/>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_Toc68703828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"_Toc68703829" </w:instrText>
              </w:r>
              <w:r>
                <w:rPr>
                  <w:rFonts w:hint="default" w:ascii="Times New Roman" w:hAnsi="Times New Roman" w:cs="Times New Roman"/>
                </w:rPr>
                <w:fldChar w:fldCharType="separate"/>
              </w:r>
              <w:r>
                <w:rPr>
                  <w:rStyle w:val="14"/>
                  <w:rFonts w:hint="default" w:ascii="Times New Roman" w:hAnsi="Times New Roman" w:eastAsia="仿宋_GB2312" w:cs="Times New Roman"/>
                  <w:color w:val="auto"/>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_Toc68703829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"_Toc68703830" </w:instrText>
              </w:r>
              <w:r>
                <w:rPr>
                  <w:rFonts w:hint="default" w:ascii="Times New Roman" w:hAnsi="Times New Roman" w:cs="Times New Roman"/>
                </w:rPr>
                <w:fldChar w:fldCharType="separate"/>
              </w:r>
              <w:r>
                <w:rPr>
                  <w:rStyle w:val="14"/>
                  <w:rFonts w:hint="default" w:ascii="Times New Roman" w:hAnsi="Times New Roman" w:eastAsia="宋体" w:cs="Times New Roman"/>
                  <w:color w:val="auto"/>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_Toc68703830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"_Toc68703831" </w:instrText>
              </w:r>
              <w:r>
                <w:rPr>
                  <w:rFonts w:hint="default" w:ascii="Times New Roman" w:hAnsi="Times New Roman" w:cs="Times New Roman"/>
                </w:rPr>
                <w:fldChar w:fldCharType="separate"/>
              </w:r>
              <w:r>
                <w:rPr>
                  <w:rStyle w:val="14"/>
                  <w:rFonts w:hint="default" w:ascii="Times New Roman" w:hAnsi="Times New Roman" w:eastAsia="仿宋_GB2312" w:cs="Times New Roman"/>
                  <w:color w:val="auto"/>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_Toc68703831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"_Toc68703832" </w:instrText>
              </w:r>
              <w:r>
                <w:rPr>
                  <w:rFonts w:hint="default" w:ascii="Times New Roman" w:hAnsi="Times New Roman" w:cs="Times New Roman"/>
                </w:rPr>
                <w:fldChar w:fldCharType="separate"/>
              </w:r>
              <w:r>
                <w:rPr>
                  <w:rStyle w:val="14"/>
                  <w:rFonts w:hint="default" w:ascii="Times New Roman" w:hAnsi="Times New Roman" w:eastAsia="仿宋_GB2312" w:cs="Times New Roman"/>
                  <w:color w:val="auto"/>
                </w:rPr>
                <w:t>（二）绩效评价原则、评价指标体系、评价方法、评价标准等</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_Toc68703832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"_Toc68703833" </w:instrText>
              </w:r>
              <w:r>
                <w:rPr>
                  <w:rFonts w:hint="default" w:ascii="Times New Roman" w:hAnsi="Times New Roman" w:cs="Times New Roman"/>
                </w:rPr>
                <w:fldChar w:fldCharType="separate"/>
              </w:r>
              <w:r>
                <w:rPr>
                  <w:rStyle w:val="14"/>
                  <w:rFonts w:hint="default" w:ascii="Times New Roman" w:hAnsi="Times New Roman" w:eastAsia="仿宋_GB2312" w:cs="Times New Roman"/>
                  <w:color w:val="auto"/>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_Toc68703833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"_Toc68703834" </w:instrText>
              </w:r>
              <w:r>
                <w:rPr>
                  <w:rFonts w:hint="default" w:ascii="Times New Roman" w:hAnsi="Times New Roman" w:cs="Times New Roman"/>
                </w:rPr>
                <w:fldChar w:fldCharType="separate"/>
              </w:r>
              <w:r>
                <w:rPr>
                  <w:rStyle w:val="14"/>
                  <w:rFonts w:hint="default" w:ascii="Times New Roman" w:hAnsi="Times New Roman" w:eastAsia="宋体" w:cs="Times New Roman"/>
                  <w:color w:val="auto"/>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_Toc68703834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"_Toc68703835" </w:instrText>
              </w:r>
              <w:r>
                <w:rPr>
                  <w:rFonts w:hint="default" w:ascii="Times New Roman" w:hAnsi="Times New Roman" w:cs="Times New Roman"/>
                </w:rPr>
                <w:fldChar w:fldCharType="separate"/>
              </w:r>
              <w:r>
                <w:rPr>
                  <w:rStyle w:val="14"/>
                  <w:rFonts w:hint="default" w:ascii="Times New Roman" w:hAnsi="Times New Roman" w:eastAsia="仿宋_GB2312" w:cs="Times New Roman"/>
                  <w:color w:val="auto"/>
                </w:rPr>
                <w:t>（一）综合评价情况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_Toc68703835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"_Toc68703836" </w:instrText>
              </w:r>
              <w:r>
                <w:rPr>
                  <w:rFonts w:hint="default" w:ascii="Times New Roman" w:hAnsi="Times New Roman" w:cs="Times New Roman"/>
                </w:rPr>
                <w:fldChar w:fldCharType="separate"/>
              </w:r>
              <w:r>
                <w:rPr>
                  <w:rStyle w:val="14"/>
                  <w:rFonts w:hint="default" w:ascii="Times New Roman" w:hAnsi="Times New Roman" w:eastAsia="仿宋_GB2312" w:cs="Times New Roman"/>
                  <w:color w:val="auto"/>
                </w:rPr>
                <w:t>（二）评价结论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_Toc68703836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"_Toc68703837" </w:instrText>
              </w:r>
              <w:r>
                <w:rPr>
                  <w:rFonts w:hint="default" w:ascii="Times New Roman" w:hAnsi="Times New Roman" w:cs="Times New Roman"/>
                </w:rPr>
                <w:fldChar w:fldCharType="separate"/>
              </w:r>
              <w:r>
                <w:rPr>
                  <w:rStyle w:val="14"/>
                  <w:rFonts w:hint="default" w:ascii="Times New Roman" w:hAnsi="Times New Roman" w:eastAsia="宋体" w:cs="Times New Roman"/>
                  <w:color w:val="auto"/>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_Toc68703837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"_Toc68703838" </w:instrText>
              </w:r>
              <w:r>
                <w:rPr>
                  <w:rFonts w:hint="default" w:ascii="Times New Roman" w:hAnsi="Times New Roman" w:cs="Times New Roman"/>
                </w:rPr>
                <w:fldChar w:fldCharType="separate"/>
              </w:r>
              <w:r>
                <w:rPr>
                  <w:rStyle w:val="14"/>
                  <w:rFonts w:hint="default" w:ascii="Times New Roman" w:hAnsi="Times New Roman" w:eastAsia="仿宋_GB2312" w:cs="Times New Roman"/>
                  <w:color w:val="auto"/>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_Toc68703838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"_Toc68703839" </w:instrText>
              </w:r>
              <w:r>
                <w:rPr>
                  <w:rFonts w:hint="default" w:ascii="Times New Roman" w:hAnsi="Times New Roman" w:cs="Times New Roman"/>
                </w:rPr>
                <w:fldChar w:fldCharType="separate"/>
              </w:r>
              <w:r>
                <w:rPr>
                  <w:rStyle w:val="14"/>
                  <w:rFonts w:hint="default" w:ascii="Times New Roman" w:hAnsi="Times New Roman" w:eastAsia="仿宋_GB2312" w:cs="Times New Roman"/>
                  <w:color w:val="auto"/>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_Toc68703839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"_Toc68703840" </w:instrText>
              </w:r>
              <w:r>
                <w:rPr>
                  <w:rFonts w:hint="default" w:ascii="Times New Roman" w:hAnsi="Times New Roman" w:cs="Times New Roman"/>
                </w:rPr>
                <w:fldChar w:fldCharType="separate"/>
              </w:r>
              <w:r>
                <w:rPr>
                  <w:rStyle w:val="14"/>
                  <w:rFonts w:hint="default" w:ascii="Times New Roman" w:hAnsi="Times New Roman" w:eastAsia="仿宋_GB2312" w:cs="Times New Roman"/>
                  <w:color w:val="auto"/>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_Toc68703840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"_Toc68703841" </w:instrText>
              </w:r>
              <w:r>
                <w:rPr>
                  <w:rFonts w:hint="default" w:ascii="Times New Roman" w:hAnsi="Times New Roman" w:cs="Times New Roman"/>
                </w:rPr>
                <w:fldChar w:fldCharType="separate"/>
              </w:r>
              <w:r>
                <w:rPr>
                  <w:rStyle w:val="14"/>
                  <w:rFonts w:hint="default" w:ascii="Times New Roman" w:hAnsi="Times New Roman" w:eastAsia="仿宋_GB2312" w:cs="Times New Roman"/>
                  <w:color w:val="auto"/>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_Toc68703841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"_Toc68703842" </w:instrText>
              </w:r>
              <w:r>
                <w:rPr>
                  <w:rFonts w:hint="default" w:ascii="Times New Roman" w:hAnsi="Times New Roman" w:cs="Times New Roman"/>
                </w:rPr>
                <w:fldChar w:fldCharType="separate"/>
              </w:r>
              <w:r>
                <w:rPr>
                  <w:rStyle w:val="14"/>
                  <w:rFonts w:hint="default" w:ascii="Times New Roman" w:hAnsi="Times New Roman" w:eastAsia="宋体" w:cs="Times New Roman"/>
                  <w:color w:val="auto"/>
                </w:rPr>
                <w:t>五、主要经验及做法、存在的问题及原因分析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_Toc68703842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"_Toc68703843" </w:instrText>
              </w:r>
              <w:r>
                <w:rPr>
                  <w:rFonts w:hint="default" w:ascii="Times New Roman" w:hAnsi="Times New Roman" w:cs="Times New Roman"/>
                </w:rPr>
                <w:fldChar w:fldCharType="separate"/>
              </w:r>
              <w:r>
                <w:rPr>
                  <w:rStyle w:val="14"/>
                  <w:rFonts w:hint="default" w:ascii="Times New Roman" w:hAnsi="Times New Roman" w:eastAsia="仿宋_GB2312" w:cs="Times New Roman"/>
                  <w:color w:val="auto"/>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_Toc68703843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0"/>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"_Toc68703844" </w:instrText>
              </w:r>
              <w:r>
                <w:rPr>
                  <w:rFonts w:hint="default" w:ascii="Times New Roman" w:hAnsi="Times New Roman" w:cs="Times New Roman"/>
                </w:rPr>
                <w:fldChar w:fldCharType="separate"/>
              </w:r>
              <w:r>
                <w:rPr>
                  <w:rStyle w:val="14"/>
                  <w:rFonts w:hint="default" w:ascii="Times New Roman" w:hAnsi="Times New Roman" w:eastAsia="仿宋_GB2312" w:cs="Times New Roman"/>
                  <w:color w:val="auto"/>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_Toc68703844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"_Toc68703845" </w:instrText>
              </w:r>
              <w:r>
                <w:rPr>
                  <w:rFonts w:hint="default" w:ascii="Times New Roman" w:hAnsi="Times New Roman" w:cs="Times New Roman"/>
                </w:rPr>
                <w:fldChar w:fldCharType="separate"/>
              </w:r>
              <w:r>
                <w:rPr>
                  <w:rStyle w:val="14"/>
                  <w:rFonts w:hint="default" w:ascii="Times New Roman" w:hAnsi="Times New Roman" w:eastAsia="宋体" w:cs="Times New Roman"/>
                  <w:color w:val="auto"/>
                </w:rPr>
                <w:t>六、有关建议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_Toc68703845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8"/>
                <w:tabs>
                  <w:tab w:val="right" w:leader="dot" w:pos="8834"/>
                </w:tabs>
                <w:rPr>
                  <w:rFonts w:hint="default" w:ascii="Times New Roman" w:hAnsi="Times New Roman" w:cs="Times New Roman"/>
                  <w:kern w:val="2"/>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"_Toc68703846" </w:instrText>
              </w:r>
              <w:r>
                <w:rPr>
                  <w:rFonts w:hint="default" w:ascii="Times New Roman" w:hAnsi="Times New Roman" w:cs="Times New Roman"/>
                </w:rPr>
                <w:fldChar w:fldCharType="separate"/>
              </w:r>
              <w:r>
                <w:rPr>
                  <w:rStyle w:val="14"/>
                  <w:rFonts w:hint="default" w:ascii="Times New Roman" w:hAnsi="Times New Roman" w:eastAsia="宋体" w:cs="Times New Roman"/>
                  <w:color w:val="auto"/>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_Toc68703846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rPr>
                  <w:rFonts w:hint="default" w:ascii="Times New Roman" w:hAnsi="Times New Roman" w:eastAsia="仿宋_GB2312" w:cs="Times New Roman"/>
                  <w:b/>
                  <w:bCs/>
                  <w:color w:val="auto"/>
                  <w:kern w:val="2"/>
                  <w:sz w:val="30"/>
                  <w:szCs w:val="24"/>
                  <w:lang w:val="zh-CN"/>
                </w:rPr>
              </w:pPr>
              <w:r>
                <w:rPr>
                  <w:rFonts w:hint="default" w:ascii="Times New Roman" w:hAnsi="Times New Roman" w:cs="Times New Roman"/>
                  <w:b/>
                  <w:bCs/>
                  <w:lang w:val="zh-CN"/>
                </w:rPr>
                <w:fldChar w:fldCharType="end"/>
              </w:r>
            </w:p>
          </w:sdtContent>
        </w:sdt>
        <w:p>
          <w:pPr>
            <w:rPr>
              <w:rFonts w:hint="default" w:ascii="Times New Roman" w:hAnsi="Times New Roman" w:cs="Times New Roman"/>
            </w:rPr>
          </w:pPr>
        </w:p>
      </w:sdtContent>
    </w:sdt>
    <w:p>
      <w:pPr>
        <w:widowControl/>
        <w:jc w:val="left"/>
        <w:rPr>
          <w:rFonts w:hint="default" w:ascii="Times New Roman" w:hAnsi="Times New Roman" w:eastAsia="宋体" w:cs="Times New Roman"/>
          <w:b/>
          <w:bCs/>
          <w:sz w:val="36"/>
          <w:szCs w:val="36"/>
        </w:rPr>
      </w:pPr>
      <w:r>
        <w:rPr>
          <w:rFonts w:hint="default" w:ascii="Times New Roman" w:hAnsi="Times New Roman" w:eastAsia="宋体" w:cs="Times New Roman"/>
          <w:b/>
          <w:bCs/>
          <w:sz w:val="36"/>
          <w:szCs w:val="36"/>
        </w:rPr>
        <w:br w:type="page"/>
      </w:r>
    </w:p>
    <w:p>
      <w:pPr>
        <w:jc w:val="center"/>
        <w:rPr>
          <w:rFonts w:hint="default" w:ascii="Times New Roman" w:hAnsi="Times New Roman" w:eastAsia="宋体" w:cs="Times New Roman"/>
          <w:b/>
          <w:bCs/>
          <w:sz w:val="44"/>
          <w:szCs w:val="44"/>
        </w:rPr>
      </w:pPr>
      <w:r>
        <w:rPr>
          <w:rFonts w:hint="default" w:ascii="Times New Roman" w:hAnsi="Times New Roman" w:eastAsia="宋体" w:cs="Times New Roman"/>
          <w:b/>
          <w:bCs/>
          <w:sz w:val="44"/>
          <w:szCs w:val="44"/>
        </w:rPr>
        <w:t>项目支出绩效评价报告</w:t>
      </w:r>
    </w:p>
    <w:p>
      <w:pPr>
        <w:jc w:val="center"/>
        <w:rPr>
          <w:rFonts w:hint="default" w:ascii="Times New Roman" w:hAnsi="Times New Roman" w:cs="Times New Roman"/>
          <w:szCs w:val="30"/>
        </w:rPr>
      </w:pPr>
    </w:p>
    <w:p>
      <w:pPr>
        <w:pStyle w:val="3"/>
        <w:spacing w:line="360" w:lineRule="auto"/>
        <w:ind w:firstLine="643" w:firstLineChars="200"/>
        <w:rPr>
          <w:rFonts w:hint="default" w:ascii="Times New Roman" w:hAnsi="Times New Roman" w:eastAsia="宋体" w:cs="Times New Roman"/>
          <w:sz w:val="32"/>
          <w:szCs w:val="32"/>
        </w:rPr>
      </w:pPr>
      <w:bookmarkStart w:id="0" w:name="_Toc68703827"/>
      <w:r>
        <w:rPr>
          <w:rFonts w:hint="default" w:ascii="Times New Roman" w:hAnsi="Times New Roman" w:eastAsia="宋体" w:cs="Times New Roman"/>
          <w:sz w:val="32"/>
          <w:szCs w:val="32"/>
        </w:rPr>
        <w:t>一、基本情况</w:t>
      </w:r>
      <w:bookmarkEnd w:id="0"/>
    </w:p>
    <w:p>
      <w:pPr>
        <w:pStyle w:val="4"/>
        <w:spacing w:line="360" w:lineRule="auto"/>
        <w:ind w:firstLine="640" w:firstLineChars="200"/>
        <w:rPr>
          <w:rFonts w:hint="default" w:ascii="Times New Roman" w:hAnsi="Times New Roman" w:eastAsia="仿宋_GB2312" w:cs="Times New Roman"/>
          <w:b w:val="0"/>
          <w:bCs w:val="0"/>
        </w:rPr>
      </w:pPr>
      <w:bookmarkStart w:id="1" w:name="_Toc68703828"/>
      <w:r>
        <w:rPr>
          <w:rFonts w:hint="default" w:ascii="Times New Roman" w:hAnsi="Times New Roman" w:eastAsia="仿宋_GB2312" w:cs="Times New Roman"/>
          <w:b w:val="0"/>
          <w:bCs w:val="0"/>
        </w:rPr>
        <w:t>（一）项目概况</w:t>
      </w:r>
      <w:bookmarkEnd w:id="1"/>
    </w:p>
    <w:p>
      <w:pPr>
        <w:spacing w:line="360" w:lineRule="auto"/>
        <w:ind w:firstLine="600" w:firstLineChars="200"/>
        <w:rPr>
          <w:rFonts w:hint="default" w:ascii="Times New Roman" w:hAnsi="Times New Roman" w:cs="Times New Roman"/>
        </w:rPr>
      </w:pPr>
      <w:r>
        <w:rPr>
          <w:rFonts w:hint="default" w:ascii="Times New Roman" w:hAnsi="Times New Roman" w:cs="Times New Roman"/>
        </w:rPr>
        <w:t>1</w:t>
      </w:r>
      <w:r>
        <w:rPr>
          <w:rFonts w:hint="default" w:ascii="Times New Roman" w:hAnsi="Times New Roman" w:cs="Times New Roman"/>
          <w:lang w:eastAsia="zh-CN"/>
        </w:rPr>
        <w:t>、</w:t>
      </w:r>
      <w:r>
        <w:rPr>
          <w:rFonts w:hint="default" w:ascii="Times New Roman" w:hAnsi="Times New Roman" w:cs="Times New Roman"/>
        </w:rPr>
        <w:t>项目背景</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根据《自治区全民健康体检工作实施方案》结合本单位职责， 积极开展主要用于对全镇居民健康问题实施干预措施，减少主要健康危险因素，使城乡居民逐步享有均等化的健康体检服务，全面掌握城乡居民健康状况，分析影响城乡居民健康的主要因素，制定科学准确的疾病谱，建立完备、适用的城乡居民健康档案，对危害群众健康的各类疾病做到“早发现、早诊断、早预防、早治疗”使得城乡居民健康水平得到进一步提高。</w:t>
      </w:r>
    </w:p>
    <w:p>
      <w:pPr>
        <w:spacing w:line="360" w:lineRule="auto"/>
        <w:ind w:firstLine="600" w:firstLineChars="200"/>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rPr>
        <w:t>主要内容及实施情况</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主要内容：0-6岁(含6岁)儿童体检项目。7岁以上(含7岁)在校学生体检项目。15岁(含15岁)至64岁城乡居民、机关企事业单位人员(含退休人员)体检项目。个性化体检项目（包括15-64岁城乡居民在问诊环节中疑有慢性病、重大疾病、传染病等疾病的，按照个性化体检项目流程执行。</w:t>
      </w:r>
    </w:p>
    <w:p>
      <w:pPr>
        <w:spacing w:line="360" w:lineRule="auto"/>
        <w:ind w:firstLine="600" w:firstLineChars="200"/>
        <w:rPr>
          <w:rFonts w:hint="default" w:ascii="Times New Roman" w:hAnsi="Times New Roman" w:cs="Times New Roman"/>
        </w:rPr>
      </w:pPr>
      <w:r>
        <w:rPr>
          <w:rFonts w:hint="default" w:ascii="Times New Roman" w:hAnsi="Times New Roman" w:cs="Times New Roman"/>
          <w:lang w:val="en-US" w:eastAsia="zh-CN"/>
        </w:rPr>
        <w:t>实施情况：抓好我镇的全民健康体检工作，切实采取有效措施，认真总结工作经验，结合我卫生院实际，研究和探索全民健康体检的新方法、新措施、新路子，提高农民健康保障水平，完成9283名居民体检工作，完成率为100%。其中0-6岁儿童769人，15-64岁6760人，65-79岁1490人，80岁以上222人,公职人员42人。</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3、资金投入和使用情况</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（1）资金投入情况：该项目年初预算数0万元，全年预算数</w:t>
      </w:r>
      <w:r>
        <w:rPr>
          <w:rFonts w:hint="eastAsia" w:cs="Times New Roman"/>
          <w:lang w:val="en-US" w:eastAsia="zh-CN"/>
        </w:rPr>
        <w:t>10.68</w:t>
      </w:r>
      <w:r>
        <w:rPr>
          <w:rFonts w:hint="default" w:ascii="Times New Roman" w:hAnsi="Times New Roman" w:cs="Times New Roman"/>
          <w:lang w:val="en-US" w:eastAsia="zh-CN"/>
        </w:rPr>
        <w:t>万元，实际总投入</w:t>
      </w:r>
      <w:r>
        <w:rPr>
          <w:rFonts w:hint="eastAsia" w:cs="Times New Roman"/>
          <w:lang w:val="en-US" w:eastAsia="zh-CN"/>
        </w:rPr>
        <w:t>10.68</w:t>
      </w:r>
      <w:r>
        <w:rPr>
          <w:rFonts w:hint="default" w:ascii="Times New Roman" w:hAnsi="Times New Roman" w:cs="Times New Roman"/>
          <w:lang w:val="en-US" w:eastAsia="zh-CN"/>
        </w:rPr>
        <w:t>万元，该项目资金已全部落实到位，资金来源为自治区专项资金。</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（2）资金使用情况：该项目年初预算数0万元，全年预算数</w:t>
      </w:r>
      <w:r>
        <w:rPr>
          <w:rFonts w:hint="eastAsia" w:cs="Times New Roman"/>
          <w:lang w:val="en-US" w:eastAsia="zh-CN"/>
        </w:rPr>
        <w:t>10.68</w:t>
      </w:r>
      <w:r>
        <w:rPr>
          <w:rFonts w:hint="default" w:ascii="Times New Roman" w:hAnsi="Times New Roman" w:cs="Times New Roman"/>
          <w:lang w:val="en-US" w:eastAsia="zh-CN"/>
        </w:rPr>
        <w:t xml:space="preserve">万元，全年执行数 </w:t>
      </w:r>
      <w:r>
        <w:rPr>
          <w:rFonts w:hint="eastAsia" w:cs="Times New Roman"/>
          <w:lang w:val="en-US" w:eastAsia="zh-CN"/>
        </w:rPr>
        <w:t>10.68</w:t>
      </w:r>
      <w:r>
        <w:rPr>
          <w:rFonts w:hint="default" w:ascii="Times New Roman" w:hAnsi="Times New Roman" w:cs="Times New Roman"/>
          <w:lang w:val="en-US" w:eastAsia="zh-CN"/>
        </w:rPr>
        <w:t>万元，预算执行率为100%，用于：全民健康体检资金执行金额</w:t>
      </w:r>
      <w:r>
        <w:rPr>
          <w:rFonts w:hint="eastAsia" w:cs="Times New Roman"/>
          <w:lang w:val="en-US" w:eastAsia="zh-CN"/>
        </w:rPr>
        <w:t>10.68</w:t>
      </w:r>
      <w:r>
        <w:rPr>
          <w:rFonts w:hint="default" w:ascii="Times New Roman" w:hAnsi="Times New Roman" w:cs="Times New Roman"/>
          <w:lang w:val="en-US" w:eastAsia="zh-CN"/>
        </w:rPr>
        <w:t>万元。</w:t>
      </w:r>
    </w:p>
    <w:p>
      <w:pPr>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b w:val="0"/>
          <w:bCs w:val="0"/>
          <w:sz w:val="32"/>
          <w:szCs w:val="28"/>
          <w:lang w:eastAsia="zh-CN"/>
        </w:rPr>
      </w:pPr>
      <w:bookmarkStart w:id="2" w:name="_Toc68703829"/>
      <w:r>
        <w:rPr>
          <w:rFonts w:hint="default" w:ascii="Times New Roman" w:hAnsi="Times New Roman" w:eastAsia="仿宋_GB2312" w:cs="Times New Roman"/>
          <w:b w:val="0"/>
          <w:bCs w:val="0"/>
          <w:sz w:val="32"/>
          <w:szCs w:val="28"/>
        </w:rPr>
        <w:t>（</w:t>
      </w:r>
      <w:r>
        <w:rPr>
          <w:rFonts w:hint="default" w:ascii="Times New Roman" w:hAnsi="Times New Roman" w:cs="Times New Roman"/>
          <w:b w:val="0"/>
          <w:bCs w:val="0"/>
          <w:sz w:val="32"/>
          <w:szCs w:val="28"/>
          <w:lang w:val="en-US" w:eastAsia="zh-CN"/>
        </w:rPr>
        <w:t>二</w:t>
      </w:r>
      <w:r>
        <w:rPr>
          <w:rFonts w:hint="default" w:ascii="Times New Roman" w:hAnsi="Times New Roman" w:eastAsia="仿宋_GB2312" w:cs="Times New Roman"/>
          <w:b w:val="0"/>
          <w:bCs w:val="0"/>
          <w:sz w:val="32"/>
          <w:szCs w:val="28"/>
        </w:rPr>
        <w:t>）项目绩效目标</w:t>
      </w:r>
      <w:bookmarkEnd w:id="2"/>
      <w:r>
        <w:rPr>
          <w:rFonts w:hint="default" w:ascii="Times New Roman" w:hAnsi="Times New Roman" w:eastAsia="仿宋_GB2312" w:cs="Times New Roman"/>
          <w:b w:val="0"/>
          <w:bCs w:val="0"/>
          <w:sz w:val="32"/>
          <w:szCs w:val="28"/>
          <w:lang w:eastAsia="zh-CN"/>
        </w:rPr>
        <w:t>。</w:t>
      </w:r>
    </w:p>
    <w:p>
      <w:pPr>
        <w:spacing w:line="360" w:lineRule="auto"/>
        <w:ind w:firstLine="600" w:firstLineChars="200"/>
        <w:rPr>
          <w:rFonts w:hint="default" w:ascii="Times New Roman" w:hAnsi="Times New Roman" w:cs="Times New Roman"/>
        </w:rPr>
      </w:pPr>
      <w:r>
        <w:rPr>
          <w:rFonts w:hint="default" w:ascii="Times New Roman" w:hAnsi="Times New Roman" w:cs="Times New Roman"/>
        </w:rPr>
        <w:t>1、总体目标：</w:t>
      </w:r>
      <w:r>
        <w:rPr>
          <w:rFonts w:hint="default" w:ascii="Times New Roman" w:hAnsi="Times New Roman" w:cs="Times New Roman"/>
          <w:lang w:val="en-US" w:eastAsia="zh-CN"/>
        </w:rPr>
        <w:t>做好本辖区</w:t>
      </w:r>
      <w:r>
        <w:rPr>
          <w:rFonts w:hint="eastAsia" w:cs="Times New Roman"/>
          <w:lang w:val="en-US" w:eastAsia="zh-CN"/>
        </w:rPr>
        <w:t>9283</w:t>
      </w:r>
      <w:r>
        <w:rPr>
          <w:rFonts w:hint="default" w:ascii="Times New Roman" w:hAnsi="Times New Roman" w:cs="Times New Roman"/>
          <w:lang w:val="en-US" w:eastAsia="zh-CN"/>
        </w:rPr>
        <w:t>名居民健康体检工作，提高全民健康体检及时率，提升全民健康体检覆盖率，提高全民健康水平。</w:t>
      </w:r>
    </w:p>
    <w:p>
      <w:pPr>
        <w:spacing w:line="360" w:lineRule="auto"/>
        <w:ind w:firstLine="600" w:firstLineChars="200"/>
        <w:rPr>
          <w:rFonts w:hint="default" w:ascii="Times New Roman" w:hAnsi="Times New Roman" w:cs="Times New Roman"/>
        </w:rPr>
      </w:pPr>
      <w:r>
        <w:rPr>
          <w:rFonts w:hint="default" w:ascii="Times New Roman" w:hAnsi="Times New Roman" w:cs="Times New Roman"/>
        </w:rPr>
        <w:t>2、阶段性目标：</w:t>
      </w:r>
    </w:p>
    <w:p>
      <w:pPr>
        <w:spacing w:line="360" w:lineRule="auto"/>
        <w:ind w:firstLine="600" w:firstLineChars="200"/>
        <w:rPr>
          <w:rFonts w:hint="default" w:ascii="Times New Roman" w:hAnsi="Times New Roman" w:cs="Times New Roman"/>
          <w:lang w:eastAsia="zh-CN"/>
        </w:rPr>
      </w:pPr>
      <w:r>
        <w:rPr>
          <w:rFonts w:hint="default" w:ascii="Times New Roman" w:hAnsi="Times New Roman" w:cs="Times New Roman"/>
          <w:lang w:eastAsia="zh-CN"/>
        </w:rPr>
        <w:t>第一季度</w:t>
      </w:r>
      <w:r>
        <w:rPr>
          <w:rFonts w:hint="default" w:ascii="Times New Roman" w:hAnsi="Times New Roman" w:cs="Times New Roman"/>
        </w:rPr>
        <w:t>按照《国家基本公共卫生服务规范(第三版)》中0-6岁(含6岁)儿童健康管理服</w:t>
      </w:r>
      <w:r>
        <w:rPr>
          <w:rFonts w:hint="default" w:ascii="Times New Roman" w:hAnsi="Times New Roman" w:cs="Times New Roman"/>
          <w:lang w:eastAsia="zh-CN"/>
        </w:rPr>
        <w:t>务规范内容以及</w:t>
      </w:r>
      <w:r>
        <w:rPr>
          <w:rFonts w:hint="default" w:ascii="Times New Roman" w:hAnsi="Times New Roman" w:cs="Times New Roman"/>
        </w:rPr>
        <w:t>《自治区中小学生健康体检管理实施办法》(新教体艺[2014)4号)</w:t>
      </w:r>
      <w:r>
        <w:rPr>
          <w:rFonts w:hint="default" w:ascii="Times New Roman" w:hAnsi="Times New Roman" w:cs="Times New Roman"/>
          <w:lang w:eastAsia="zh-CN"/>
        </w:rPr>
        <w:t>等内容执行</w:t>
      </w:r>
      <w:r>
        <w:rPr>
          <w:rFonts w:hint="default" w:ascii="Times New Roman" w:hAnsi="Times New Roman" w:cs="Times New Roman"/>
          <w:lang w:val="en-US" w:eastAsia="zh-CN"/>
        </w:rPr>
        <w:t>0-6岁儿童体检，</w:t>
      </w:r>
      <w:r>
        <w:rPr>
          <w:rFonts w:hint="default" w:ascii="Times New Roman" w:hAnsi="Times New Roman" w:cs="Times New Roman"/>
        </w:rPr>
        <w:t>7岁以上(含7岁)在校学生体检</w:t>
      </w:r>
      <w:r>
        <w:rPr>
          <w:rFonts w:hint="default" w:ascii="Times New Roman" w:hAnsi="Times New Roman" w:cs="Times New Roman"/>
          <w:lang w:eastAsia="zh-CN"/>
        </w:rPr>
        <w:t>工作。</w:t>
      </w:r>
    </w:p>
    <w:p>
      <w:pPr>
        <w:spacing w:line="360" w:lineRule="auto"/>
        <w:ind w:firstLine="600" w:firstLineChars="200"/>
        <w:rPr>
          <w:rFonts w:hint="eastAsia" w:cs="Times New Roman"/>
          <w:lang w:val="en-US" w:eastAsia="zh-CN"/>
        </w:rPr>
      </w:pPr>
      <w:r>
        <w:rPr>
          <w:rFonts w:hint="default" w:ascii="Times New Roman" w:hAnsi="Times New Roman" w:cs="Times New Roman"/>
          <w:lang w:eastAsia="zh-CN"/>
        </w:rPr>
        <w:t>第二季度</w:t>
      </w:r>
      <w:r>
        <w:rPr>
          <w:rFonts w:hint="default" w:ascii="Times New Roman" w:hAnsi="Times New Roman" w:cs="Times New Roman"/>
        </w:rPr>
        <w:t>按照《国家基本公共卫生服务规范(第三版)》要求</w:t>
      </w:r>
      <w:r>
        <w:rPr>
          <w:rFonts w:hint="default" w:ascii="Times New Roman" w:hAnsi="Times New Roman" w:cs="Times New Roman"/>
          <w:lang w:eastAsia="zh-CN"/>
        </w:rPr>
        <w:t>开展主要针对重点人群的</w:t>
      </w:r>
      <w:r>
        <w:rPr>
          <w:rFonts w:hint="default" w:ascii="Times New Roman" w:hAnsi="Times New Roman" w:cs="Times New Roman"/>
        </w:rPr>
        <w:t>个性化体检</w:t>
      </w:r>
      <w:r>
        <w:rPr>
          <w:rFonts w:hint="default" w:ascii="Times New Roman" w:hAnsi="Times New Roman" w:cs="Times New Roman"/>
          <w:lang w:eastAsia="zh-CN"/>
        </w:rPr>
        <w:t>工作，主要人群包括精神病患者，高血压糖尿病患者等慢性病以及结核病患者，</w:t>
      </w:r>
      <w:r>
        <w:rPr>
          <w:rFonts w:hint="default" w:ascii="Times New Roman" w:hAnsi="Times New Roman" w:cs="Times New Roman"/>
          <w:lang w:val="en-US" w:eastAsia="zh-CN"/>
        </w:rPr>
        <w:t>65岁及以上老年人</w:t>
      </w:r>
      <w:r>
        <w:rPr>
          <w:rFonts w:hint="default" w:ascii="Times New Roman" w:hAnsi="Times New Roman" w:cs="Times New Roman"/>
        </w:rPr>
        <w:t>。</w:t>
      </w:r>
      <w:r>
        <w:rPr>
          <w:rFonts w:hint="eastAsia" w:cs="Times New Roman"/>
          <w:lang w:val="en-US" w:eastAsia="zh-CN"/>
        </w:rPr>
        <w:t xml:space="preserve">   </w:t>
      </w:r>
    </w:p>
    <w:p>
      <w:pPr>
        <w:spacing w:line="360" w:lineRule="auto"/>
        <w:ind w:firstLine="600" w:firstLineChars="200"/>
        <w:rPr>
          <w:rFonts w:hint="default" w:ascii="Times New Roman" w:hAnsi="Times New Roman" w:cs="Times New Roman"/>
        </w:rPr>
      </w:pPr>
      <w:r>
        <w:rPr>
          <w:rFonts w:hint="default" w:ascii="Times New Roman" w:hAnsi="Times New Roman" w:cs="Times New Roman"/>
          <w:lang w:eastAsia="zh-CN"/>
        </w:rPr>
        <w:t>第三季度</w:t>
      </w:r>
      <w:r>
        <w:rPr>
          <w:rFonts w:hint="default" w:ascii="Times New Roman" w:hAnsi="Times New Roman" w:cs="Times New Roman"/>
        </w:rPr>
        <w:t>按照《国家基本公共卫生服务规范(第三版)》《关于进一步明确自治区全民健康体检工程体检项目的通知》(新卫办基层卫生发(2016)3号)内容执行15岁(含15岁)至64岁城乡居民、机关企事业单位人员(含退休人员)体检项目。</w:t>
      </w:r>
    </w:p>
    <w:p>
      <w:pPr>
        <w:pStyle w:val="3"/>
        <w:spacing w:line="360" w:lineRule="auto"/>
        <w:ind w:firstLine="643" w:firstLineChars="200"/>
        <w:rPr>
          <w:rFonts w:hint="default" w:ascii="Times New Roman" w:hAnsi="Times New Roman" w:eastAsia="宋体" w:cs="Times New Roman"/>
          <w:sz w:val="32"/>
          <w:szCs w:val="32"/>
        </w:rPr>
      </w:pPr>
      <w:bookmarkStart w:id="3" w:name="_Toc68703830"/>
      <w:r>
        <w:rPr>
          <w:rFonts w:hint="default" w:ascii="Times New Roman" w:hAnsi="Times New Roman" w:eastAsia="宋体" w:cs="Times New Roman"/>
          <w:sz w:val="32"/>
          <w:szCs w:val="32"/>
        </w:rPr>
        <w:t>二、绩效评价工作开展情况</w:t>
      </w:r>
      <w:bookmarkEnd w:id="3"/>
    </w:p>
    <w:p>
      <w:pPr>
        <w:pStyle w:val="4"/>
        <w:spacing w:line="360" w:lineRule="auto"/>
        <w:ind w:firstLine="640" w:firstLineChars="200"/>
        <w:rPr>
          <w:rFonts w:hint="default" w:ascii="Times New Roman" w:hAnsi="Times New Roman" w:eastAsia="仿宋_GB2312" w:cs="Times New Roman"/>
          <w:b w:val="0"/>
          <w:bCs w:val="0"/>
        </w:rPr>
      </w:pPr>
      <w:bookmarkStart w:id="4" w:name="_Toc68703831"/>
      <w:r>
        <w:rPr>
          <w:rFonts w:hint="default" w:ascii="Times New Roman" w:hAnsi="Times New Roman" w:eastAsia="仿宋_GB2312" w:cs="Times New Roman"/>
          <w:b w:val="0"/>
          <w:bCs w:val="0"/>
        </w:rPr>
        <w:t>（一）绩效评价目的、对象和范围。</w:t>
      </w:r>
      <w:bookmarkEnd w:id="4"/>
    </w:p>
    <w:p>
      <w:pPr>
        <w:spacing w:line="360" w:lineRule="auto"/>
        <w:ind w:firstLine="600" w:firstLineChars="200"/>
        <w:rPr>
          <w:rFonts w:hint="default" w:ascii="Times New Roman" w:hAnsi="Times New Roman" w:cs="Times New Roman"/>
        </w:rPr>
      </w:pPr>
      <w:r>
        <w:rPr>
          <w:rFonts w:hint="default" w:ascii="Times New Roman" w:hAnsi="Times New Roman" w:cs="Times New Roman"/>
        </w:rPr>
        <w:t>1、绩效评价目的：</w:t>
      </w:r>
    </w:p>
    <w:p>
      <w:pPr>
        <w:spacing w:line="360" w:lineRule="auto"/>
        <w:ind w:firstLine="600" w:firstLineChars="200"/>
        <w:rPr>
          <w:rFonts w:hint="default" w:ascii="Times New Roman" w:hAnsi="Times New Roman" w:cs="Times New Roman"/>
        </w:rPr>
      </w:pPr>
      <w:r>
        <w:rPr>
          <w:rFonts w:hint="default" w:ascii="Times New Roman" w:hAnsi="Times New Roman" w:cs="Times New Roman"/>
        </w:rPr>
        <w:t>通过绩效评价，客观地评判项目的管理绩效，了解和掌握</w:t>
      </w:r>
      <w:r>
        <w:rPr>
          <w:rFonts w:hint="default" w:ascii="Times New Roman" w:hAnsi="Times New Roman" w:cs="Times New Roman"/>
          <w:lang w:eastAsia="zh-CN"/>
        </w:rPr>
        <w:t>全民健康体检</w:t>
      </w:r>
      <w:r>
        <w:rPr>
          <w:rFonts w:hint="default" w:ascii="Times New Roman" w:hAnsi="Times New Roman" w:cs="Times New Roman"/>
        </w:rPr>
        <w:t>经费的具体情况，评价该项目资金安排的科学性、合理性、规范性和资金的使用成效，及时总结项目管理经验，完善项目管理办法，提高项目管理水平和资金使用效益。促使我</w:t>
      </w:r>
      <w:r>
        <w:rPr>
          <w:rFonts w:hint="default" w:ascii="Times New Roman" w:hAnsi="Times New Roman" w:cs="Times New Roman"/>
          <w:lang w:eastAsia="zh-CN"/>
        </w:rPr>
        <w:t>单位</w:t>
      </w:r>
      <w:r>
        <w:rPr>
          <w:rFonts w:hint="default" w:ascii="Times New Roman" w:hAnsi="Times New Roman" w:cs="Times New Roman"/>
        </w:rPr>
        <w:t>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rPr>
          <w:rFonts w:hint="default" w:ascii="Times New Roman" w:hAnsi="Times New Roman" w:cs="Times New Roman"/>
        </w:rPr>
      </w:pPr>
      <w:r>
        <w:rPr>
          <w:rFonts w:hint="default" w:ascii="Times New Roman" w:hAnsi="Times New Roman" w:cs="Times New Roman"/>
        </w:rPr>
        <w:t>2、绩效评价对象：</w:t>
      </w:r>
    </w:p>
    <w:p>
      <w:pPr>
        <w:spacing w:line="360" w:lineRule="auto"/>
        <w:ind w:firstLine="600" w:firstLineChars="200"/>
        <w:rPr>
          <w:rFonts w:hint="default" w:ascii="Times New Roman" w:hAnsi="Times New Roman" w:cs="Times New Roman"/>
          <w:lang w:eastAsia="zh-CN"/>
        </w:rPr>
      </w:pPr>
      <w:r>
        <w:rPr>
          <w:rFonts w:hint="default" w:ascii="Times New Roman" w:hAnsi="Times New Roman" w:cs="Times New Roman"/>
          <w:lang w:eastAsia="zh-CN"/>
        </w:rPr>
        <w:t>全民健康体检项目</w:t>
      </w:r>
    </w:p>
    <w:p>
      <w:pPr>
        <w:spacing w:line="360" w:lineRule="auto"/>
        <w:ind w:firstLine="600" w:firstLineChars="200"/>
        <w:rPr>
          <w:rFonts w:hint="default" w:ascii="Times New Roman" w:hAnsi="Times New Roman" w:cs="Times New Roman"/>
        </w:rPr>
      </w:pPr>
      <w:r>
        <w:rPr>
          <w:rFonts w:hint="default" w:ascii="Times New Roman" w:hAnsi="Times New Roman" w:cs="Times New Roman"/>
        </w:rPr>
        <w:t>3、绩效评价范围：</w:t>
      </w:r>
    </w:p>
    <w:p>
      <w:pPr>
        <w:spacing w:line="360" w:lineRule="auto"/>
        <w:ind w:firstLine="600" w:firstLineChars="200"/>
        <w:rPr>
          <w:rFonts w:hint="default" w:ascii="Times New Roman" w:hAnsi="Times New Roman" w:cs="Times New Roman"/>
        </w:rPr>
      </w:pPr>
      <w:r>
        <w:rPr>
          <w:rFonts w:hint="default" w:ascii="Times New Roman" w:hAnsi="Times New Roman" w:cs="Times New Roman"/>
        </w:rPr>
        <w:t>本次评价从项目决策（包括绩效目标、决策过程）、项目管理（包括项目资金、项目实施）、项目产出（包括项目产出数量、产出质量、产出时效和产出成本）项目效益四个维度进行</w:t>
      </w:r>
      <w:r>
        <w:rPr>
          <w:rFonts w:hint="default" w:ascii="Times New Roman" w:hAnsi="Times New Roman" w:cs="Times New Roman"/>
          <w:lang w:eastAsia="zh-CN"/>
        </w:rPr>
        <w:t>全民健康体检项目</w:t>
      </w:r>
      <w:r>
        <w:rPr>
          <w:rFonts w:hint="default" w:ascii="Times New Roman" w:hAnsi="Times New Roman" w:cs="Times New Roman"/>
        </w:rPr>
        <w:t>评价，评价核心为专项资金的支出完成情况和效果。</w:t>
      </w:r>
    </w:p>
    <w:p>
      <w:pPr>
        <w:pStyle w:val="4"/>
        <w:spacing w:line="360" w:lineRule="auto"/>
        <w:ind w:firstLine="640" w:firstLineChars="200"/>
        <w:rPr>
          <w:rFonts w:hint="default" w:ascii="Times New Roman" w:hAnsi="Times New Roman" w:eastAsia="仿宋_GB2312" w:cs="Times New Roman"/>
          <w:b w:val="0"/>
          <w:bCs w:val="0"/>
        </w:rPr>
      </w:pPr>
      <w:bookmarkStart w:id="5" w:name="_Toc68703832"/>
      <w:r>
        <w:rPr>
          <w:rFonts w:hint="default" w:ascii="Times New Roman" w:hAnsi="Times New Roman" w:eastAsia="仿宋_GB2312" w:cs="Times New Roman"/>
          <w:b w:val="0"/>
          <w:bCs w:val="0"/>
        </w:rPr>
        <w:t>（二）绩效评价原则、评价指标体系、评价方法、评价标准等。</w:t>
      </w:r>
      <w:bookmarkEnd w:id="5"/>
    </w:p>
    <w:p>
      <w:pPr>
        <w:spacing w:line="360" w:lineRule="auto"/>
        <w:ind w:firstLine="600" w:firstLineChars="200"/>
        <w:rPr>
          <w:rFonts w:hint="default" w:ascii="Times New Roman" w:hAnsi="Times New Roman" w:cs="Times New Roman"/>
        </w:rPr>
      </w:pPr>
      <w:r>
        <w:rPr>
          <w:rFonts w:hint="default" w:ascii="Times New Roman" w:hAnsi="Times New Roman" w:cs="Times New Roman"/>
        </w:rPr>
        <w:t>1、绩效评价原则</w:t>
      </w:r>
    </w:p>
    <w:p>
      <w:pPr>
        <w:spacing w:line="360" w:lineRule="auto"/>
        <w:ind w:firstLine="600" w:firstLineChars="200"/>
        <w:rPr>
          <w:rFonts w:hint="default" w:ascii="Times New Roman" w:hAnsi="Times New Roman" w:cs="Times New Roman"/>
        </w:rPr>
      </w:pPr>
      <w:r>
        <w:rPr>
          <w:rFonts w:hint="default" w:ascii="Times New Roman" w:hAnsi="Times New Roman" w:cs="Times New Roman"/>
        </w:rPr>
        <w:t>（一）科学公正。根据《关于印发自治区全民健康体检工程实施方案(试行)的通知》(新政办明电(2016)303号)精神，结合实际，制定本实施方案。</w:t>
      </w:r>
      <w:r>
        <w:rPr>
          <w:rFonts w:hint="default" w:ascii="Times New Roman" w:hAnsi="Times New Roman" w:cs="Times New Roman"/>
          <w:lang w:val="en-US" w:eastAsia="zh-CN"/>
        </w:rPr>
        <w:t>我单位组织评价小组，对健康体检项目实施情况评价，</w:t>
      </w:r>
      <w:r>
        <w:rPr>
          <w:rFonts w:hint="default" w:ascii="Times New Roman" w:hAnsi="Times New Roman" w:cs="Times New Roman"/>
        </w:rPr>
        <w:t>确保评价过程及结果客观、公正。</w:t>
      </w:r>
    </w:p>
    <w:p>
      <w:pPr>
        <w:spacing w:line="360" w:lineRule="auto"/>
        <w:ind w:firstLine="600" w:firstLineChars="200"/>
        <w:rPr>
          <w:rFonts w:hint="default" w:ascii="Times New Roman" w:hAnsi="Times New Roman" w:cs="Times New Roman"/>
        </w:rPr>
      </w:pPr>
      <w:r>
        <w:rPr>
          <w:rFonts w:hint="default" w:ascii="Times New Roman" w:hAnsi="Times New Roman" w:cs="Times New Roman"/>
        </w:rPr>
        <w:t>（二）统筹兼顾。</w:t>
      </w:r>
      <w:r>
        <w:rPr>
          <w:rFonts w:hint="default" w:ascii="Times New Roman" w:hAnsi="Times New Roman" w:cs="Times New Roman"/>
          <w:lang w:val="en-US" w:eastAsia="zh-CN"/>
        </w:rPr>
        <w:t>我单位组织评价小组，对健康体检项目实施情况评价，部门评价和财政评价在单位自评的基础上开展，职责明确，各有侧重，相互衔接</w:t>
      </w:r>
      <w:r>
        <w:rPr>
          <w:rFonts w:hint="default" w:ascii="Times New Roman" w:hAnsi="Times New Roman" w:cs="Times New Roman"/>
        </w:rPr>
        <w:t>。</w:t>
      </w:r>
    </w:p>
    <w:p>
      <w:pPr>
        <w:spacing w:line="360" w:lineRule="auto"/>
        <w:ind w:firstLine="600" w:firstLineChars="200"/>
        <w:rPr>
          <w:rFonts w:hint="default" w:ascii="Times New Roman" w:hAnsi="Times New Roman" w:cs="Times New Roman"/>
        </w:rPr>
      </w:pPr>
      <w:r>
        <w:rPr>
          <w:rFonts w:hint="default" w:ascii="Times New Roman" w:hAnsi="Times New Roman" w:cs="Times New Roman"/>
        </w:rPr>
        <w:t>（三）激励约束。绩效评价结果应与资金分配挂钩，建立健全评价结果与财政预算资金分配挂钩，并作为改进管理、完善政策的重要依据，向上一年度绩效评价考核优秀的部门倾斜。</w:t>
      </w:r>
    </w:p>
    <w:p>
      <w:pPr>
        <w:spacing w:line="360" w:lineRule="auto"/>
        <w:ind w:firstLine="600" w:firstLineChars="200"/>
        <w:rPr>
          <w:rFonts w:hint="default" w:ascii="Times New Roman" w:hAnsi="Times New Roman" w:cs="Times New Roman"/>
        </w:rPr>
      </w:pPr>
      <w:r>
        <w:rPr>
          <w:rFonts w:hint="default" w:ascii="Times New Roman" w:hAnsi="Times New Roman" w:cs="Times New Roman"/>
        </w:rPr>
        <w:t>（四）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pPr>
        <w:spacing w:line="360" w:lineRule="auto"/>
        <w:ind w:firstLine="600" w:firstLineChars="200"/>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rPr>
        <w:t>、</w:t>
      </w:r>
      <w:r>
        <w:rPr>
          <w:rFonts w:hint="default" w:ascii="Times New Roman" w:hAnsi="Times New Roman" w:cs="Times New Roman"/>
          <w:lang w:eastAsia="zh-CN"/>
        </w:rPr>
        <w:t>绩效</w:t>
      </w:r>
      <w:r>
        <w:rPr>
          <w:rFonts w:hint="default" w:ascii="Times New Roman" w:hAnsi="Times New Roman" w:cs="Times New Roman"/>
        </w:rPr>
        <w:t>评价指标体系</w:t>
      </w:r>
    </w:p>
    <w:p>
      <w:pPr>
        <w:spacing w:line="360" w:lineRule="auto"/>
        <w:ind w:firstLine="600" w:firstLineChars="200"/>
        <w:rPr>
          <w:rFonts w:hint="default" w:ascii="Times New Roman" w:hAnsi="Times New Roman" w:cs="Times New Roman"/>
        </w:rPr>
      </w:pPr>
      <w:r>
        <w:rPr>
          <w:rFonts w:hint="default" w:ascii="Times New Roman" w:hAnsi="Times New Roman" w:cs="Times New Roman"/>
        </w:rPr>
        <w:t>本次绩效评价指标体系主要分为共性指标和个性指标两大类。共性指标下设决策与</w:t>
      </w:r>
      <w:r>
        <w:rPr>
          <w:rFonts w:hint="default" w:ascii="Times New Roman" w:hAnsi="Times New Roman" w:cs="Times New Roman"/>
          <w:highlight w:val="none"/>
        </w:rPr>
        <w:t>过程</w:t>
      </w:r>
      <w:r>
        <w:rPr>
          <w:rFonts w:hint="eastAsia" w:cs="Times New Roman"/>
          <w:highlight w:val="none"/>
          <w:lang w:val="en-US" w:eastAsia="zh-CN"/>
        </w:rPr>
        <w:t>4</w:t>
      </w:r>
      <w:r>
        <w:rPr>
          <w:rFonts w:hint="default" w:ascii="Times New Roman" w:hAnsi="Times New Roman" w:cs="Times New Roman"/>
          <w:highlight w:val="none"/>
        </w:rPr>
        <w:t>个一级指</w:t>
      </w:r>
      <w:r>
        <w:rPr>
          <w:rFonts w:hint="default" w:ascii="Times New Roman" w:hAnsi="Times New Roman" w:cs="Times New Roman"/>
        </w:rPr>
        <w:t>标，其中：项目决策下项目立项、绩效目标、资金投入</w:t>
      </w:r>
      <w:r>
        <w:rPr>
          <w:rFonts w:hint="default" w:ascii="Times New Roman" w:hAnsi="Times New Roman" w:cs="Times New Roman"/>
          <w:lang w:val="en-US" w:eastAsia="zh-CN"/>
        </w:rPr>
        <w:t>3</w:t>
      </w:r>
      <w:r>
        <w:rPr>
          <w:rFonts w:hint="default" w:ascii="Times New Roman" w:hAnsi="Times New Roman" w:cs="Times New Roman"/>
        </w:rPr>
        <w:t>个二级指标；过程下设资金管理和组织实施2个二级指标。个性指标下设产出和效益2个一级指标，其中产出下设产出数量、产出质量、产出时效、产出成本4个2级指标，效益下设项目效益2个二级指标。项目绩效评价指标体系详见下表:</w:t>
      </w:r>
    </w:p>
    <w:p>
      <w:pPr>
        <w:pStyle w:val="4"/>
        <w:spacing w:before="0" w:after="0" w:line="240" w:lineRule="auto"/>
        <w:jc w:val="center"/>
        <w:rPr>
          <w:rFonts w:hint="default" w:ascii="Times New Roman" w:hAnsi="Times New Roman" w:eastAsia="仿宋_GB2312" w:cs="Times New Roman"/>
          <w:b w:val="0"/>
          <w:bCs w:val="0"/>
          <w:sz w:val="30"/>
          <w:szCs w:val="24"/>
        </w:rPr>
      </w:pPr>
      <w:r>
        <w:rPr>
          <w:rFonts w:hint="default" w:ascii="Times New Roman" w:hAnsi="Times New Roman" w:eastAsia="仿宋_GB2312" w:cs="Times New Roman"/>
          <w:b w:val="0"/>
          <w:bCs w:val="0"/>
          <w:sz w:val="30"/>
          <w:szCs w:val="24"/>
          <w:lang w:eastAsia="zh-CN"/>
        </w:rPr>
        <w:t>全民健康体检</w:t>
      </w:r>
      <w:r>
        <w:rPr>
          <w:rFonts w:hint="default" w:ascii="Times New Roman" w:hAnsi="Times New Roman" w:eastAsia="仿宋_GB2312" w:cs="Times New Roman"/>
          <w:b w:val="0"/>
          <w:bCs w:val="0"/>
          <w:sz w:val="30"/>
          <w:szCs w:val="24"/>
        </w:rPr>
        <w:t>项目支出绩效评价指标体系</w:t>
      </w:r>
    </w:p>
    <w:tbl>
      <w:tblPr>
        <w:tblStyle w:val="11"/>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478" w:type="dxa"/>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分值</w:t>
            </w:r>
          </w:p>
        </w:tc>
        <w:tc>
          <w:tcPr>
            <w:tcW w:w="874" w:type="dxa"/>
            <w:shd w:val="clear" w:color="auto" w:fill="FFFFFF"/>
          </w:tcPr>
          <w:p>
            <w:pPr>
              <w:widowControl/>
              <w:spacing w:line="600" w:lineRule="auto"/>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决策</w:t>
            </w:r>
            <w:r>
              <w:rPr>
                <w:rFonts w:hint="default" w:ascii="Times New Roman" w:hAnsi="Times New Roman" w:eastAsia="仿宋" w:cs="Times New Roman"/>
                <w:b w:val="0"/>
                <w:bCs w:val="0"/>
                <w:color w:val="000000"/>
                <w:kern w:val="0"/>
                <w:sz w:val="22"/>
                <w:lang w:val="en-US" w:eastAsia="zh-CN"/>
              </w:rPr>
              <w:t>20分</w:t>
            </w:r>
          </w:p>
        </w:tc>
        <w:tc>
          <w:tcPr>
            <w:tcW w:w="1478"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立项依据</w:t>
            </w:r>
          </w:p>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5</w:t>
            </w:r>
          </w:p>
        </w:tc>
        <w:tc>
          <w:tcPr>
            <w:tcW w:w="874" w:type="dxa"/>
            <w:tcBorders>
              <w:bottom w:val="single" w:color="auto" w:sz="4" w:space="0"/>
            </w:tcBorders>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rPr>
            </w:pPr>
          </w:p>
        </w:tc>
        <w:tc>
          <w:tcPr>
            <w:tcW w:w="1478"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立项程序</w:t>
            </w:r>
          </w:p>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5</w:t>
            </w:r>
          </w:p>
        </w:tc>
        <w:tc>
          <w:tcPr>
            <w:tcW w:w="874" w:type="dxa"/>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rPr>
            </w:pPr>
          </w:p>
        </w:tc>
        <w:tc>
          <w:tcPr>
            <w:tcW w:w="1478"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绩效目标</w:t>
            </w:r>
          </w:p>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2.5</w:t>
            </w:r>
          </w:p>
        </w:tc>
        <w:tc>
          <w:tcPr>
            <w:tcW w:w="874" w:type="dxa"/>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rPr>
            </w:pPr>
          </w:p>
        </w:tc>
        <w:tc>
          <w:tcPr>
            <w:tcW w:w="1478"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绩效指标</w:t>
            </w:r>
          </w:p>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2.5</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rPr>
            </w:pPr>
          </w:p>
        </w:tc>
        <w:tc>
          <w:tcPr>
            <w:tcW w:w="1478"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资金投入</w:t>
            </w:r>
          </w:p>
          <w:p>
            <w:pPr>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预算编制</w:t>
            </w:r>
          </w:p>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pageBreakBefore w:val="0"/>
              <w:tabs>
                <w:tab w:val="left" w:pos="517"/>
              </w:tabs>
              <w:kinsoku/>
              <w:wordWrap/>
              <w:overflowPunct/>
              <w:topLinePunct w:val="0"/>
              <w:autoSpaceDE/>
              <w:autoSpaceDN/>
              <w:bidi w:val="0"/>
              <w:adjustRightInd/>
              <w:snapToGrid/>
              <w:spacing w:line="320" w:lineRule="exact"/>
              <w:jc w:val="left"/>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2.5</w:t>
            </w:r>
          </w:p>
        </w:tc>
        <w:tc>
          <w:tcPr>
            <w:tcW w:w="874" w:type="dxa"/>
            <w:tcBorders>
              <w:bottom w:val="single" w:color="auto" w:sz="4" w:space="0"/>
            </w:tcBorders>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lang w:val="en-US" w:eastAsia="zh-CN"/>
              </w:rPr>
              <w:t>2</w:t>
            </w:r>
            <w:r>
              <w:rPr>
                <w:rFonts w:hint="default" w:ascii="Times New Roman" w:hAnsi="Times New Roman" w:eastAsia="仿宋" w:cs="Times New Roman"/>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rPr>
            </w:pPr>
          </w:p>
        </w:tc>
        <w:tc>
          <w:tcPr>
            <w:tcW w:w="1478"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资金分配</w:t>
            </w:r>
          </w:p>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2.5</w:t>
            </w:r>
          </w:p>
        </w:tc>
        <w:tc>
          <w:tcPr>
            <w:tcW w:w="874" w:type="dxa"/>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过程</w:t>
            </w:r>
            <w:r>
              <w:rPr>
                <w:rFonts w:hint="default" w:ascii="Times New Roman" w:hAnsi="Times New Roman" w:eastAsia="仿宋" w:cs="Times New Roman"/>
                <w:b w:val="0"/>
                <w:bCs w:val="0"/>
                <w:color w:val="000000"/>
                <w:kern w:val="0"/>
                <w:sz w:val="22"/>
                <w:lang w:val="en-US" w:eastAsia="zh-CN"/>
              </w:rPr>
              <w:t>20分</w:t>
            </w:r>
          </w:p>
        </w:tc>
        <w:tc>
          <w:tcPr>
            <w:tcW w:w="1478"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4</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rPr>
            </w:pPr>
          </w:p>
        </w:tc>
        <w:tc>
          <w:tcPr>
            <w:tcW w:w="1478"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4</w:t>
            </w:r>
          </w:p>
        </w:tc>
        <w:tc>
          <w:tcPr>
            <w:tcW w:w="874" w:type="dxa"/>
            <w:tcBorders>
              <w:bottom w:val="single" w:color="auto" w:sz="4" w:space="0"/>
            </w:tcBorders>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rPr>
            </w:pPr>
          </w:p>
        </w:tc>
        <w:tc>
          <w:tcPr>
            <w:tcW w:w="1478" w:type="dxa"/>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资金使用</w:t>
            </w:r>
          </w:p>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4</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rPr>
            </w:pPr>
          </w:p>
        </w:tc>
        <w:tc>
          <w:tcPr>
            <w:tcW w:w="1478"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组织实施</w:t>
            </w:r>
          </w:p>
          <w:p>
            <w:pPr>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管理制度</w:t>
            </w:r>
          </w:p>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4</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rPr>
            </w:pPr>
          </w:p>
        </w:tc>
        <w:tc>
          <w:tcPr>
            <w:tcW w:w="1478"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制度执行</w:t>
            </w:r>
          </w:p>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4</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highlight w:val="none"/>
              </w:rPr>
              <w:t>产出</w:t>
            </w:r>
            <w:r>
              <w:rPr>
                <w:rFonts w:hint="default" w:ascii="Times New Roman" w:hAnsi="Times New Roman" w:cs="Times New Roman"/>
                <w:color w:val="000000"/>
                <w:kern w:val="0"/>
                <w:sz w:val="22"/>
                <w:highlight w:val="none"/>
                <w:lang w:val="en-US" w:eastAsia="zh-CN"/>
              </w:rPr>
              <w:t>4</w:t>
            </w:r>
            <w:r>
              <w:rPr>
                <w:rFonts w:hint="default" w:ascii="Times New Roman" w:hAnsi="Times New Roman" w:eastAsia="仿宋" w:cs="Times New Roman"/>
                <w:b w:val="0"/>
                <w:bCs w:val="0"/>
                <w:color w:val="000000"/>
                <w:kern w:val="0"/>
                <w:sz w:val="22"/>
                <w:highlight w:val="none"/>
                <w:lang w:val="en-US" w:eastAsia="zh-CN"/>
              </w:rPr>
              <w:t>0分</w:t>
            </w:r>
          </w:p>
        </w:tc>
        <w:tc>
          <w:tcPr>
            <w:tcW w:w="1478" w:type="dxa"/>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10</w:t>
            </w:r>
          </w:p>
        </w:tc>
        <w:tc>
          <w:tcPr>
            <w:tcW w:w="874" w:type="dxa"/>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rPr>
            </w:pPr>
          </w:p>
        </w:tc>
        <w:tc>
          <w:tcPr>
            <w:tcW w:w="1478" w:type="dxa"/>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10</w:t>
            </w:r>
          </w:p>
        </w:tc>
        <w:tc>
          <w:tcPr>
            <w:tcW w:w="874" w:type="dxa"/>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hint="default" w:ascii="Times New Roman" w:hAnsi="Times New Roman" w:cs="Times New Roman"/>
                <w:color w:val="000000"/>
                <w:kern w:val="0"/>
                <w:sz w:val="22"/>
              </w:rPr>
            </w:pPr>
          </w:p>
        </w:tc>
        <w:tc>
          <w:tcPr>
            <w:tcW w:w="1478" w:type="dxa"/>
            <w:shd w:val="clear" w:color="auto" w:fill="FFFFFF"/>
            <w:vAlign w:val="center"/>
          </w:tcPr>
          <w:p>
            <w:pPr>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10</w:t>
            </w:r>
          </w:p>
        </w:tc>
        <w:tc>
          <w:tcPr>
            <w:tcW w:w="874" w:type="dxa"/>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rPr>
            </w:pPr>
          </w:p>
        </w:tc>
        <w:tc>
          <w:tcPr>
            <w:tcW w:w="1478" w:type="dxa"/>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10</w:t>
            </w:r>
          </w:p>
        </w:tc>
        <w:tc>
          <w:tcPr>
            <w:tcW w:w="874" w:type="dxa"/>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效益</w:t>
            </w:r>
            <w:r>
              <w:rPr>
                <w:rFonts w:hint="default" w:ascii="Times New Roman" w:hAnsi="Times New Roman" w:eastAsia="仿宋" w:cs="Times New Roman"/>
                <w:b w:val="0"/>
                <w:bCs w:val="0"/>
                <w:color w:val="000000"/>
                <w:kern w:val="0"/>
                <w:sz w:val="22"/>
                <w:lang w:val="en-US" w:eastAsia="zh-CN"/>
              </w:rPr>
              <w:t>20分</w:t>
            </w:r>
            <w:r>
              <w:rPr>
                <w:rFonts w:hint="default" w:ascii="Times New Roman" w:hAnsi="Times New Roman" w:cs="Times New Roman"/>
                <w:color w:val="000000"/>
                <w:kern w:val="0"/>
                <w:sz w:val="22"/>
              </w:rPr>
              <w:t>　</w:t>
            </w:r>
          </w:p>
        </w:tc>
        <w:tc>
          <w:tcPr>
            <w:tcW w:w="1478" w:type="dxa"/>
            <w:vMerge w:val="restart"/>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项目实施所产生的效益。</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15</w:t>
            </w:r>
          </w:p>
        </w:tc>
        <w:tc>
          <w:tcPr>
            <w:tcW w:w="874" w:type="dxa"/>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rPr>
            </w:pPr>
          </w:p>
        </w:tc>
        <w:tc>
          <w:tcPr>
            <w:tcW w:w="1478" w:type="dxa"/>
            <w:vMerge w:val="continue"/>
            <w:shd w:val="clear" w:color="auto" w:fill="FFFFFF"/>
            <w:vAlign w:val="center"/>
          </w:tcPr>
          <w:p>
            <w:pPr>
              <w:widowControl/>
              <w:spacing w:line="0" w:lineRule="atLeast"/>
              <w:jc w:val="center"/>
              <w:rPr>
                <w:rFonts w:hint="default" w:ascii="Times New Roman" w:hAnsi="Times New Roman" w:cs="Times New Roman"/>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color w:val="000000"/>
                <w:kern w:val="0"/>
                <w:sz w:val="22"/>
              </w:rPr>
              <w:t>社会公众或服务对象对项目实施效果的满意程度。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5</w:t>
            </w:r>
          </w:p>
        </w:tc>
        <w:tc>
          <w:tcPr>
            <w:tcW w:w="874" w:type="dxa"/>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 w:cs="Times New Roman"/>
                <w:kern w:val="2"/>
                <w:sz w:val="22"/>
                <w:szCs w:val="22"/>
                <w:lang w:val="en-US" w:eastAsia="zh-CN" w:bidi="ar-SA"/>
              </w:rPr>
            </w:pPr>
            <w:r>
              <w:rPr>
                <w:rFonts w:hint="default" w:ascii="Times New Roman" w:hAnsi="Times New Roman" w:eastAsia="仿宋" w:cs="Times New Roman"/>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hint="default" w:ascii="Times New Roman" w:hAnsi="Times New Roman" w:cs="Times New Roman"/>
                <w:color w:val="000000"/>
                <w:kern w:val="0"/>
                <w:sz w:val="22"/>
              </w:rPr>
            </w:pPr>
            <w:r>
              <w:rPr>
                <w:rFonts w:hint="default" w:ascii="Times New Roman" w:hAnsi="Times New Roman" w:cs="Times New Roman"/>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hint="default" w:ascii="Times New Roman" w:hAnsi="Times New Roman" w:cs="Times New Roman"/>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lang w:val="en-US" w:eastAsia="zh-CN"/>
              </w:rPr>
            </w:pPr>
            <w:r>
              <w:rPr>
                <w:rFonts w:hint="default" w:ascii="Times New Roman" w:hAnsi="Times New Roman" w:cs="Times New Roman"/>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lang w:val="en-US" w:eastAsia="zh-CN"/>
              </w:rPr>
            </w:pPr>
            <w:r>
              <w:rPr>
                <w:rFonts w:hint="default" w:ascii="Times New Roman" w:hAnsi="Times New Roman" w:cs="Times New Roman"/>
                <w:color w:val="000000"/>
                <w:kern w:val="0"/>
                <w:sz w:val="22"/>
                <w:lang w:val="en-US" w:eastAsia="zh-CN"/>
              </w:rPr>
              <w:t>100</w:t>
            </w:r>
          </w:p>
        </w:tc>
      </w:tr>
    </w:tbl>
    <w:p>
      <w:pPr>
        <w:rPr>
          <w:rFonts w:hint="default" w:ascii="Times New Roman" w:hAnsi="Times New Roman" w:cs="Times New Roman"/>
        </w:rPr>
        <w:sectPr>
          <w:pgSz w:w="11906" w:h="16838"/>
          <w:pgMar w:top="1928" w:right="1531" w:bottom="1701" w:left="1531" w:header="737" w:footer="851" w:gutter="0"/>
          <w:cols w:space="720" w:num="1"/>
          <w:docGrid w:type="lines" w:linePitch="408" w:charSpace="0"/>
        </w:sectPr>
      </w:pPr>
    </w:p>
    <w:p>
      <w:pPr>
        <w:spacing w:line="360" w:lineRule="auto"/>
        <w:ind w:firstLine="600" w:firstLineChars="200"/>
        <w:rPr>
          <w:rFonts w:hint="default" w:ascii="Times New Roman" w:hAnsi="Times New Roman" w:cs="Times New Roman"/>
        </w:rPr>
      </w:pPr>
      <w:r>
        <w:rPr>
          <w:rFonts w:hint="default" w:ascii="Times New Roman" w:hAnsi="Times New Roman" w:cs="Times New Roman"/>
        </w:rPr>
        <w:t>3、评价方法</w:t>
      </w:r>
    </w:p>
    <w:p>
      <w:pPr>
        <w:spacing w:line="360" w:lineRule="auto"/>
        <w:ind w:firstLine="600" w:firstLineChars="200"/>
        <w:rPr>
          <w:rFonts w:hint="default" w:ascii="Times New Roman" w:hAnsi="Times New Roman" w:cs="Times New Roman"/>
        </w:rPr>
      </w:pPr>
      <w:r>
        <w:rPr>
          <w:rFonts w:hint="default" w:ascii="Times New Roman" w:hAnsi="Times New Roman" w:cs="Times New Roman"/>
        </w:rPr>
        <w:t>本次</w:t>
      </w:r>
      <w:r>
        <w:rPr>
          <w:rFonts w:hint="default" w:ascii="Times New Roman" w:hAnsi="Times New Roman" w:cs="Times New Roman"/>
          <w:lang w:val="en-US" w:eastAsia="zh-CN"/>
        </w:rPr>
        <w:t>项目</w:t>
      </w:r>
      <w:r>
        <w:rPr>
          <w:rFonts w:hint="default" w:ascii="Times New Roman" w:hAnsi="Times New Roman" w:cs="Times New Roman"/>
        </w:rPr>
        <w:t>支出绩效自评采用因素分析法，原因是：本项目需要考虑内外部因素产生的影响及量化社会效益进行分析评价，因此选择因素分析法能更好的对该项目的资金进行评价。</w:t>
      </w:r>
    </w:p>
    <w:p>
      <w:pPr>
        <w:spacing w:line="360" w:lineRule="auto"/>
        <w:ind w:firstLine="600" w:firstLineChars="200"/>
        <w:rPr>
          <w:rFonts w:hint="default" w:ascii="Times New Roman" w:hAnsi="Times New Roman" w:cs="Times New Roman"/>
        </w:rPr>
      </w:pPr>
      <w:r>
        <w:rPr>
          <w:rFonts w:hint="default" w:ascii="Times New Roman" w:hAnsi="Times New Roman" w:cs="Times New Roman"/>
        </w:rPr>
        <w:t>4、绩效评价标准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Cs/>
          <w:color w:val="000000" w:themeColor="text1"/>
          <w:sz w:val="30"/>
          <w:szCs w:val="30"/>
          <w14:textFill>
            <w14:solidFill>
              <w14:schemeClr w14:val="tx1"/>
            </w14:solidFill>
          </w14:textFill>
        </w:rPr>
      </w:pPr>
      <w:r>
        <w:rPr>
          <w:rFonts w:hint="default" w:ascii="Times New Roman" w:hAnsi="Times New Roman" w:eastAsia="仿宋_GB2312" w:cs="Times New Roman"/>
          <w:bCs/>
          <w:color w:val="000000" w:themeColor="text1"/>
          <w:sz w:val="30"/>
          <w:szCs w:val="30"/>
          <w14:textFill>
            <w14:solidFill>
              <w14:schemeClr w14:val="tx1"/>
            </w14:solidFill>
          </w14:textFill>
        </w:rPr>
        <w:t>本次评价主要采用了计划标准和行业标准。该项目设置年初绩效目标申报表时参照了国家公布的行业指标数据制定的标准。采用行业标准，可提高预算编制和预算额度测算准确率，使评价结果更加科学真实。</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bookmarkStart w:id="6" w:name="_Toc68703833"/>
      <w:r>
        <w:rPr>
          <w:rFonts w:hint="default" w:ascii="Times New Roman" w:hAnsi="Times New Roman" w:eastAsia="仿宋_GB2312" w:cs="Times New Roman"/>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Cs/>
          <w:color w:val="000000" w:themeColor="text1"/>
          <w:sz w:val="30"/>
          <w:szCs w:val="30"/>
          <w14:textFill>
            <w14:solidFill>
              <w14:schemeClr w14:val="tx1"/>
            </w14:solidFill>
          </w14:textFill>
        </w:rPr>
      </w:pPr>
      <w:r>
        <w:rPr>
          <w:rFonts w:hint="default" w:ascii="Times New Roman" w:hAnsi="Times New Roman" w:eastAsia="仿宋_GB2312" w:cs="Times New Roman"/>
          <w:bCs/>
          <w:color w:val="000000" w:themeColor="text1"/>
          <w:sz w:val="30"/>
          <w:szCs w:val="30"/>
          <w:lang w:val="en-US" w:eastAsia="zh-CN"/>
          <w14:textFill>
            <w14:solidFill>
              <w14:schemeClr w14:val="tx1"/>
            </w14:solidFill>
          </w14:textFill>
        </w:rPr>
        <w:t>1.</w:t>
      </w:r>
      <w:r>
        <w:rPr>
          <w:rFonts w:hint="default" w:ascii="Times New Roman" w:hAnsi="Times New Roman" w:eastAsia="仿宋_GB2312" w:cs="Times New Roman"/>
          <w:bCs/>
          <w:color w:val="000000" w:themeColor="text1"/>
          <w:sz w:val="30"/>
          <w:szCs w:val="30"/>
          <w14:textFill>
            <w14:solidFill>
              <w14:schemeClr w14:val="tx1"/>
            </w14:solidFill>
          </w14:textFill>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Cs/>
          <w:color w:val="000000" w:themeColor="text1"/>
          <w:sz w:val="30"/>
          <w:szCs w:val="30"/>
          <w14:textFill>
            <w14:solidFill>
              <w14:schemeClr w14:val="tx1"/>
            </w14:solidFill>
          </w14:textFill>
        </w:rPr>
      </w:pPr>
      <w:r>
        <w:rPr>
          <w:rFonts w:hint="default" w:ascii="Times New Roman" w:hAnsi="Times New Roman" w:eastAsia="仿宋_GB2312" w:cs="Times New Roman"/>
          <w:bCs/>
          <w:color w:val="000000" w:themeColor="text1"/>
          <w:sz w:val="30"/>
          <w:szCs w:val="30"/>
          <w:lang w:val="en-US" w:eastAsia="zh-CN"/>
          <w14:textFill>
            <w14:solidFill>
              <w14:schemeClr w14:val="tx1"/>
            </w14:solidFill>
          </w14:textFill>
        </w:rPr>
        <w:t>2.</w:t>
      </w:r>
      <w:r>
        <w:rPr>
          <w:rFonts w:hint="default" w:ascii="Times New Roman" w:hAnsi="Times New Roman" w:eastAsia="仿宋_GB2312" w:cs="Times New Roman"/>
          <w:bCs/>
          <w:color w:val="000000" w:themeColor="text1"/>
          <w:sz w:val="30"/>
          <w:szCs w:val="30"/>
          <w14:textFill>
            <w14:solidFill>
              <w14:schemeClr w14:val="tx1"/>
            </w14:solidFill>
          </w14:textFill>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Cs/>
          <w:color w:val="000000" w:themeColor="text1"/>
          <w:sz w:val="30"/>
          <w:szCs w:val="30"/>
          <w14:textFill>
            <w14:solidFill>
              <w14:schemeClr w14:val="tx1"/>
            </w14:solidFill>
          </w14:textFill>
        </w:rPr>
      </w:pPr>
      <w:r>
        <w:rPr>
          <w:rFonts w:hint="default" w:ascii="Times New Roman" w:hAnsi="Times New Roman" w:eastAsia="仿宋_GB2312" w:cs="Times New Roman"/>
          <w:bCs/>
          <w:color w:val="000000" w:themeColor="text1"/>
          <w:sz w:val="30"/>
          <w:szCs w:val="30"/>
          <w:lang w:val="en-US" w:eastAsia="zh-CN"/>
          <w14:textFill>
            <w14:solidFill>
              <w14:schemeClr w14:val="tx1"/>
            </w14:solidFill>
          </w14:textFill>
        </w:rPr>
        <w:t>3.</w:t>
      </w:r>
      <w:r>
        <w:rPr>
          <w:rFonts w:hint="default" w:ascii="Times New Roman" w:hAnsi="Times New Roman" w:eastAsia="仿宋_GB2312" w:cs="Times New Roman"/>
          <w:bCs/>
          <w:color w:val="000000" w:themeColor="text1"/>
          <w:sz w:val="30"/>
          <w:szCs w:val="30"/>
          <w14:textFill>
            <w14:solidFill>
              <w14:schemeClr w14:val="tx1"/>
            </w14:solidFill>
          </w14:textFill>
        </w:rPr>
        <w:t>分析评价。根据收集梳理的资料围绕项目立项、资金落实、业务管理、财务管理、项目产出、项目效益等内容，对照已确定的绩效评价指标进行详细全面的分析评价，逐项打分并形成绩效评价最终结果。</w:t>
      </w:r>
    </w:p>
    <w:p>
      <w:pPr>
        <w:pStyle w:val="3"/>
        <w:spacing w:line="360" w:lineRule="auto"/>
        <w:ind w:firstLine="643" w:firstLineChars="200"/>
        <w:rPr>
          <w:rFonts w:hint="default" w:ascii="Times New Roman" w:hAnsi="Times New Roman" w:eastAsia="宋体" w:cs="Times New Roman"/>
          <w:sz w:val="32"/>
          <w:szCs w:val="32"/>
        </w:rPr>
      </w:pPr>
      <w:bookmarkStart w:id="7" w:name="_Toc68703834"/>
      <w:r>
        <w:rPr>
          <w:rFonts w:hint="default" w:ascii="Times New Roman" w:hAnsi="Times New Roman" w:eastAsia="宋体" w:cs="Times New Roman"/>
          <w:sz w:val="32"/>
          <w:szCs w:val="32"/>
        </w:rPr>
        <w:t>三、综合评价情况及评价结论</w:t>
      </w:r>
      <w:bookmarkEnd w:id="7"/>
    </w:p>
    <w:p>
      <w:pPr>
        <w:pStyle w:val="4"/>
        <w:spacing w:line="360" w:lineRule="auto"/>
        <w:ind w:firstLine="640" w:firstLineChars="200"/>
        <w:rPr>
          <w:rFonts w:hint="default" w:ascii="Times New Roman" w:hAnsi="Times New Roman" w:eastAsia="仿宋_GB2312" w:cs="Times New Roman"/>
          <w:b w:val="0"/>
          <w:bCs w:val="0"/>
        </w:rPr>
      </w:pPr>
      <w:bookmarkStart w:id="8" w:name="_Toc68703835"/>
      <w:r>
        <w:rPr>
          <w:rFonts w:hint="default" w:ascii="Times New Roman" w:hAnsi="Times New Roman" w:eastAsia="仿宋_GB2312" w:cs="Times New Roman"/>
          <w:b w:val="0"/>
          <w:bCs w:val="0"/>
        </w:rPr>
        <w:t>（一）综合评价情况</w:t>
      </w:r>
      <w:bookmarkEnd w:id="8"/>
    </w:p>
    <w:p>
      <w:pPr>
        <w:spacing w:line="360" w:lineRule="auto"/>
        <w:ind w:firstLine="60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运用由项目组制订评价指标体系及评分标准，通过数据采集、问卷调查，对</w:t>
      </w:r>
      <w:r>
        <w:rPr>
          <w:rFonts w:hint="default" w:ascii="Times New Roman" w:hAnsi="Times New Roman" w:cs="Times New Roman"/>
          <w:color w:val="000000" w:themeColor="text1"/>
          <w:lang w:val="en-US" w:eastAsia="zh-CN"/>
          <w14:textFill>
            <w14:solidFill>
              <w14:schemeClr w14:val="tx1"/>
            </w14:solidFill>
          </w14:textFill>
        </w:rPr>
        <w:t>基本公共卫生项目</w:t>
      </w:r>
      <w:r>
        <w:rPr>
          <w:rFonts w:hint="default" w:ascii="Times New Roman" w:hAnsi="Times New Roman" w:cs="Times New Roman"/>
          <w:color w:val="000000" w:themeColor="text1"/>
          <w14:textFill>
            <w14:solidFill>
              <w14:schemeClr w14:val="tx1"/>
            </w14:solidFill>
          </w14:textFill>
        </w:rPr>
        <w:t>进行客观评价，最终评分结果：总得分为</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分，属于优</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其中：项目决策指标权重为</w:t>
      </w:r>
      <w:r>
        <w:rPr>
          <w:rFonts w:hint="default" w:ascii="Times New Roman" w:hAnsi="Times New Roman" w:cs="Times New Roman"/>
          <w:color w:val="000000" w:themeColor="text1"/>
          <w:lang w:val="en-US" w:eastAsia="zh-CN"/>
          <w14:textFill>
            <w14:solidFill>
              <w14:schemeClr w14:val="tx1"/>
            </w14:solidFill>
          </w14:textFill>
        </w:rPr>
        <w:t>20</w:t>
      </w:r>
      <w:r>
        <w:rPr>
          <w:rFonts w:hint="default" w:ascii="Times New Roman" w:hAnsi="Times New Roman" w:cs="Times New Roman"/>
          <w:color w:val="000000" w:themeColor="text1"/>
          <w14:textFill>
            <w14:solidFill>
              <w14:schemeClr w14:val="tx1"/>
            </w14:solidFill>
          </w14:textFill>
        </w:rPr>
        <w:t>分，得分为</w:t>
      </w:r>
      <w:r>
        <w:rPr>
          <w:rFonts w:hint="default" w:ascii="Times New Roman" w:hAnsi="Times New Roman" w:cs="Times New Roman"/>
          <w:color w:val="000000" w:themeColor="text1"/>
          <w:lang w:val="en-US" w:eastAsia="zh-CN"/>
          <w14:textFill>
            <w14:solidFill>
              <w14:schemeClr w14:val="tx1"/>
            </w14:solidFill>
          </w14:textFill>
        </w:rPr>
        <w:t>20</w:t>
      </w:r>
      <w:r>
        <w:rPr>
          <w:rFonts w:hint="default" w:ascii="Times New Roman" w:hAnsi="Times New Roman" w:cs="Times New Roman"/>
          <w:color w:val="000000" w:themeColor="text1"/>
          <w14:textFill>
            <w14:solidFill>
              <w14:schemeClr w14:val="tx1"/>
            </w14:solidFill>
          </w14:textFill>
        </w:rPr>
        <w:t>分，得分率为</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%；项目</w:t>
      </w:r>
      <w:r>
        <w:rPr>
          <w:rFonts w:hint="default" w:ascii="Times New Roman" w:hAnsi="Times New Roman" w:cs="Times New Roman"/>
          <w:color w:val="000000" w:themeColor="text1"/>
          <w:lang w:eastAsia="zh-CN"/>
          <w14:textFill>
            <w14:solidFill>
              <w14:schemeClr w14:val="tx1"/>
            </w14:solidFill>
          </w14:textFill>
        </w:rPr>
        <w:t>过程</w:t>
      </w:r>
      <w:r>
        <w:rPr>
          <w:rFonts w:hint="default" w:ascii="Times New Roman" w:hAnsi="Times New Roman" w:cs="Times New Roman"/>
          <w:color w:val="000000" w:themeColor="text1"/>
          <w14:textFill>
            <w14:solidFill>
              <w14:schemeClr w14:val="tx1"/>
            </w14:solidFill>
          </w14:textFill>
        </w:rPr>
        <w:t>权重为</w:t>
      </w:r>
      <w:r>
        <w:rPr>
          <w:rFonts w:hint="default" w:ascii="Times New Roman" w:hAnsi="Times New Roman" w:cs="Times New Roman"/>
          <w:color w:val="000000" w:themeColor="text1"/>
          <w:lang w:val="en-US" w:eastAsia="zh-CN"/>
          <w14:textFill>
            <w14:solidFill>
              <w14:schemeClr w14:val="tx1"/>
            </w14:solidFill>
          </w14:textFill>
        </w:rPr>
        <w:t>20</w:t>
      </w:r>
      <w:r>
        <w:rPr>
          <w:rFonts w:hint="default" w:ascii="Times New Roman" w:hAnsi="Times New Roman" w:cs="Times New Roman"/>
          <w:color w:val="000000" w:themeColor="text1"/>
          <w14:textFill>
            <w14:solidFill>
              <w14:schemeClr w14:val="tx1"/>
            </w14:solidFill>
          </w14:textFill>
        </w:rPr>
        <w:t>分，得分为</w:t>
      </w:r>
      <w:r>
        <w:rPr>
          <w:rFonts w:hint="default" w:ascii="Times New Roman" w:hAnsi="Times New Roman" w:cs="Times New Roman"/>
          <w:color w:val="000000" w:themeColor="text1"/>
          <w:lang w:val="en-US" w:eastAsia="zh-CN"/>
          <w14:textFill>
            <w14:solidFill>
              <w14:schemeClr w14:val="tx1"/>
            </w14:solidFill>
          </w14:textFill>
        </w:rPr>
        <w:t>20</w:t>
      </w:r>
      <w:r>
        <w:rPr>
          <w:rFonts w:hint="default" w:ascii="Times New Roman" w:hAnsi="Times New Roman" w:cs="Times New Roman"/>
          <w:color w:val="000000" w:themeColor="text1"/>
          <w14:textFill>
            <w14:solidFill>
              <w14:schemeClr w14:val="tx1"/>
            </w14:solidFill>
          </w14:textFill>
        </w:rPr>
        <w:t>分，得分率为</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%；项目</w:t>
      </w:r>
      <w:r>
        <w:rPr>
          <w:rFonts w:hint="default" w:ascii="Times New Roman" w:hAnsi="Times New Roman" w:cs="Times New Roman"/>
          <w:color w:val="000000" w:themeColor="text1"/>
          <w:lang w:eastAsia="zh-CN"/>
          <w14:textFill>
            <w14:solidFill>
              <w14:schemeClr w14:val="tx1"/>
            </w14:solidFill>
          </w14:textFill>
        </w:rPr>
        <w:t>产出</w:t>
      </w:r>
      <w:r>
        <w:rPr>
          <w:rFonts w:hint="default" w:ascii="Times New Roman" w:hAnsi="Times New Roman" w:cs="Times New Roman"/>
          <w:color w:val="000000" w:themeColor="text1"/>
          <w14:textFill>
            <w14:solidFill>
              <w14:schemeClr w14:val="tx1"/>
            </w14:solidFill>
          </w14:textFill>
        </w:rPr>
        <w:t>权重为</w:t>
      </w:r>
      <w:r>
        <w:rPr>
          <w:rFonts w:hint="default" w:ascii="Times New Roman" w:hAnsi="Times New Roman" w:cs="Times New Roman"/>
          <w:color w:val="000000" w:themeColor="text1"/>
          <w:lang w:val="en-US" w:eastAsia="zh-CN"/>
          <w14:textFill>
            <w14:solidFill>
              <w14:schemeClr w14:val="tx1"/>
            </w14:solidFill>
          </w14:textFill>
        </w:rPr>
        <w:t>20</w:t>
      </w:r>
      <w:r>
        <w:rPr>
          <w:rFonts w:hint="default" w:ascii="Times New Roman" w:hAnsi="Times New Roman" w:cs="Times New Roman"/>
          <w:color w:val="000000" w:themeColor="text1"/>
          <w14:textFill>
            <w14:solidFill>
              <w14:schemeClr w14:val="tx1"/>
            </w14:solidFill>
          </w14:textFill>
        </w:rPr>
        <w:t>分，得分为</w:t>
      </w:r>
      <w:r>
        <w:rPr>
          <w:rFonts w:hint="default" w:ascii="Times New Roman" w:hAnsi="Times New Roman" w:cs="Times New Roman"/>
          <w:color w:val="000000" w:themeColor="text1"/>
          <w:lang w:val="en-US" w:eastAsia="zh-CN"/>
          <w14:textFill>
            <w14:solidFill>
              <w14:schemeClr w14:val="tx1"/>
            </w14:solidFill>
          </w14:textFill>
        </w:rPr>
        <w:t>20</w:t>
      </w:r>
      <w:r>
        <w:rPr>
          <w:rFonts w:hint="default" w:ascii="Times New Roman" w:hAnsi="Times New Roman" w:cs="Times New Roman"/>
          <w:color w:val="000000" w:themeColor="text1"/>
          <w14:textFill>
            <w14:solidFill>
              <w14:schemeClr w14:val="tx1"/>
            </w14:solidFill>
          </w14:textFill>
        </w:rPr>
        <w:t>分，得分率为</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项目</w:t>
      </w:r>
      <w:r>
        <w:rPr>
          <w:rFonts w:hint="default" w:ascii="Times New Roman" w:hAnsi="Times New Roman" w:cs="Times New Roman"/>
          <w:color w:val="000000" w:themeColor="text1"/>
          <w:lang w:eastAsia="zh-CN"/>
          <w14:textFill>
            <w14:solidFill>
              <w14:schemeClr w14:val="tx1"/>
            </w14:solidFill>
          </w14:textFill>
        </w:rPr>
        <w:t>效益</w:t>
      </w:r>
      <w:r>
        <w:rPr>
          <w:rFonts w:hint="default" w:ascii="Times New Roman" w:hAnsi="Times New Roman" w:cs="Times New Roman"/>
          <w:color w:val="000000" w:themeColor="text1"/>
          <w14:textFill>
            <w14:solidFill>
              <w14:schemeClr w14:val="tx1"/>
            </w14:solidFill>
          </w14:textFill>
        </w:rPr>
        <w:t>权重为</w:t>
      </w:r>
      <w:r>
        <w:rPr>
          <w:rFonts w:hint="default" w:ascii="Times New Roman" w:hAnsi="Times New Roman" w:cs="Times New Roman"/>
          <w:color w:val="000000" w:themeColor="text1"/>
          <w:lang w:val="en-US" w:eastAsia="zh-CN"/>
          <w14:textFill>
            <w14:solidFill>
              <w14:schemeClr w14:val="tx1"/>
            </w14:solidFill>
          </w14:textFill>
        </w:rPr>
        <w:t>20</w:t>
      </w:r>
      <w:r>
        <w:rPr>
          <w:rFonts w:hint="default" w:ascii="Times New Roman" w:hAnsi="Times New Roman" w:cs="Times New Roman"/>
          <w:color w:val="000000" w:themeColor="text1"/>
          <w14:textFill>
            <w14:solidFill>
              <w14:schemeClr w14:val="tx1"/>
            </w14:solidFill>
          </w14:textFill>
        </w:rPr>
        <w:t>分，得分为</w:t>
      </w:r>
      <w:r>
        <w:rPr>
          <w:rFonts w:hint="default" w:ascii="Times New Roman" w:hAnsi="Times New Roman" w:cs="Times New Roman"/>
          <w:color w:val="000000" w:themeColor="text1"/>
          <w:lang w:val="en-US" w:eastAsia="zh-CN"/>
          <w14:textFill>
            <w14:solidFill>
              <w14:schemeClr w14:val="tx1"/>
            </w14:solidFill>
          </w14:textFill>
        </w:rPr>
        <w:t>20</w:t>
      </w:r>
      <w:r>
        <w:rPr>
          <w:rFonts w:hint="default" w:ascii="Times New Roman" w:hAnsi="Times New Roman" w:cs="Times New Roman"/>
          <w:color w:val="000000" w:themeColor="text1"/>
          <w14:textFill>
            <w14:solidFill>
              <w14:schemeClr w14:val="tx1"/>
            </w14:solidFill>
          </w14:textFill>
        </w:rPr>
        <w:t>分，得分率为</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具体打分情况详见附件2（综合评分表）。</w:t>
      </w:r>
    </w:p>
    <w:p>
      <w:pPr>
        <w:spacing w:line="360" w:lineRule="auto"/>
        <w:ind w:firstLine="600" w:firstLineChars="20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全民健康体检</w:t>
      </w:r>
      <w:r>
        <w:rPr>
          <w:rFonts w:hint="default" w:ascii="Times New Roman" w:hAnsi="Times New Roman" w:cs="Times New Roman"/>
          <w:color w:val="000000" w:themeColor="text1"/>
          <w14:textFill>
            <w14:solidFill>
              <w14:schemeClr w14:val="tx1"/>
            </w14:solidFill>
          </w14:textFill>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default" w:ascii="Times New Roman" w:hAnsi="Times New Roman" w:cs="Times New Roman"/>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default" w:ascii="Times New Roman" w:hAnsi="Times New Roman" w:cs="Times New Roman"/>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default" w:ascii="Times New Roman" w:hAnsi="Times New Roman" w:cs="Times New Roman"/>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default" w:ascii="Times New Roman" w:hAnsi="Times New Roman" w:cs="Times New Roman"/>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kern w:val="2"/>
                <w:sz w:val="22"/>
                <w:szCs w:val="24"/>
                <w:lang w:val="en-US" w:eastAsia="zh-CN" w:bidi="ar-SA"/>
              </w:rPr>
            </w:pPr>
            <w:r>
              <w:rPr>
                <w:rFonts w:hint="default" w:ascii="Times New Roman" w:hAnsi="Times New Roman" w:cs="Times New Roman"/>
                <w:b/>
                <w:bCs/>
                <w:color w:val="000000"/>
                <w:sz w:val="22"/>
                <w:lang w:val="en-US" w:eastAsia="zh-CN"/>
              </w:rPr>
              <w:t>100</w:t>
            </w:r>
          </w:p>
        </w:tc>
      </w:tr>
    </w:tbl>
    <w:p>
      <w:pPr>
        <w:pStyle w:val="4"/>
        <w:spacing w:line="360" w:lineRule="auto"/>
        <w:ind w:firstLine="640" w:firstLineChars="200"/>
        <w:rPr>
          <w:rFonts w:hint="default" w:ascii="Times New Roman" w:hAnsi="Times New Roman" w:eastAsia="仿宋_GB2312" w:cs="Times New Roman"/>
          <w:b w:val="0"/>
          <w:bCs w:val="0"/>
        </w:rPr>
      </w:pPr>
      <w:bookmarkStart w:id="9" w:name="_Toc68703836"/>
      <w:r>
        <w:rPr>
          <w:rFonts w:hint="default" w:ascii="Times New Roman" w:hAnsi="Times New Roman" w:eastAsia="仿宋_GB2312" w:cs="Times New Roman"/>
          <w:b w:val="0"/>
          <w:bCs w:val="0"/>
        </w:rPr>
        <w:t>（二）评价结论</w:t>
      </w:r>
      <w:bookmarkEnd w:id="9"/>
    </w:p>
    <w:p>
      <w:pPr>
        <w:spacing w:line="360" w:lineRule="auto"/>
        <w:ind w:firstLine="600" w:firstLineChars="200"/>
        <w:rPr>
          <w:rFonts w:hint="default" w:ascii="Times New Roman" w:hAnsi="Times New Roman" w:cs="Times New Roman"/>
          <w:color w:val="FF0000"/>
        </w:rPr>
      </w:pPr>
      <w:r>
        <w:rPr>
          <w:rFonts w:hint="default" w:ascii="Times New Roman" w:hAnsi="Times New Roman" w:cs="Times New Roman"/>
          <w:color w:val="000000" w:themeColor="text1"/>
          <w14:textFill>
            <w14:solidFill>
              <w14:schemeClr w14:val="tx1"/>
            </w14:solidFill>
          </w14:textFill>
        </w:rPr>
        <w:t>本项目的项目决策、项目过程、项目产出、项目效益均达到了预期要求，最终得分为100分，项目达成年度指标。</w:t>
      </w:r>
    </w:p>
    <w:p>
      <w:pPr>
        <w:pStyle w:val="3"/>
        <w:spacing w:line="360" w:lineRule="auto"/>
        <w:rPr>
          <w:rFonts w:hint="default" w:ascii="Times New Roman" w:hAnsi="Times New Roman" w:eastAsia="宋体" w:cs="Times New Roman"/>
          <w:sz w:val="32"/>
          <w:szCs w:val="32"/>
        </w:rPr>
      </w:pPr>
      <w:bookmarkStart w:id="10" w:name="_Toc68703837"/>
      <w:r>
        <w:rPr>
          <w:rFonts w:hint="default" w:ascii="Times New Roman" w:hAnsi="Times New Roman" w:eastAsia="宋体" w:cs="Times New Roman"/>
          <w:sz w:val="32"/>
          <w:szCs w:val="32"/>
        </w:rPr>
        <w:t>四、绩效评价指标分析</w:t>
      </w:r>
      <w:bookmarkEnd w:id="10"/>
    </w:p>
    <w:p>
      <w:pPr>
        <w:pStyle w:val="4"/>
        <w:spacing w:line="360" w:lineRule="auto"/>
        <w:rPr>
          <w:rFonts w:hint="default" w:ascii="Times New Roman" w:hAnsi="Times New Roman" w:eastAsia="仿宋_GB2312" w:cs="Times New Roman"/>
          <w:b w:val="0"/>
          <w:bCs w:val="0"/>
          <w:lang w:val="en-US" w:eastAsia="zh-CN"/>
        </w:rPr>
      </w:pPr>
      <w:bookmarkStart w:id="11" w:name="_Toc68703838"/>
      <w:r>
        <w:rPr>
          <w:rFonts w:hint="default" w:ascii="Times New Roman" w:hAnsi="Times New Roman" w:eastAsia="仿宋_GB2312" w:cs="Times New Roman"/>
          <w:b w:val="0"/>
          <w:bCs w:val="0"/>
        </w:rPr>
        <w:t>（一</w:t>
      </w:r>
      <w:r>
        <w:rPr>
          <w:rFonts w:hint="default" w:ascii="Times New Roman" w:hAnsi="Times New Roman" w:eastAsia="仿宋_GB2312" w:cs="Times New Roman"/>
          <w:b w:val="0"/>
          <w:bCs w:val="0"/>
          <w:lang w:val="en-US" w:eastAsia="zh-CN"/>
        </w:rPr>
        <w:t>）项目决策情况</w:t>
      </w:r>
      <w:bookmarkEnd w:id="11"/>
    </w:p>
    <w:p>
      <w:pPr>
        <w:pageBreakBefore w:val="0"/>
        <w:kinsoku/>
        <w:wordWrap/>
        <w:overflowPunct/>
        <w:topLinePunct w:val="0"/>
        <w:autoSpaceDE/>
        <w:autoSpaceDN/>
        <w:bidi w:val="0"/>
        <w:spacing w:line="560" w:lineRule="exact"/>
        <w:ind w:firstLine="600" w:firstLineChars="200"/>
        <w:jc w:val="left"/>
        <w:textAlignment w:val="auto"/>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pPr>
      <w:bookmarkStart w:id="12" w:name="_Toc68703839"/>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项目决策指标从项目立项、绩效目标和资金投入3个方面对项目的立项决策目标完成情况进行考察，项目决策类指标分值20分，实际得分20分，得分率100%。项目决策指标得分情况如表所示。</w:t>
      </w:r>
    </w:p>
    <w:tbl>
      <w:tblPr>
        <w:tblStyle w:val="11"/>
        <w:tblW w:w="8522" w:type="dxa"/>
        <w:tblInd w:w="0" w:type="dxa"/>
        <w:tblLayout w:type="fixed"/>
        <w:tblCellMar>
          <w:top w:w="0" w:type="dxa"/>
          <w:left w:w="108" w:type="dxa"/>
          <w:bottom w:w="0" w:type="dxa"/>
          <w:right w:w="108" w:type="dxa"/>
        </w:tblCellMar>
      </w:tblPr>
      <w:tblGrid>
        <w:gridCol w:w="2517"/>
        <w:gridCol w:w="2269"/>
        <w:gridCol w:w="1986"/>
        <w:gridCol w:w="1750"/>
      </w:tblGrid>
      <w:tr>
        <w:tblPrEx>
          <w:tblCellMar>
            <w:top w:w="0" w:type="dxa"/>
            <w:left w:w="108" w:type="dxa"/>
            <w:bottom w:w="0" w:type="dxa"/>
            <w:right w:w="108" w:type="dxa"/>
          </w:tblCellMar>
        </w:tblPrEx>
        <w:trPr>
          <w:trHeight w:val="480" w:hRule="atLeast"/>
        </w:trPr>
        <w:tc>
          <w:tcPr>
            <w:tcW w:w="8522" w:type="dxa"/>
            <w:gridSpan w:val="4"/>
            <w:tcBorders>
              <w:top w:val="nil"/>
              <w:left w:val="nil"/>
              <w:bottom w:val="single" w:color="auto" w:sz="8" w:space="0"/>
              <w:right w:val="nil"/>
            </w:tcBorders>
            <w:shd w:val="clear" w:color="auto" w:fill="auto"/>
            <w:noWrap/>
            <w:vAlign w:val="center"/>
          </w:tcPr>
          <w:p>
            <w:pPr>
              <w:pageBreakBefore w:val="0"/>
              <w:kinsoku/>
              <w:wordWrap/>
              <w:overflowPunct/>
              <w:topLinePunct w:val="0"/>
              <w:autoSpaceDE/>
              <w:autoSpaceDN/>
              <w:bidi w:val="0"/>
              <w:spacing w:line="560" w:lineRule="exact"/>
              <w:ind w:firstLine="2560" w:firstLineChars="800"/>
              <w:jc w:val="left"/>
              <w:textAlignment w:val="auto"/>
              <w:rPr>
                <w:rFonts w:hint="default" w:ascii="Times New Roman" w:hAnsi="Times New Roman" w:eastAsia="仿宋_GB2312" w:cs="Times New Roman"/>
                <w:color w:val="333333"/>
                <w:sz w:val="32"/>
                <w:szCs w:val="32"/>
              </w:rPr>
            </w:pPr>
            <w:r>
              <w:rPr>
                <w:rFonts w:hint="default" w:ascii="Times New Roman" w:hAnsi="Times New Roman" w:eastAsia="仿宋_GB2312" w:cs="Times New Roman"/>
                <w:color w:val="333333"/>
                <w:sz w:val="32"/>
                <w:szCs w:val="32"/>
              </w:rPr>
              <w:t>项目决策指标得分情况</w:t>
            </w:r>
          </w:p>
        </w:tc>
      </w:tr>
      <w:tr>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000000" w:fill="A6A6A6"/>
            <w:vAlign w:val="center"/>
          </w:tcPr>
          <w:p>
            <w:pPr>
              <w:pageBreakBefore w:val="0"/>
              <w:widowControl/>
              <w:kinsoku/>
              <w:wordWrap/>
              <w:overflowPunct/>
              <w:topLinePunct w:val="0"/>
              <w:autoSpaceDE/>
              <w:autoSpaceDN/>
              <w:bidi w:val="0"/>
              <w:spacing w:line="560" w:lineRule="exact"/>
              <w:ind w:firstLine="602" w:firstLineChars="200"/>
              <w:jc w:val="center"/>
              <w:textAlignment w:val="auto"/>
              <w:rPr>
                <w:rFonts w:hint="default" w:ascii="Times New Roman" w:hAnsi="Times New Roman" w:eastAsia="仿宋_GB2312" w:cs="Times New Roman"/>
                <w:b/>
                <w:bCs/>
                <w:color w:val="000000"/>
                <w:kern w:val="0"/>
                <w:sz w:val="30"/>
                <w:szCs w:val="30"/>
              </w:rPr>
            </w:pPr>
            <w:r>
              <w:rPr>
                <w:rFonts w:hint="default" w:ascii="Times New Roman" w:hAnsi="Times New Roman" w:eastAsia="仿宋_GB2312" w:cs="Times New Roman"/>
                <w:b/>
                <w:bCs/>
                <w:color w:val="000000"/>
                <w:kern w:val="0"/>
                <w:sz w:val="30"/>
                <w:szCs w:val="30"/>
              </w:rPr>
              <w:t>三级指标</w:t>
            </w:r>
          </w:p>
        </w:tc>
        <w:tc>
          <w:tcPr>
            <w:tcW w:w="2269" w:type="dxa"/>
            <w:tcBorders>
              <w:top w:val="nil"/>
              <w:left w:val="nil"/>
              <w:bottom w:val="single" w:color="auto" w:sz="8" w:space="0"/>
              <w:right w:val="single" w:color="auto" w:sz="8" w:space="0"/>
            </w:tcBorders>
            <w:shd w:val="clear" w:color="000000" w:fill="A6A6A6"/>
            <w:vAlign w:val="center"/>
          </w:tcPr>
          <w:p>
            <w:pPr>
              <w:pageBreakBefore w:val="0"/>
              <w:widowControl/>
              <w:kinsoku/>
              <w:wordWrap/>
              <w:overflowPunct/>
              <w:topLinePunct w:val="0"/>
              <w:autoSpaceDE/>
              <w:autoSpaceDN/>
              <w:bidi w:val="0"/>
              <w:spacing w:line="560" w:lineRule="exact"/>
              <w:ind w:firstLine="602" w:firstLineChars="200"/>
              <w:jc w:val="center"/>
              <w:textAlignment w:val="auto"/>
              <w:rPr>
                <w:rFonts w:hint="default" w:ascii="Times New Roman" w:hAnsi="Times New Roman" w:eastAsia="仿宋_GB2312" w:cs="Times New Roman"/>
                <w:b/>
                <w:bCs/>
                <w:color w:val="000000"/>
                <w:kern w:val="0"/>
                <w:sz w:val="30"/>
                <w:szCs w:val="30"/>
              </w:rPr>
            </w:pPr>
            <w:r>
              <w:rPr>
                <w:rFonts w:hint="default" w:ascii="Times New Roman" w:hAnsi="Times New Roman" w:eastAsia="仿宋_GB2312" w:cs="Times New Roman"/>
                <w:b/>
                <w:bCs/>
                <w:color w:val="000000"/>
                <w:kern w:val="0"/>
                <w:sz w:val="30"/>
                <w:szCs w:val="30"/>
              </w:rPr>
              <w:t>权重</w:t>
            </w:r>
          </w:p>
        </w:tc>
        <w:tc>
          <w:tcPr>
            <w:tcW w:w="1986" w:type="dxa"/>
            <w:tcBorders>
              <w:top w:val="nil"/>
              <w:left w:val="nil"/>
              <w:bottom w:val="single" w:color="auto" w:sz="8" w:space="0"/>
              <w:right w:val="single" w:color="auto" w:sz="8" w:space="0"/>
            </w:tcBorders>
            <w:shd w:val="clear" w:color="000000" w:fill="A6A6A6"/>
            <w:vAlign w:val="center"/>
          </w:tcPr>
          <w:p>
            <w:pPr>
              <w:pageBreakBefore w:val="0"/>
              <w:widowControl/>
              <w:kinsoku/>
              <w:wordWrap/>
              <w:overflowPunct/>
              <w:topLinePunct w:val="0"/>
              <w:autoSpaceDE/>
              <w:autoSpaceDN/>
              <w:bidi w:val="0"/>
              <w:spacing w:line="560" w:lineRule="exact"/>
              <w:ind w:firstLine="602" w:firstLineChars="200"/>
              <w:jc w:val="center"/>
              <w:textAlignment w:val="auto"/>
              <w:rPr>
                <w:rFonts w:hint="default" w:ascii="Times New Roman" w:hAnsi="Times New Roman" w:eastAsia="仿宋_GB2312" w:cs="Times New Roman"/>
                <w:b/>
                <w:bCs/>
                <w:color w:val="000000"/>
                <w:kern w:val="0"/>
                <w:sz w:val="30"/>
                <w:szCs w:val="30"/>
              </w:rPr>
            </w:pPr>
            <w:r>
              <w:rPr>
                <w:rFonts w:hint="default" w:ascii="Times New Roman" w:hAnsi="Times New Roman" w:eastAsia="仿宋_GB2312" w:cs="Times New Roman"/>
                <w:b/>
                <w:bCs/>
                <w:color w:val="000000"/>
                <w:kern w:val="0"/>
                <w:sz w:val="30"/>
                <w:szCs w:val="30"/>
              </w:rPr>
              <w:t>得分率</w:t>
            </w:r>
          </w:p>
        </w:tc>
        <w:tc>
          <w:tcPr>
            <w:tcW w:w="1750" w:type="dxa"/>
            <w:tcBorders>
              <w:top w:val="nil"/>
              <w:left w:val="nil"/>
              <w:bottom w:val="single" w:color="auto" w:sz="8" w:space="0"/>
              <w:right w:val="single" w:color="auto" w:sz="8" w:space="0"/>
            </w:tcBorders>
            <w:shd w:val="clear" w:color="000000" w:fill="A6A6A6"/>
            <w:vAlign w:val="center"/>
          </w:tcPr>
          <w:p>
            <w:pPr>
              <w:pageBreakBefore w:val="0"/>
              <w:widowControl/>
              <w:kinsoku/>
              <w:wordWrap/>
              <w:overflowPunct/>
              <w:topLinePunct w:val="0"/>
              <w:autoSpaceDE/>
              <w:autoSpaceDN/>
              <w:bidi w:val="0"/>
              <w:spacing w:line="560" w:lineRule="exact"/>
              <w:ind w:firstLine="602" w:firstLineChars="200"/>
              <w:jc w:val="center"/>
              <w:textAlignment w:val="auto"/>
              <w:rPr>
                <w:rFonts w:hint="default" w:ascii="Times New Roman" w:hAnsi="Times New Roman" w:eastAsia="仿宋_GB2312" w:cs="Times New Roman"/>
                <w:b/>
                <w:bCs/>
                <w:color w:val="000000"/>
                <w:kern w:val="0"/>
                <w:sz w:val="30"/>
                <w:szCs w:val="30"/>
              </w:rPr>
            </w:pPr>
            <w:r>
              <w:rPr>
                <w:rFonts w:hint="default" w:ascii="Times New Roman" w:hAnsi="Times New Roman" w:eastAsia="仿宋_GB2312" w:cs="Times New Roman"/>
                <w:b/>
                <w:bCs/>
                <w:color w:val="000000"/>
                <w:kern w:val="0"/>
                <w:sz w:val="30"/>
                <w:szCs w:val="30"/>
              </w:rPr>
              <w:t>实际得分</w:t>
            </w:r>
          </w:p>
        </w:tc>
      </w:tr>
      <w:tr>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left"/>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rPr>
              <w:t>项目立项</w:t>
            </w:r>
          </w:p>
        </w:tc>
        <w:tc>
          <w:tcPr>
            <w:tcW w:w="2269"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rPr>
              <w:t>10</w:t>
            </w:r>
          </w:p>
        </w:tc>
        <w:tc>
          <w:tcPr>
            <w:tcW w:w="1986"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hint="default" w:ascii="Times New Roman" w:hAnsi="Times New Roman" w:eastAsia="仿宋_GB2312" w:cs="Times New Roman"/>
                <w:color w:val="000000"/>
                <w:kern w:val="0"/>
                <w:sz w:val="30"/>
                <w:szCs w:val="30"/>
                <w:lang w:val="en-US" w:eastAsia="zh-CN"/>
              </w:rPr>
            </w:pPr>
            <w:r>
              <w:rPr>
                <w:rFonts w:hint="default" w:ascii="Times New Roman" w:hAnsi="Times New Roman" w:eastAsia="仿宋_GB2312" w:cs="Times New Roman"/>
                <w:color w:val="000000"/>
                <w:kern w:val="0"/>
                <w:sz w:val="30"/>
                <w:szCs w:val="30"/>
                <w:lang w:val="en-US" w:eastAsia="zh-CN"/>
              </w:rPr>
              <w:t>100%</w:t>
            </w:r>
          </w:p>
        </w:tc>
        <w:tc>
          <w:tcPr>
            <w:tcW w:w="1750"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hint="default" w:ascii="Times New Roman" w:hAnsi="Times New Roman" w:eastAsia="仿宋_GB2312" w:cs="Times New Roman"/>
                <w:color w:val="000000"/>
                <w:kern w:val="0"/>
                <w:sz w:val="30"/>
                <w:szCs w:val="30"/>
                <w:lang w:val="en-US" w:eastAsia="zh-CN"/>
              </w:rPr>
            </w:pPr>
            <w:r>
              <w:rPr>
                <w:rFonts w:hint="default" w:ascii="Times New Roman" w:hAnsi="Times New Roman" w:eastAsia="仿宋_GB2312" w:cs="Times New Roman"/>
                <w:color w:val="000000"/>
                <w:kern w:val="0"/>
                <w:sz w:val="30"/>
                <w:szCs w:val="30"/>
                <w:lang w:val="en-US" w:eastAsia="zh-CN"/>
              </w:rPr>
              <w:t>10</w:t>
            </w:r>
          </w:p>
        </w:tc>
      </w:tr>
      <w:tr>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left"/>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rPr>
              <w:t>绩效目标</w:t>
            </w:r>
          </w:p>
        </w:tc>
        <w:tc>
          <w:tcPr>
            <w:tcW w:w="2269"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rPr>
              <w:t>5</w:t>
            </w:r>
          </w:p>
        </w:tc>
        <w:tc>
          <w:tcPr>
            <w:tcW w:w="1986"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lang w:val="en-US" w:eastAsia="zh-CN"/>
              </w:rPr>
              <w:t>100%</w:t>
            </w:r>
          </w:p>
        </w:tc>
        <w:tc>
          <w:tcPr>
            <w:tcW w:w="1750"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hint="default" w:ascii="Times New Roman" w:hAnsi="Times New Roman" w:eastAsia="仿宋_GB2312" w:cs="Times New Roman"/>
                <w:color w:val="000000"/>
                <w:kern w:val="0"/>
                <w:sz w:val="30"/>
                <w:szCs w:val="30"/>
                <w:lang w:val="en-US" w:eastAsia="zh-CN"/>
              </w:rPr>
            </w:pPr>
            <w:r>
              <w:rPr>
                <w:rFonts w:hint="default" w:ascii="Times New Roman" w:hAnsi="Times New Roman" w:eastAsia="仿宋_GB2312" w:cs="Times New Roman"/>
                <w:color w:val="000000"/>
                <w:kern w:val="0"/>
                <w:sz w:val="30"/>
                <w:szCs w:val="30"/>
                <w:lang w:val="en-US" w:eastAsia="zh-CN"/>
              </w:rPr>
              <w:t>5</w:t>
            </w:r>
          </w:p>
        </w:tc>
      </w:tr>
      <w:tr>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left"/>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rPr>
              <w:t>资金投入</w:t>
            </w:r>
          </w:p>
        </w:tc>
        <w:tc>
          <w:tcPr>
            <w:tcW w:w="2269"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rPr>
              <w:t>5</w:t>
            </w:r>
          </w:p>
        </w:tc>
        <w:tc>
          <w:tcPr>
            <w:tcW w:w="1986"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lang w:val="en-US" w:eastAsia="zh-CN"/>
              </w:rPr>
              <w:t>100%</w:t>
            </w:r>
          </w:p>
        </w:tc>
        <w:tc>
          <w:tcPr>
            <w:tcW w:w="1750"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hint="default" w:ascii="Times New Roman" w:hAnsi="Times New Roman" w:eastAsia="仿宋_GB2312" w:cs="Times New Roman"/>
                <w:color w:val="000000"/>
                <w:kern w:val="0"/>
                <w:sz w:val="30"/>
                <w:szCs w:val="30"/>
                <w:lang w:val="en-US" w:eastAsia="zh-CN"/>
              </w:rPr>
            </w:pPr>
            <w:r>
              <w:rPr>
                <w:rFonts w:hint="default" w:ascii="Times New Roman" w:hAnsi="Times New Roman" w:eastAsia="仿宋_GB2312" w:cs="Times New Roman"/>
                <w:color w:val="000000"/>
                <w:kern w:val="0"/>
                <w:sz w:val="30"/>
                <w:szCs w:val="30"/>
                <w:lang w:val="en-US" w:eastAsia="zh-CN"/>
              </w:rPr>
              <w:t>5</w:t>
            </w:r>
          </w:p>
        </w:tc>
      </w:tr>
      <w:tr>
        <w:tblPrEx>
          <w:tblCellMar>
            <w:top w:w="0" w:type="dxa"/>
            <w:left w:w="108" w:type="dxa"/>
            <w:bottom w:w="0" w:type="dxa"/>
            <w:right w:w="108" w:type="dxa"/>
          </w:tblCellMar>
        </w:tblPrEx>
        <w:trPr>
          <w:trHeight w:val="510" w:hRule="exact"/>
        </w:trPr>
        <w:tc>
          <w:tcPr>
            <w:tcW w:w="2517" w:type="dxa"/>
            <w:tcBorders>
              <w:top w:val="single" w:color="auto" w:sz="8" w:space="0"/>
              <w:left w:val="single" w:color="auto" w:sz="8" w:space="0"/>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hint="default" w:ascii="Times New Roman" w:hAnsi="Times New Roman" w:eastAsia="仿宋_GB2312" w:cs="Times New Roman"/>
                <w:color w:val="000000"/>
                <w:kern w:val="0"/>
                <w:sz w:val="30"/>
                <w:szCs w:val="30"/>
              </w:rPr>
            </w:pPr>
            <w:r>
              <w:rPr>
                <w:rFonts w:hint="default" w:ascii="Times New Roman" w:hAnsi="Times New Roman" w:eastAsia="仿宋_GB2312" w:cs="Times New Roman"/>
                <w:color w:val="000000"/>
                <w:kern w:val="0"/>
                <w:sz w:val="30"/>
                <w:szCs w:val="30"/>
              </w:rPr>
              <w:t>合  计</w:t>
            </w:r>
          </w:p>
        </w:tc>
        <w:tc>
          <w:tcPr>
            <w:tcW w:w="2269" w:type="dxa"/>
            <w:tcBorders>
              <w:top w:val="single" w:color="auto" w:sz="8" w:space="0"/>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2" w:firstLineChars="200"/>
              <w:jc w:val="center"/>
              <w:textAlignment w:val="auto"/>
              <w:rPr>
                <w:rFonts w:hint="default" w:ascii="Times New Roman" w:hAnsi="Times New Roman" w:eastAsia="仿宋_GB2312" w:cs="Times New Roman"/>
                <w:b/>
                <w:color w:val="000000"/>
                <w:kern w:val="0"/>
                <w:sz w:val="30"/>
                <w:szCs w:val="30"/>
              </w:rPr>
            </w:pPr>
            <w:r>
              <w:rPr>
                <w:rFonts w:hint="default" w:ascii="Times New Roman" w:hAnsi="Times New Roman" w:eastAsia="仿宋_GB2312" w:cs="Times New Roman"/>
                <w:b/>
                <w:color w:val="000000"/>
                <w:kern w:val="0"/>
                <w:sz w:val="30"/>
                <w:szCs w:val="30"/>
              </w:rPr>
              <w:t>20</w:t>
            </w:r>
          </w:p>
        </w:tc>
        <w:tc>
          <w:tcPr>
            <w:tcW w:w="1986" w:type="dxa"/>
            <w:tcBorders>
              <w:top w:val="single" w:color="auto" w:sz="8" w:space="0"/>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hint="default" w:ascii="Times New Roman" w:hAnsi="Times New Roman" w:eastAsia="仿宋_GB2312" w:cs="Times New Roman"/>
                <w:color w:val="000000"/>
                <w:kern w:val="0"/>
                <w:sz w:val="30"/>
                <w:szCs w:val="30"/>
                <w:lang w:val="en-US" w:eastAsia="zh-CN"/>
              </w:rPr>
            </w:pPr>
            <w:r>
              <w:rPr>
                <w:rFonts w:hint="default" w:ascii="Times New Roman" w:hAnsi="Times New Roman" w:eastAsia="仿宋_GB2312" w:cs="Times New Roman"/>
                <w:color w:val="000000"/>
                <w:kern w:val="0"/>
                <w:sz w:val="30"/>
                <w:szCs w:val="30"/>
                <w:lang w:val="en-US" w:eastAsia="zh-CN"/>
              </w:rPr>
              <w:t>100%</w:t>
            </w:r>
          </w:p>
        </w:tc>
        <w:tc>
          <w:tcPr>
            <w:tcW w:w="1750" w:type="dxa"/>
            <w:tcBorders>
              <w:top w:val="single" w:color="auto" w:sz="8" w:space="0"/>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hint="default" w:ascii="Times New Roman" w:hAnsi="Times New Roman" w:eastAsia="仿宋_GB2312" w:cs="Times New Roman"/>
                <w:color w:val="000000"/>
                <w:kern w:val="0"/>
                <w:sz w:val="30"/>
                <w:szCs w:val="30"/>
                <w:lang w:val="en-US" w:eastAsia="zh-CN"/>
              </w:rPr>
            </w:pPr>
            <w:r>
              <w:rPr>
                <w:rFonts w:hint="default" w:ascii="Times New Roman" w:hAnsi="Times New Roman" w:eastAsia="仿宋_GB2312" w:cs="Times New Roman"/>
                <w:color w:val="000000"/>
                <w:kern w:val="0"/>
                <w:sz w:val="30"/>
                <w:szCs w:val="30"/>
                <w:lang w:val="en-US" w:eastAsia="zh-CN"/>
              </w:rPr>
              <w:t>20</w:t>
            </w:r>
          </w:p>
        </w:tc>
      </w:tr>
    </w:tbl>
    <w:p>
      <w:pPr>
        <w:pageBreakBefore w:val="0"/>
        <w:kinsoku/>
        <w:wordWrap/>
        <w:overflowPunct/>
        <w:topLinePunct w:val="0"/>
        <w:autoSpaceDE/>
        <w:autoSpaceDN/>
        <w:bidi w:val="0"/>
        <w:spacing w:line="560" w:lineRule="exact"/>
        <w:ind w:firstLine="600" w:firstLineChars="200"/>
        <w:jc w:val="left"/>
        <w:textAlignment w:val="auto"/>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对于“项目立项”，项目的立项符合规划，根据评分标准，实际得分率为100%。实际得分率为100%。</w:t>
      </w:r>
    </w:p>
    <w:p>
      <w:pPr>
        <w:pageBreakBefore w:val="0"/>
        <w:kinsoku/>
        <w:wordWrap/>
        <w:overflowPunct/>
        <w:topLinePunct w:val="0"/>
        <w:autoSpaceDE/>
        <w:autoSpaceDN/>
        <w:bidi w:val="0"/>
        <w:spacing w:line="560" w:lineRule="exact"/>
        <w:ind w:firstLine="600" w:firstLineChars="200"/>
        <w:jc w:val="left"/>
        <w:textAlignment w:val="auto"/>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对于“绩效目标”，项目的立项符合规划，根据评分标准，该指标不扣分。</w:t>
      </w:r>
    </w:p>
    <w:bookmarkEnd w:id="12"/>
    <w:p>
      <w:pPr>
        <w:spacing w:line="360" w:lineRule="auto"/>
        <w:ind w:firstLine="600" w:firstLineChars="200"/>
        <w:rPr>
          <w:rFonts w:hint="default" w:ascii="Times New Roman" w:hAnsi="Times New Roman" w:cs="Times New Roman"/>
        </w:rPr>
      </w:pPr>
      <w:r>
        <w:rPr>
          <w:rFonts w:hint="default" w:ascii="Times New Roman" w:hAnsi="Times New Roman" w:cs="Times New Roman"/>
        </w:rPr>
        <w:t>1、立项依据充分性</w:t>
      </w:r>
    </w:p>
    <w:p>
      <w:pPr>
        <w:spacing w:line="360" w:lineRule="auto"/>
        <w:ind w:firstLine="60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根据《关于印发自治区全民健康体检工程实施方案(试行)的通知》(新政办明电(2016)303号)精神，结合实际</w:t>
      </w:r>
      <w:r>
        <w:rPr>
          <w:rFonts w:hint="default" w:ascii="Times New Roman" w:hAnsi="Times New Roman" w:cs="Times New Roman"/>
          <w:color w:val="000000" w:themeColor="text1"/>
          <w:lang w:val="en-US" w:eastAsia="zh-CN"/>
          <w14:textFill>
            <w14:solidFill>
              <w14:schemeClr w14:val="tx1"/>
            </w14:solidFill>
          </w14:textFill>
        </w:rPr>
        <w:t>， 开展全民健康体检工作得到有效控制，居民健康水平得到进一步提高</w:t>
      </w:r>
      <w:r>
        <w:rPr>
          <w:rFonts w:hint="default" w:ascii="Times New Roman" w:hAnsi="Times New Roman" w:cs="Times New Roman"/>
          <w:color w:val="000000" w:themeColor="text1"/>
          <w14:textFill>
            <w14:solidFill>
              <w14:schemeClr w14:val="tx1"/>
            </w14:solidFill>
          </w14:textFill>
        </w:rPr>
        <w:t>。项目立项符合国家法律法规、国民经济发展规划和相关政策；项目立项符合行业发展规划和政策要求；项目立项与部门职责范围相符，属于部门履职所需；符合中央、地方事权支出责任划分原则；项目与相关部门同类项目</w:t>
      </w:r>
      <w:r>
        <w:rPr>
          <w:rFonts w:hint="default" w:ascii="Times New Roman" w:hAnsi="Times New Roman" w:cs="Times New Roman"/>
          <w:color w:val="000000" w:themeColor="text1"/>
          <w:lang w:eastAsia="zh-CN"/>
          <w14:textFill>
            <w14:solidFill>
              <w14:schemeClr w14:val="tx1"/>
            </w14:solidFill>
          </w14:textFill>
        </w:rPr>
        <w:t>不</w:t>
      </w:r>
      <w:r>
        <w:rPr>
          <w:rFonts w:hint="default" w:ascii="Times New Roman" w:hAnsi="Times New Roman" w:cs="Times New Roman"/>
          <w:color w:val="000000" w:themeColor="text1"/>
          <w14:textFill>
            <w14:solidFill>
              <w14:schemeClr w14:val="tx1"/>
            </w14:solidFill>
          </w14:textFill>
        </w:rPr>
        <w:t>重复。</w:t>
      </w:r>
    </w:p>
    <w:p>
      <w:pPr>
        <w:spacing w:line="360" w:lineRule="auto"/>
        <w:ind w:firstLine="600" w:firstLineChars="200"/>
        <w:rPr>
          <w:rFonts w:hint="default" w:ascii="Times New Roman" w:hAnsi="Times New Roman" w:cs="Times New Roman"/>
        </w:rPr>
      </w:pPr>
      <w:r>
        <w:rPr>
          <w:rFonts w:hint="default" w:ascii="Times New Roman" w:hAnsi="Times New Roman" w:cs="Times New Roman"/>
        </w:rPr>
        <w:t>2、立项程序规范性</w:t>
      </w:r>
    </w:p>
    <w:p>
      <w:pPr>
        <w:spacing w:line="360" w:lineRule="auto"/>
        <w:ind w:firstLine="60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项目按照规定的程序申请设立；</w:t>
      </w:r>
      <w:r>
        <w:rPr>
          <w:rFonts w:hint="default" w:ascii="Times New Roman" w:hAnsi="Times New Roman" w:cs="Times New Roman"/>
          <w:color w:val="000000" w:themeColor="text1"/>
          <w:lang w:val="en-US" w:eastAsia="zh-CN"/>
          <w14:textFill>
            <w14:solidFill>
              <w14:schemeClr w14:val="tx1"/>
            </w14:solidFill>
          </w14:textFill>
        </w:rPr>
        <w:t>预算批复等项目资料符合相关要求，</w:t>
      </w:r>
      <w:r>
        <w:rPr>
          <w:rFonts w:hint="default" w:ascii="Times New Roman" w:hAnsi="Times New Roman" w:cs="Times New Roman"/>
          <w:color w:val="000000" w:themeColor="text1"/>
          <w14:textFill>
            <w14:solidFill>
              <w14:schemeClr w14:val="tx1"/>
            </w14:solidFill>
          </w14:textFill>
        </w:rPr>
        <w:t>事前已经过必要的可行性研究、专家论证、风险评估、绩效评估、集体决策</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3、绩效目标合理性</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2023项目设立了项目绩效目标，与《焉耆县2023年全民健康体检工作实施方案》具有相关性，项目的预期产出效益和效果也均能符合正常的业绩水平，并且与预算确定的项目投资额或资金量相匹配。</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4、绩效指标明确性</w:t>
      </w:r>
    </w:p>
    <w:p>
      <w:pPr>
        <w:spacing w:line="360" w:lineRule="auto"/>
        <w:ind w:firstLine="600" w:firstLineChars="200"/>
        <w:rPr>
          <w:rFonts w:hint="default" w:ascii="Times New Roman" w:hAnsi="Times New Roman" w:cs="Times New Roman"/>
          <w:highlight w:val="none"/>
          <w:lang w:val="en-US" w:eastAsia="zh-CN"/>
        </w:rPr>
      </w:pPr>
      <w:bookmarkStart w:id="13" w:name="_Hlk68699917"/>
      <w:r>
        <w:rPr>
          <w:rFonts w:hint="default" w:ascii="Times New Roman" w:hAnsi="Times New Roman" w:cs="Times New Roman"/>
          <w:highlight w:val="none"/>
          <w:lang w:val="en-US" w:eastAsia="zh-CN"/>
        </w:rPr>
        <w:t>2023年将项目绩效目标细化分解为具体的绩效指标，一级指标共4条，二级指标共6条，三级指标共7条，其中量化指标条数共2条，所有绩效指标均通过清晰、可衡量的指标值予以体现，并且做到了与项目目标任务数或计划数相对应。</w:t>
      </w:r>
      <w:bookmarkEnd w:id="13"/>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5、预算编制科学性</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预算编制经过科学论证，预算内容与项目内容匹配，预算额度测算依据充分，按照标准编制；预算确定的项目投资额或资金量与工作任务相匹配。</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6、资金分配合理性</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预算资金分配依据充分，根据项目设置目标需求，全民健康体检资金</w:t>
      </w:r>
      <w:r>
        <w:rPr>
          <w:rFonts w:hint="eastAsia" w:cs="Times New Roman"/>
          <w:lang w:val="en-US" w:eastAsia="zh-CN"/>
        </w:rPr>
        <w:t>10.68</w:t>
      </w:r>
      <w:r>
        <w:rPr>
          <w:rFonts w:hint="default" w:ascii="Times New Roman" w:hAnsi="Times New Roman" w:cs="Times New Roman"/>
          <w:lang w:val="en-US" w:eastAsia="zh-CN"/>
        </w:rPr>
        <w:t>万元，用于全民健康体检耗材，宣传，人员工资和卫生院体检所需日常开销等经费支出。资金分配额度合理，与项目单位实际相适应。</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（二）项目过程情况。</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1、资金到位率：</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实际到位资金</w:t>
      </w:r>
      <w:r>
        <w:rPr>
          <w:rFonts w:hint="eastAsia" w:cs="Times New Roman"/>
          <w:lang w:val="en-US" w:eastAsia="zh-CN"/>
        </w:rPr>
        <w:t>10.68</w:t>
      </w:r>
      <w:r>
        <w:rPr>
          <w:rFonts w:hint="default" w:ascii="Times New Roman" w:hAnsi="Times New Roman" w:cs="Times New Roman"/>
          <w:lang w:val="en-US" w:eastAsia="zh-CN"/>
        </w:rPr>
        <w:t>万元，预算资金</w:t>
      </w:r>
      <w:r>
        <w:rPr>
          <w:rFonts w:hint="eastAsia" w:cs="Times New Roman"/>
          <w:lang w:val="en-US" w:eastAsia="zh-CN"/>
        </w:rPr>
        <w:t>10.68</w:t>
      </w:r>
      <w:r>
        <w:rPr>
          <w:rFonts w:hint="default" w:ascii="Times New Roman" w:hAnsi="Times New Roman" w:cs="Times New Roman"/>
          <w:lang w:val="en-US" w:eastAsia="zh-CN"/>
        </w:rPr>
        <w:t>万元，资金到位率100%</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2、预算执行率</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年初预算数0万元，全年预算数</w:t>
      </w:r>
      <w:r>
        <w:rPr>
          <w:rFonts w:hint="eastAsia" w:cs="Times New Roman"/>
          <w:lang w:val="en-US" w:eastAsia="zh-CN"/>
        </w:rPr>
        <w:t>10.68</w:t>
      </w:r>
      <w:r>
        <w:rPr>
          <w:rFonts w:hint="default" w:ascii="Times New Roman" w:hAnsi="Times New Roman" w:cs="Times New Roman"/>
          <w:lang w:val="en-US" w:eastAsia="zh-CN"/>
        </w:rPr>
        <w:t>万元，全年执行数</w:t>
      </w:r>
      <w:r>
        <w:rPr>
          <w:rFonts w:hint="eastAsia" w:cs="Times New Roman"/>
          <w:lang w:val="en-US" w:eastAsia="zh-CN"/>
        </w:rPr>
        <w:t>10.68</w:t>
      </w:r>
      <w:r>
        <w:rPr>
          <w:rFonts w:hint="default" w:ascii="Times New Roman" w:hAnsi="Times New Roman" w:cs="Times New Roman"/>
          <w:lang w:val="en-US" w:eastAsia="zh-CN"/>
        </w:rPr>
        <w:t>万元，预算执行率为100%。</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3、资金使用合规性</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项目资金符合国家财经法规和财务管理制度以及有关专项资金管理办法的规定；资金的拨付有完整的审批程序和手续；符合项目预算批复或合同规定的用途；不存在截留、挤占、挪用、虚列支出等情况。</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4、管理制度健全性</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项目实施具有相应的财务《中华人民共和国会计法》、《行政事业单位财务规则》、预算管理制度、政府采购管理制度等业务管理制度；财务和业务管理制度合法、合规、完整。</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5、制度执行有效性</w:t>
      </w:r>
    </w:p>
    <w:p>
      <w:pPr>
        <w:spacing w:line="360" w:lineRule="auto"/>
        <w:ind w:firstLine="600" w:firstLineChars="200"/>
        <w:rPr>
          <w:rFonts w:hint="default" w:ascii="Times New Roman" w:hAnsi="Times New Roman" w:eastAsia="仿宋_GB2312" w:cs="Times New Roman"/>
          <w:b w:val="0"/>
          <w:bCs w:val="0"/>
        </w:rPr>
      </w:pPr>
      <w:bookmarkStart w:id="14" w:name="_Toc68703840"/>
      <w:r>
        <w:rPr>
          <w:rFonts w:hint="default" w:ascii="Times New Roman" w:hAnsi="Times New Roman" w:cs="Times New Roman"/>
          <w:lang w:val="en-US" w:eastAsia="zh-CN"/>
        </w:rPr>
        <w:t>项目实施执行过程中遵守相关法律法规和相关管理规定；项目调整及支出调整手续完备；项目合同书、验收报告、技术鉴定等资料齐全并及时归档；项目实施的人员条件、场地设备等落实到位。</w:t>
      </w:r>
      <w:r>
        <w:rPr>
          <w:rFonts w:hint="default" w:ascii="Times New Roman" w:hAnsi="Times New Roman" w:eastAsia="仿宋_GB2312" w:cs="Times New Roman"/>
          <w:b w:val="0"/>
          <w:bCs w:val="0"/>
        </w:rPr>
        <w:t>（三）项目产出情况</w:t>
      </w:r>
      <w:bookmarkEnd w:id="14"/>
      <w:bookmarkStart w:id="15" w:name="_Toc68703841"/>
    </w:p>
    <w:p>
      <w:pPr>
        <w:numPr>
          <w:ilvl w:val="0"/>
          <w:numId w:val="1"/>
        </w:numPr>
        <w:spacing w:line="360" w:lineRule="auto"/>
        <w:ind w:firstLine="600" w:firstLineChars="200"/>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产出数量指标：指标1：全民健康体检人数，指标值：9283人，实际完成值9283人，指标完成率100%；偏差原因：偏差原因：无；根据评分标准，该指标不扣分。</w:t>
      </w:r>
    </w:p>
    <w:p>
      <w:pPr>
        <w:numPr>
          <w:ilvl w:val="0"/>
          <w:numId w:val="0"/>
        </w:numPr>
        <w:spacing w:line="360" w:lineRule="auto"/>
        <w:ind w:firstLine="600" w:firstLineChars="200"/>
        <w:jc w:val="both"/>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指标2：全民健康体检次数，指标值：1次，实际完成值1次 ，指标完成率100%；偏差原因：无；根据评分标准，该指标不扣分。</w:t>
      </w:r>
      <w:r>
        <w:rPr>
          <w:rFonts w:hint="eastAsia" w:cs="Times New Roman"/>
          <w:b w:val="0"/>
          <w:bCs w:val="0"/>
          <w:lang w:val="en-US" w:eastAsia="zh-CN"/>
        </w:rPr>
        <w:t xml:space="preserve">        2</w:t>
      </w:r>
      <w:r>
        <w:rPr>
          <w:rFonts w:hint="default" w:ascii="Times New Roman" w:hAnsi="Times New Roman" w:eastAsia="仿宋_GB2312" w:cs="Times New Roman"/>
          <w:b w:val="0"/>
          <w:bCs w:val="0"/>
        </w:rPr>
        <w:t>、产出质量指标：指标1：全民健康体检覆盖率，指标值：&gt;=100%，实际完成值100% ，指标完成率100%；偏差原因：无；根据评分标准，该指标不扣分。</w:t>
      </w:r>
    </w:p>
    <w:p>
      <w:pPr>
        <w:numPr>
          <w:ilvl w:val="0"/>
          <w:numId w:val="0"/>
        </w:numPr>
        <w:spacing w:line="360" w:lineRule="auto"/>
        <w:ind w:firstLine="600" w:firstLineChars="200"/>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3、产出时效指标：指标1：全民率健康体检及时率，指标值：&gt;=100%，实际完成值100% ，指标完成率100%；偏差原因：无；根据评分标准，该指标不扣分。</w:t>
      </w:r>
    </w:p>
    <w:p>
      <w:pPr>
        <w:numPr>
          <w:ilvl w:val="0"/>
          <w:numId w:val="0"/>
        </w:numPr>
        <w:spacing w:line="360" w:lineRule="auto"/>
        <w:ind w:firstLine="600" w:firstLineChars="200"/>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4、成本指标：指标1：预算控制率，指标值：&lt;=100%，实际完成值100%，指标完成率100%，偏差原因：无；根据评分标准，该指标不扣分。</w:t>
      </w:r>
    </w:p>
    <w:p>
      <w:pPr>
        <w:numPr>
          <w:ilvl w:val="0"/>
          <w:numId w:val="0"/>
        </w:numPr>
        <w:spacing w:line="360" w:lineRule="auto"/>
        <w:ind w:firstLine="600" w:firstLineChars="200"/>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5、效益指标：指标1社会效益指标： 居民健康水平，指标值： 有所提高，指标完成值：达成目标，指标完成率100%，偏差原因：无；根据评分标准，该指标不扣分。</w:t>
      </w:r>
    </w:p>
    <w:p>
      <w:pPr>
        <w:numPr>
          <w:ilvl w:val="0"/>
          <w:numId w:val="0"/>
        </w:numPr>
        <w:spacing w:line="360" w:lineRule="auto"/>
        <w:ind w:firstLine="600" w:firstLineChars="200"/>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6、满意度指标：指标1：全民健康体检居民满意度，指标值：&gt;=95%，指标完成率100%，偏差原因：无；根据评分标准，该指标不扣分。</w:t>
      </w:r>
    </w:p>
    <w:p>
      <w:pPr>
        <w:pStyle w:val="4"/>
        <w:spacing w:line="360" w:lineRule="auto"/>
        <w:ind w:firstLine="640" w:firstLineChars="200"/>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（四）项目效益情况</w:t>
      </w:r>
      <w:bookmarkEnd w:id="15"/>
    </w:p>
    <w:p>
      <w:pPr>
        <w:spacing w:line="360" w:lineRule="auto"/>
        <w:ind w:firstLine="600" w:firstLineChars="200"/>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1、效益指标：指标1社会效益指标： 居民健康水平，指标值： 有所提高，指标完成值：达成目标，指标完成率100%，偏差原因：无；根据评分标准，该指标不扣分。</w:t>
      </w:r>
    </w:p>
    <w:p>
      <w:pPr>
        <w:spacing w:line="360" w:lineRule="auto"/>
        <w:ind w:firstLine="600" w:firstLineChars="200"/>
        <w:rPr>
          <w:rFonts w:hint="default" w:ascii="Times New Roman" w:hAnsi="Times New Roman" w:cs="Times New Roman"/>
          <w:highlight w:val="none"/>
          <w:lang w:val="en-US" w:eastAsia="zh-CN"/>
        </w:rPr>
      </w:pPr>
      <w:r>
        <w:rPr>
          <w:rFonts w:hint="default" w:ascii="Times New Roman" w:hAnsi="Times New Roman" w:cs="Times New Roman"/>
          <w:highlight w:val="none"/>
          <w:lang w:val="en-US" w:eastAsia="zh-CN"/>
        </w:rPr>
        <w:t>2、满意度指标：指标1：全民健康体检居民满意度，指标值：&gt;=95%，指标完成率100%，偏差原因：加大居民健康体检服务工作力度，参与体检群众满意度较高，群众对体检工作满意度提高。根据评分标准，该指标不扣分。</w:t>
      </w:r>
    </w:p>
    <w:p>
      <w:pPr>
        <w:pStyle w:val="3"/>
        <w:spacing w:line="360" w:lineRule="auto"/>
        <w:ind w:firstLine="643" w:firstLineChars="200"/>
        <w:rPr>
          <w:rFonts w:hint="default" w:ascii="Times New Roman" w:hAnsi="Times New Roman" w:eastAsia="宋体" w:cs="Times New Roman"/>
          <w:sz w:val="32"/>
          <w:szCs w:val="32"/>
        </w:rPr>
      </w:pPr>
      <w:bookmarkStart w:id="16" w:name="_Toc68703842"/>
      <w:r>
        <w:rPr>
          <w:rFonts w:hint="default" w:ascii="Times New Roman" w:hAnsi="Times New Roman" w:eastAsia="宋体" w:cs="Times New Roman"/>
          <w:sz w:val="32"/>
          <w:szCs w:val="32"/>
        </w:rPr>
        <w:t>五、主要经验及做法、存在的问题及原因分析</w:t>
      </w:r>
      <w:bookmarkEnd w:id="16"/>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FF0000"/>
        </w:rPr>
      </w:pPr>
      <w:bookmarkStart w:id="17" w:name="_Toc68703843"/>
      <w:r>
        <w:rPr>
          <w:rFonts w:hint="default" w:ascii="Times New Roman" w:hAnsi="Times New Roman" w:eastAsia="仿宋_GB2312" w:cs="Times New Roman"/>
          <w:b w:val="0"/>
          <w:bCs w:val="0"/>
          <w:kern w:val="2"/>
          <w:sz w:val="32"/>
          <w:szCs w:val="32"/>
          <w:lang w:val="en-US" w:eastAsia="zh-CN" w:bidi="ar-SA"/>
        </w:rPr>
        <w:t>（一）主要经验及做法</w:t>
      </w:r>
      <w:bookmarkEnd w:id="17"/>
    </w:p>
    <w:p>
      <w:pPr>
        <w:spacing w:line="360" w:lineRule="auto"/>
        <w:ind w:firstLine="600" w:firstLineChars="200"/>
        <w:rPr>
          <w:rFonts w:hint="default" w:ascii="Times New Roman" w:hAnsi="Times New Roman" w:cs="Times New Roman"/>
          <w:lang w:val="en-US" w:eastAsia="zh-CN"/>
        </w:rPr>
      </w:pPr>
      <w:bookmarkStart w:id="18" w:name="_Toc68703844"/>
      <w:r>
        <w:rPr>
          <w:rFonts w:hint="default" w:ascii="Times New Roman" w:hAnsi="Times New Roman" w:cs="Times New Roman"/>
          <w:lang w:val="en-US" w:eastAsia="zh-CN"/>
        </w:rPr>
        <w:t>1、项目实施过程中，按照年度计划规范地组织实施，有条不紊开展相关工作，并做好资料收集整理工作。</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2、成立项目绩效管理领导小组，将项目的运行，资金使用情况全部纳入领导小组的全程监管之下。</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（二）存在的问题及原因分析</w:t>
      </w:r>
      <w:bookmarkEnd w:id="18"/>
    </w:p>
    <w:p>
      <w:pPr>
        <w:pStyle w:val="20"/>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640" w:leftChars="0"/>
        <w:textAlignment w:val="auto"/>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（一）存在的问题</w:t>
      </w:r>
    </w:p>
    <w:p>
      <w:pPr>
        <w:spacing w:line="360" w:lineRule="auto"/>
        <w:ind w:firstLine="600" w:firstLineChars="200"/>
        <w:rPr>
          <w:rFonts w:hint="default" w:ascii="Times New Roman" w:hAnsi="Times New Roman" w:cs="Times New Roman"/>
          <w:lang w:val="en-US" w:eastAsia="zh-CN"/>
        </w:rPr>
      </w:pPr>
      <w:bookmarkStart w:id="19" w:name="_Toc68703845"/>
      <w:r>
        <w:rPr>
          <w:rFonts w:hint="default" w:ascii="Times New Roman" w:hAnsi="Times New Roman" w:cs="Times New Roman"/>
          <w:lang w:val="en-US" w:eastAsia="zh-CN"/>
        </w:rPr>
        <w:t>财政绩效管理有待提高。相关绩效管理方面专业知识的系统性学习有待加强。项目产出指标使用上级要求完成目标值，与实际完成值存在偏差。</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（二）原因分析</w:t>
      </w:r>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对预算绩效管理</w:t>
      </w:r>
      <w:r>
        <w:rPr>
          <w:rFonts w:hint="default" w:ascii="Times New Roman" w:hAnsi="Times New Roman" w:cs="Times New Roman"/>
          <w:lang w:val="zh-CN" w:eastAsia="zh-CN"/>
        </w:rPr>
        <w:t>、绩效理念尚未真正贯穿于实践工作，</w:t>
      </w:r>
      <w:r>
        <w:rPr>
          <w:rFonts w:hint="default" w:ascii="Times New Roman" w:hAnsi="Times New Roman" w:cs="Times New Roman"/>
          <w:lang w:val="en-US" w:eastAsia="zh-CN"/>
        </w:rPr>
        <w:t>相关工作人员经验不足，绩效管理意识不高，对于指标的编制还不够完善。自评工作还存在自我审定的局限性，影响评价质量。</w:t>
      </w:r>
    </w:p>
    <w:p>
      <w:pPr>
        <w:pStyle w:val="3"/>
        <w:spacing w:line="360" w:lineRule="auto"/>
        <w:ind w:firstLine="643" w:firstLineChars="200"/>
        <w:rPr>
          <w:rFonts w:hint="default" w:ascii="Times New Roman" w:hAnsi="Times New Roman" w:eastAsia="宋体" w:cs="Times New Roman"/>
          <w:sz w:val="32"/>
          <w:szCs w:val="32"/>
          <w:lang w:val="en-US" w:eastAsia="zh-CN"/>
        </w:rPr>
      </w:pPr>
      <w:r>
        <w:rPr>
          <w:rFonts w:hint="default" w:ascii="Times New Roman" w:hAnsi="Times New Roman" w:eastAsia="宋体" w:cs="Times New Roman"/>
          <w:sz w:val="32"/>
          <w:szCs w:val="32"/>
          <w:lang w:val="en-US" w:eastAsia="zh-CN"/>
        </w:rPr>
        <w:t>六、有关建议</w:t>
      </w:r>
      <w:bookmarkEnd w:id="19"/>
    </w:p>
    <w:p>
      <w:pPr>
        <w:spacing w:line="360" w:lineRule="auto"/>
        <w:ind w:firstLine="600" w:firstLineChars="200"/>
        <w:rPr>
          <w:rFonts w:hint="default" w:ascii="Times New Roman" w:hAnsi="Times New Roman" w:cs="Times New Roman"/>
          <w:lang w:val="en-US" w:eastAsia="zh-CN"/>
        </w:rPr>
      </w:pPr>
      <w:r>
        <w:rPr>
          <w:rFonts w:hint="default" w:ascii="Times New Roman" w:hAnsi="Times New Roman" w:cs="Times New Roman"/>
          <w:lang w:val="en-US" w:eastAsia="zh-CN"/>
        </w:rPr>
        <w:t>1、在项目立项时，要与项目实施单位部门职责范围相符，要与部门履职所需相适应，加强绩效评价管理制度和流程的建设，进一步深化、完善绩效管理体系，建立全过程的预算绩效管理机制，促进绩效管理工作向广度和深度延伸。</w:t>
      </w:r>
    </w:p>
    <w:p>
      <w:pPr>
        <w:spacing w:line="360" w:lineRule="auto"/>
        <w:ind w:firstLine="600" w:firstLineChars="200"/>
        <w:rPr>
          <w:rFonts w:hint="default" w:ascii="Times New Roman" w:hAnsi="Times New Roman" w:cs="Times New Roman"/>
          <w:lang w:val="en-US" w:eastAsia="zh-CN"/>
        </w:rPr>
      </w:pPr>
      <w:r>
        <w:rPr>
          <w:rFonts w:hint="eastAsia" w:cs="Times New Roman"/>
          <w:lang w:val="en-US" w:eastAsia="zh-CN"/>
        </w:rPr>
        <w:t>2</w:t>
      </w:r>
      <w:r>
        <w:rPr>
          <w:rFonts w:hint="default" w:ascii="Times New Roman" w:hAnsi="Times New Roman" w:cs="Times New Roman"/>
          <w:lang w:val="en-US" w:eastAsia="zh-CN"/>
        </w:rPr>
        <w:t>、规范绩效评价管理资料的收集整理，确保相关信息完整、可靠，客观公正地反映项目资金实际使用和产生的绩效状况，为今后该项目实施方向及管理方式的改进提供指导。</w:t>
      </w:r>
    </w:p>
    <w:p>
      <w:pPr>
        <w:pStyle w:val="3"/>
        <w:spacing w:line="360" w:lineRule="auto"/>
        <w:ind w:firstLine="643" w:firstLineChars="200"/>
        <w:rPr>
          <w:rFonts w:hint="default" w:ascii="Times New Roman" w:hAnsi="Times New Roman" w:eastAsia="宋体" w:cs="Times New Roman"/>
          <w:sz w:val="32"/>
          <w:szCs w:val="32"/>
          <w:lang w:val="en-US" w:eastAsia="zh-CN"/>
        </w:rPr>
      </w:pPr>
      <w:bookmarkStart w:id="20" w:name="_Toc68703846"/>
      <w:r>
        <w:rPr>
          <w:rFonts w:hint="default" w:ascii="Times New Roman" w:hAnsi="Times New Roman" w:eastAsia="宋体" w:cs="Times New Roman"/>
          <w:sz w:val="32"/>
          <w:szCs w:val="32"/>
        </w:rPr>
        <w:t>七、</w:t>
      </w:r>
      <w:r>
        <w:rPr>
          <w:rFonts w:hint="default" w:ascii="Times New Roman" w:hAnsi="Times New Roman" w:eastAsia="宋体" w:cs="Times New Roman"/>
          <w:sz w:val="32"/>
          <w:szCs w:val="32"/>
          <w:lang w:val="en-US" w:eastAsia="zh-CN"/>
        </w:rPr>
        <w:t>其他需要说明的问题</w:t>
      </w:r>
      <w:bookmarkEnd w:id="20"/>
    </w:p>
    <w:p>
      <w:pPr>
        <w:spacing w:line="560" w:lineRule="exact"/>
        <w:ind w:firstLine="640" w:firstLineChars="200"/>
        <w:jc w:val="left"/>
        <w:rPr>
          <w:rFonts w:hint="default" w:ascii="Times New Roman" w:hAnsi="Times New Roman" w:eastAsia="仿宋_GB2312" w:cs="Times New Roman"/>
          <w:b w:val="0"/>
          <w:bCs w:val="0"/>
          <w:color w:val="333333"/>
          <w:kern w:val="2"/>
          <w:sz w:val="32"/>
          <w:szCs w:val="32"/>
          <w:lang w:val="en-US" w:eastAsia="zh-CN" w:bidi="ar-SA"/>
        </w:rPr>
      </w:pPr>
      <w:r>
        <w:rPr>
          <w:rFonts w:hint="default" w:ascii="Times New Roman" w:hAnsi="Times New Roman" w:eastAsia="仿宋_GB2312" w:cs="Times New Roman"/>
          <w:b w:val="0"/>
          <w:bCs w:val="0"/>
          <w:color w:val="333333"/>
          <w:kern w:val="2"/>
          <w:sz w:val="32"/>
          <w:szCs w:val="32"/>
          <w:lang w:val="en-US" w:eastAsia="zh-CN" w:bidi="ar-SA"/>
        </w:rPr>
        <w:t>本次预算绩效评价所采集的数据因为采集时间、数据来源等诸多因素的影响，可能会出现一定的偏差，进而对评价结果存在影响。</w:t>
      </w:r>
    </w:p>
    <w:p>
      <w:pPr>
        <w:rPr>
          <w:rFonts w:hint="default" w:ascii="Times New Roman" w:hAnsi="Times New Roman" w:cs="Times New Roma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239CF9"/>
    <w:multiLevelType w:val="singleLevel"/>
    <w:tmpl w:val="C8239CF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Y3YWJmNDJmZmRiOTlkODI3Yjc0MDc5NzBiZTgwYjA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676641E"/>
    <w:rsid w:val="09270AC2"/>
    <w:rsid w:val="0BB53545"/>
    <w:rsid w:val="0FF4288A"/>
    <w:rsid w:val="107C0AD5"/>
    <w:rsid w:val="15DA37C6"/>
    <w:rsid w:val="16585B40"/>
    <w:rsid w:val="17424826"/>
    <w:rsid w:val="1BB43E18"/>
    <w:rsid w:val="1C4050AC"/>
    <w:rsid w:val="1E8D091C"/>
    <w:rsid w:val="2214619F"/>
    <w:rsid w:val="227C417C"/>
    <w:rsid w:val="238E0DF3"/>
    <w:rsid w:val="24CB39E1"/>
    <w:rsid w:val="26D92385"/>
    <w:rsid w:val="2732278A"/>
    <w:rsid w:val="2B0B7698"/>
    <w:rsid w:val="2C3957C2"/>
    <w:rsid w:val="2C6A3B1C"/>
    <w:rsid w:val="2E4427DA"/>
    <w:rsid w:val="310149B3"/>
    <w:rsid w:val="32867865"/>
    <w:rsid w:val="33B65F28"/>
    <w:rsid w:val="3C0417FB"/>
    <w:rsid w:val="3F3020FF"/>
    <w:rsid w:val="40716DE1"/>
    <w:rsid w:val="453F5652"/>
    <w:rsid w:val="4A1B043B"/>
    <w:rsid w:val="51B226A4"/>
    <w:rsid w:val="546E7D01"/>
    <w:rsid w:val="5BA67002"/>
    <w:rsid w:val="5E68702E"/>
    <w:rsid w:val="622575EA"/>
    <w:rsid w:val="65EF654B"/>
    <w:rsid w:val="70A46B54"/>
    <w:rsid w:val="75675D9C"/>
    <w:rsid w:val="775D17E4"/>
    <w:rsid w:val="77D777E8"/>
    <w:rsid w:val="77DA1086"/>
    <w:rsid w:val="7ABB519F"/>
    <w:rsid w:val="7D8F02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qFormat/>
    <w:uiPriority w:val="9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14:textFill>
        <w14:solidFill>
          <w14:schemeClr w14:val="hlink"/>
        </w14:solidFill>
      </w14:textFill>
    </w:rPr>
  </w:style>
  <w:style w:type="character" w:customStyle="1" w:styleId="15">
    <w:name w:val="标题 1 字符"/>
    <w:basedOn w:val="12"/>
    <w:link w:val="3"/>
    <w:qFormat/>
    <w:uiPriority w:val="9"/>
    <w:rPr>
      <w:rFonts w:ascii="Times New Roman" w:hAnsi="Times New Roman" w:eastAsia="仿宋_GB2312" w:cs="Times New Roman"/>
      <w:b/>
      <w:bCs/>
      <w:kern w:val="44"/>
      <w:sz w:val="44"/>
      <w:szCs w:val="44"/>
    </w:rPr>
  </w:style>
  <w:style w:type="character" w:customStyle="1" w:styleId="16">
    <w:name w:val="标题 2 字符"/>
    <w:basedOn w:val="12"/>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字符"/>
    <w:basedOn w:val="12"/>
    <w:link w:val="7"/>
    <w:qFormat/>
    <w:uiPriority w:val="99"/>
    <w:rPr>
      <w:rFonts w:ascii="Times New Roman" w:hAnsi="Times New Roman" w:eastAsia="仿宋_GB2312" w:cs="Times New Roman"/>
      <w:sz w:val="18"/>
      <w:szCs w:val="18"/>
    </w:rPr>
  </w:style>
  <w:style w:type="character" w:customStyle="1" w:styleId="19">
    <w:name w:val="页脚 字符"/>
    <w:basedOn w:val="12"/>
    <w:link w:val="6"/>
    <w:qFormat/>
    <w:uiPriority w:val="99"/>
    <w:rPr>
      <w:rFonts w:ascii="Times New Roman" w:hAnsi="Times New Roman" w:eastAsia="仿宋_GB2312" w:cs="Times New Roman"/>
      <w:sz w:val="18"/>
      <w:szCs w:val="18"/>
    </w:rPr>
  </w:style>
  <w:style w:type="paragraph" w:styleId="20">
    <w:name w:val="List Paragraph"/>
    <w:basedOn w:val="1"/>
    <w:qFormat/>
    <w:uiPriority w:val="99"/>
    <w:pPr>
      <w:ind w:firstLine="420" w:firstLineChars="200"/>
    </w:pPr>
    <w:rPr>
      <w:kern w:val="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6622</Words>
  <Characters>6938</Characters>
  <Lines>52</Lines>
  <Paragraphs>14</Paragraphs>
  <TotalTime>13</TotalTime>
  <ScaleCrop>false</ScaleCrop>
  <LinksUpToDate>false</LinksUpToDate>
  <CharactersWithSpaces>7018</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2024-05-17T11:56:43Z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8726CCB0F9D34F49BFD9CFF710E88AA3_13</vt:lpwstr>
  </property>
</Properties>
</file>