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8740DE">
      <w:pPr>
        <w:jc w:val="center"/>
        <w:rPr>
          <w:rFonts w:ascii="宋体" w:hAnsi="宋体" w:eastAsia="宋体" w:cs="Arial"/>
          <w:b/>
          <w:bCs/>
          <w:sz w:val="48"/>
          <w:szCs w:val="48"/>
        </w:rPr>
      </w:pPr>
    </w:p>
    <w:p w14:paraId="11BBCBD0">
      <w:pPr>
        <w:jc w:val="center"/>
        <w:rPr>
          <w:rFonts w:ascii="宋体" w:hAnsi="宋体" w:eastAsia="宋体" w:cs="Arial"/>
          <w:b/>
          <w:bCs/>
          <w:sz w:val="48"/>
          <w:szCs w:val="48"/>
        </w:rPr>
      </w:pPr>
    </w:p>
    <w:p w14:paraId="4F606985">
      <w:pPr>
        <w:jc w:val="center"/>
        <w:rPr>
          <w:rFonts w:ascii="宋体" w:hAnsi="宋体" w:eastAsia="宋体" w:cs="Arial"/>
          <w:b/>
          <w:bCs/>
          <w:sz w:val="48"/>
          <w:szCs w:val="48"/>
        </w:rPr>
      </w:pPr>
    </w:p>
    <w:p w14:paraId="7DF17B0D">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14:paraId="79011FED">
      <w:pPr>
        <w:jc w:val="center"/>
        <w:rPr>
          <w:rFonts w:ascii="宋体" w:hAnsi="宋体" w:eastAsia="宋体" w:cs="Arial"/>
          <w:b/>
          <w:bCs/>
          <w:sz w:val="48"/>
          <w:szCs w:val="48"/>
        </w:rPr>
      </w:pPr>
    </w:p>
    <w:p w14:paraId="119FACEB">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14:paraId="726EDF93">
      <w:pPr>
        <w:spacing w:line="480" w:lineRule="auto"/>
        <w:jc w:val="center"/>
        <w:rPr>
          <w:rFonts w:ascii="仿宋_GB2312" w:hAnsi="仿宋_GB2312" w:cs="仿宋_GB2312"/>
          <w:b/>
          <w:kern w:val="0"/>
          <w:sz w:val="50"/>
          <w:szCs w:val="50"/>
          <w:lang w:bidi="en-US"/>
        </w:rPr>
      </w:pPr>
    </w:p>
    <w:p w14:paraId="6DC42D12">
      <w:pPr>
        <w:spacing w:line="480" w:lineRule="auto"/>
        <w:jc w:val="center"/>
        <w:rPr>
          <w:rFonts w:ascii="仿宋_GB2312" w:hAnsi="仿宋_GB2312" w:cs="仿宋_GB2312"/>
          <w:b/>
          <w:kern w:val="0"/>
          <w:sz w:val="50"/>
          <w:szCs w:val="50"/>
          <w:lang w:bidi="en-US"/>
        </w:rPr>
      </w:pPr>
    </w:p>
    <w:p w14:paraId="64ABBDD1">
      <w:pPr>
        <w:spacing w:line="480" w:lineRule="auto"/>
        <w:jc w:val="center"/>
        <w:rPr>
          <w:rFonts w:ascii="仿宋_GB2312" w:hAnsi="仿宋_GB2312" w:cs="仿宋_GB2312"/>
          <w:b/>
          <w:kern w:val="0"/>
          <w:sz w:val="50"/>
          <w:szCs w:val="50"/>
          <w:lang w:bidi="en-US"/>
        </w:rPr>
      </w:pPr>
    </w:p>
    <w:p w14:paraId="211063AD">
      <w:pPr>
        <w:spacing w:line="480" w:lineRule="auto"/>
        <w:jc w:val="center"/>
        <w:rPr>
          <w:rFonts w:ascii="仿宋_GB2312" w:hAnsi="仿宋_GB2312" w:cs="仿宋_GB2312"/>
          <w:b/>
          <w:kern w:val="0"/>
          <w:sz w:val="50"/>
          <w:szCs w:val="50"/>
          <w:lang w:bidi="en-US"/>
        </w:rPr>
      </w:pPr>
    </w:p>
    <w:p w14:paraId="36D97621">
      <w:pPr>
        <w:spacing w:line="480" w:lineRule="auto"/>
        <w:jc w:val="center"/>
        <w:rPr>
          <w:rFonts w:ascii="仿宋_GB2312" w:hAnsi="仿宋_GB2312" w:cs="仿宋_GB2312"/>
          <w:b/>
          <w:kern w:val="0"/>
          <w:sz w:val="50"/>
          <w:szCs w:val="50"/>
          <w:lang w:bidi="en-US"/>
        </w:rPr>
      </w:pPr>
    </w:p>
    <w:p w14:paraId="21DD9098">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w:t>
      </w:r>
      <w:r>
        <w:rPr>
          <w:rFonts w:ascii="宋体" w:hAnsi="宋体" w:eastAsia="宋体" w:cs="宋体"/>
          <w:kern w:val="0"/>
          <w:sz w:val="32"/>
          <w:szCs w:val="32"/>
        </w:rPr>
        <w:t xml:space="preserve"> </w:t>
      </w:r>
      <w:r>
        <w:rPr>
          <w:rFonts w:hint="eastAsia" w:ascii="宋体" w:hAnsi="宋体" w:cs="仿宋_GB2312"/>
          <w:b/>
          <w:bCs/>
          <w:kern w:val="0"/>
          <w:sz w:val="32"/>
          <w:szCs w:val="32"/>
          <w:lang w:val="en-US" w:eastAsia="zh-CN"/>
        </w:rPr>
        <w:t>新疆巴州焉耆县永宁中型灌区续建配套与节水改造项目</w:t>
      </w:r>
    </w:p>
    <w:p w14:paraId="13014275">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cs="仿宋_GB2312"/>
          <w:b/>
          <w:bCs/>
          <w:kern w:val="0"/>
          <w:sz w:val="32"/>
          <w:szCs w:val="32"/>
        </w:rPr>
        <w:t>焉耆县水利综合服务中心</w:t>
      </w:r>
      <w:r>
        <w:rPr>
          <w:rFonts w:ascii="宋体" w:hAnsi="宋体" w:eastAsia="宋体" w:cs="宋体"/>
          <w:kern w:val="0"/>
          <w:sz w:val="32"/>
          <w:szCs w:val="32"/>
        </w:rPr>
        <w:t xml:space="preserve"> </w:t>
      </w:r>
    </w:p>
    <w:p w14:paraId="15ECCB9A">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ascii="宋体" w:hAnsi="宋体" w:eastAsia="宋体" w:cs="宋体"/>
          <w:kern w:val="0"/>
          <w:sz w:val="32"/>
          <w:szCs w:val="32"/>
        </w:rPr>
        <w:t xml:space="preserve"> </w:t>
      </w:r>
      <w:r>
        <w:rPr>
          <w:rFonts w:hint="eastAsia" w:ascii="宋体" w:hAnsi="宋体" w:cs="仿宋_GB2312"/>
          <w:b/>
          <w:bCs/>
          <w:kern w:val="0"/>
          <w:sz w:val="32"/>
          <w:szCs w:val="32"/>
        </w:rPr>
        <w:t>焉耆县水利局</w:t>
      </w:r>
      <w:r>
        <w:rPr>
          <w:rFonts w:hint="eastAsia" w:ascii="仿宋_GB2312"/>
        </w:rPr>
        <w:t xml:space="preserve"> </w:t>
      </w:r>
    </w:p>
    <w:p w14:paraId="3D23CBE9">
      <w:pPr>
        <w:spacing w:line="560" w:lineRule="exact"/>
        <w:ind w:firstLine="321" w:firstLineChars="100"/>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项目负责人（签章）：</w:t>
      </w:r>
      <w:r>
        <w:rPr>
          <w:rFonts w:ascii="宋体" w:hAnsi="宋体" w:eastAsia="宋体" w:cs="宋体"/>
          <w:kern w:val="0"/>
          <w:sz w:val="32"/>
          <w:szCs w:val="32"/>
        </w:rPr>
        <w:t xml:space="preserve"> </w:t>
      </w:r>
      <w:r>
        <w:rPr>
          <w:rFonts w:hint="eastAsia" w:ascii="宋体" w:hAnsi="宋体" w:eastAsia="宋体" w:cs="宋体"/>
          <w:kern w:val="0"/>
          <w:sz w:val="32"/>
          <w:szCs w:val="32"/>
          <w:lang w:eastAsia="zh-CN"/>
        </w:rPr>
        <w:t>刘兵</w:t>
      </w:r>
      <w:bookmarkStart w:id="23" w:name="_GoBack"/>
      <w:bookmarkEnd w:id="23"/>
    </w:p>
    <w:p w14:paraId="2E58EF83">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年04月20日</w:t>
      </w:r>
    </w:p>
    <w:p w14:paraId="6BE624C9">
      <w:pPr>
        <w:jc w:val="center"/>
        <w:rPr>
          <w:rFonts w:ascii="宋体" w:hAnsi="宋体" w:eastAsia="宋体" w:cs="Arial"/>
          <w:b/>
          <w:bCs/>
          <w:sz w:val="36"/>
          <w:szCs w:val="36"/>
        </w:rPr>
      </w:pPr>
    </w:p>
    <w:p w14:paraId="558C2C61">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14:paraId="293AD970">
          <w:pPr>
            <w:pStyle w:val="19"/>
            <w:jc w:val="center"/>
            <w:rPr>
              <w:rFonts w:ascii="宋体" w:hAnsi="宋体" w:eastAsia="宋体"/>
              <w:b/>
              <w:bCs/>
              <w:color w:val="auto"/>
              <w:lang w:val="zh-CN"/>
            </w:rPr>
          </w:pPr>
          <w:r>
            <w:rPr>
              <w:rFonts w:ascii="宋体" w:hAnsi="宋体" w:eastAsia="宋体"/>
              <w:b/>
              <w:bCs/>
              <w:color w:val="auto"/>
              <w:lang w:val="zh-CN"/>
            </w:rPr>
            <w:t>目录</w:t>
          </w:r>
        </w:p>
        <w:p w14:paraId="5335AA75">
          <w:pPr>
            <w:pStyle w:val="8"/>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6"/>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14:paraId="7FA89693">
          <w:pPr>
            <w:pStyle w:val="10"/>
            <w:tabs>
              <w:tab w:val="right" w:leader="dot" w:pos="8834"/>
            </w:tabs>
            <w:rPr>
              <w:rFonts w:cstheme="minorBidi"/>
              <w:kern w:val="2"/>
              <w:sz w:val="21"/>
            </w:rPr>
          </w:pPr>
          <w:r>
            <w:fldChar w:fldCharType="begin"/>
          </w:r>
          <w:r>
            <w:instrText xml:space="preserve"> HYPERLINK \l "_Toc68703828" </w:instrText>
          </w:r>
          <w:r>
            <w:fldChar w:fldCharType="separate"/>
          </w:r>
          <w:r>
            <w:rPr>
              <w:rStyle w:val="16"/>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14:paraId="5C55D2AF">
          <w:pPr>
            <w:pStyle w:val="10"/>
            <w:tabs>
              <w:tab w:val="right" w:leader="dot" w:pos="8834"/>
            </w:tabs>
            <w:rPr>
              <w:rFonts w:cstheme="minorBidi"/>
              <w:kern w:val="2"/>
              <w:sz w:val="21"/>
            </w:rPr>
          </w:pPr>
          <w:r>
            <w:fldChar w:fldCharType="begin"/>
          </w:r>
          <w:r>
            <w:instrText xml:space="preserve"> HYPERLINK \l "_Toc68703829" </w:instrText>
          </w:r>
          <w:r>
            <w:fldChar w:fldCharType="separate"/>
          </w:r>
          <w:r>
            <w:rPr>
              <w:rStyle w:val="16"/>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14:paraId="18BE2B99">
          <w:pPr>
            <w:pStyle w:val="8"/>
            <w:tabs>
              <w:tab w:val="right" w:leader="dot" w:pos="8834"/>
            </w:tabs>
            <w:rPr>
              <w:rFonts w:cstheme="minorBidi"/>
              <w:kern w:val="2"/>
              <w:sz w:val="21"/>
            </w:rPr>
          </w:pPr>
          <w:r>
            <w:fldChar w:fldCharType="begin"/>
          </w:r>
          <w:r>
            <w:instrText xml:space="preserve"> HYPERLINK \l "_Toc68703830" </w:instrText>
          </w:r>
          <w:r>
            <w:fldChar w:fldCharType="separate"/>
          </w:r>
          <w:r>
            <w:rPr>
              <w:rStyle w:val="16"/>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14:paraId="136E3FA5">
          <w:pPr>
            <w:pStyle w:val="10"/>
            <w:tabs>
              <w:tab w:val="right" w:leader="dot" w:pos="8834"/>
            </w:tabs>
            <w:rPr>
              <w:rFonts w:cstheme="minorBidi"/>
              <w:kern w:val="2"/>
              <w:sz w:val="21"/>
            </w:rPr>
          </w:pPr>
          <w:r>
            <w:fldChar w:fldCharType="begin"/>
          </w:r>
          <w:r>
            <w:instrText xml:space="preserve"> HYPERLINK \l "_Toc68703831" </w:instrText>
          </w:r>
          <w:r>
            <w:fldChar w:fldCharType="separate"/>
          </w:r>
          <w:r>
            <w:rPr>
              <w:rStyle w:val="16"/>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14:paraId="641ADCA5">
          <w:pPr>
            <w:pStyle w:val="10"/>
            <w:tabs>
              <w:tab w:val="right" w:leader="dot" w:pos="8834"/>
            </w:tabs>
            <w:rPr>
              <w:rFonts w:cstheme="minorBidi"/>
              <w:kern w:val="2"/>
              <w:sz w:val="21"/>
            </w:rPr>
          </w:pPr>
          <w:r>
            <w:fldChar w:fldCharType="begin"/>
          </w:r>
          <w:r>
            <w:instrText xml:space="preserve"> HYPERLINK \l "_Toc68703832" </w:instrText>
          </w:r>
          <w:r>
            <w:fldChar w:fldCharType="separate"/>
          </w:r>
          <w:r>
            <w:rPr>
              <w:rStyle w:val="16"/>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14:paraId="1840B24D">
          <w:pPr>
            <w:pStyle w:val="10"/>
            <w:tabs>
              <w:tab w:val="right" w:leader="dot" w:pos="8834"/>
            </w:tabs>
            <w:rPr>
              <w:rFonts w:cstheme="minorBidi"/>
              <w:kern w:val="2"/>
              <w:sz w:val="21"/>
            </w:rPr>
          </w:pPr>
          <w:r>
            <w:fldChar w:fldCharType="begin"/>
          </w:r>
          <w:r>
            <w:instrText xml:space="preserve"> HYPERLINK \l "_Toc68703833" </w:instrText>
          </w:r>
          <w:r>
            <w:fldChar w:fldCharType="separate"/>
          </w:r>
          <w:r>
            <w:rPr>
              <w:rStyle w:val="16"/>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14:paraId="1B1737CB">
          <w:pPr>
            <w:pStyle w:val="8"/>
            <w:tabs>
              <w:tab w:val="right" w:leader="dot" w:pos="8834"/>
            </w:tabs>
            <w:rPr>
              <w:rFonts w:cstheme="minorBidi"/>
              <w:kern w:val="2"/>
              <w:sz w:val="21"/>
            </w:rPr>
          </w:pPr>
          <w:r>
            <w:fldChar w:fldCharType="begin"/>
          </w:r>
          <w:r>
            <w:instrText xml:space="preserve"> HYPERLINK \l "_Toc68703834" </w:instrText>
          </w:r>
          <w:r>
            <w:fldChar w:fldCharType="separate"/>
          </w:r>
          <w:r>
            <w:rPr>
              <w:rStyle w:val="16"/>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14:paraId="7BAD35F8">
          <w:pPr>
            <w:pStyle w:val="10"/>
            <w:tabs>
              <w:tab w:val="right" w:leader="dot" w:pos="8834"/>
            </w:tabs>
            <w:rPr>
              <w:rFonts w:cstheme="minorBidi"/>
              <w:kern w:val="2"/>
              <w:sz w:val="21"/>
            </w:rPr>
          </w:pPr>
          <w:r>
            <w:fldChar w:fldCharType="begin"/>
          </w:r>
          <w:r>
            <w:instrText xml:space="preserve"> HYPERLINK \l "_Toc68703835" </w:instrText>
          </w:r>
          <w:r>
            <w:fldChar w:fldCharType="separate"/>
          </w:r>
          <w:r>
            <w:rPr>
              <w:rStyle w:val="16"/>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14:paraId="01784727">
          <w:pPr>
            <w:pStyle w:val="10"/>
            <w:tabs>
              <w:tab w:val="right" w:leader="dot" w:pos="8834"/>
            </w:tabs>
            <w:rPr>
              <w:rFonts w:cstheme="minorBidi"/>
              <w:kern w:val="2"/>
              <w:sz w:val="21"/>
            </w:rPr>
          </w:pPr>
          <w:r>
            <w:fldChar w:fldCharType="begin"/>
          </w:r>
          <w:r>
            <w:instrText xml:space="preserve"> HYPERLINK \l "_Toc68703836" </w:instrText>
          </w:r>
          <w:r>
            <w:fldChar w:fldCharType="separate"/>
          </w:r>
          <w:r>
            <w:rPr>
              <w:rStyle w:val="16"/>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14:paraId="4A3DE52E">
          <w:pPr>
            <w:pStyle w:val="8"/>
            <w:tabs>
              <w:tab w:val="right" w:leader="dot" w:pos="8834"/>
            </w:tabs>
            <w:rPr>
              <w:rFonts w:cstheme="minorBidi"/>
              <w:kern w:val="2"/>
              <w:sz w:val="21"/>
            </w:rPr>
          </w:pPr>
          <w:r>
            <w:fldChar w:fldCharType="begin"/>
          </w:r>
          <w:r>
            <w:instrText xml:space="preserve"> HYPERLINK \l "_Toc68703837" </w:instrText>
          </w:r>
          <w:r>
            <w:fldChar w:fldCharType="separate"/>
          </w:r>
          <w:r>
            <w:rPr>
              <w:rStyle w:val="16"/>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14:paraId="23806BAD">
          <w:pPr>
            <w:pStyle w:val="10"/>
            <w:tabs>
              <w:tab w:val="right" w:leader="dot" w:pos="8834"/>
            </w:tabs>
            <w:rPr>
              <w:rFonts w:cstheme="minorBidi"/>
              <w:kern w:val="2"/>
              <w:sz w:val="21"/>
            </w:rPr>
          </w:pPr>
          <w:r>
            <w:fldChar w:fldCharType="begin"/>
          </w:r>
          <w:r>
            <w:instrText xml:space="preserve"> HYPERLINK \l "_Toc68703838" </w:instrText>
          </w:r>
          <w:r>
            <w:fldChar w:fldCharType="separate"/>
          </w:r>
          <w:r>
            <w:rPr>
              <w:rStyle w:val="16"/>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14:paraId="6CBF676C">
          <w:pPr>
            <w:pStyle w:val="10"/>
            <w:tabs>
              <w:tab w:val="right" w:leader="dot" w:pos="8834"/>
            </w:tabs>
            <w:rPr>
              <w:rFonts w:cstheme="minorBidi"/>
              <w:kern w:val="2"/>
              <w:sz w:val="21"/>
            </w:rPr>
          </w:pPr>
          <w:r>
            <w:fldChar w:fldCharType="begin"/>
          </w:r>
          <w:r>
            <w:instrText xml:space="preserve"> HYPERLINK \l "_Toc68703839" </w:instrText>
          </w:r>
          <w:r>
            <w:fldChar w:fldCharType="separate"/>
          </w:r>
          <w:r>
            <w:rPr>
              <w:rStyle w:val="16"/>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14:paraId="23675692">
          <w:pPr>
            <w:pStyle w:val="10"/>
            <w:tabs>
              <w:tab w:val="right" w:leader="dot" w:pos="8834"/>
            </w:tabs>
            <w:rPr>
              <w:rFonts w:cstheme="minorBidi"/>
              <w:kern w:val="2"/>
              <w:sz w:val="21"/>
            </w:rPr>
          </w:pPr>
          <w:r>
            <w:fldChar w:fldCharType="begin"/>
          </w:r>
          <w:r>
            <w:instrText xml:space="preserve"> HYPERLINK \l "_Toc68703840" </w:instrText>
          </w:r>
          <w:r>
            <w:fldChar w:fldCharType="separate"/>
          </w:r>
          <w:r>
            <w:rPr>
              <w:rStyle w:val="16"/>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14:paraId="4E47DE9B">
          <w:pPr>
            <w:pStyle w:val="10"/>
            <w:tabs>
              <w:tab w:val="right" w:leader="dot" w:pos="8834"/>
            </w:tabs>
            <w:rPr>
              <w:rFonts w:cstheme="minorBidi"/>
              <w:kern w:val="2"/>
              <w:sz w:val="21"/>
            </w:rPr>
          </w:pPr>
          <w:r>
            <w:fldChar w:fldCharType="begin"/>
          </w:r>
          <w:r>
            <w:instrText xml:space="preserve"> HYPERLINK \l "_Toc68703841" </w:instrText>
          </w:r>
          <w:r>
            <w:fldChar w:fldCharType="separate"/>
          </w:r>
          <w:r>
            <w:rPr>
              <w:rStyle w:val="16"/>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14:paraId="78C8702F">
          <w:pPr>
            <w:pStyle w:val="8"/>
            <w:tabs>
              <w:tab w:val="right" w:leader="dot" w:pos="8834"/>
            </w:tabs>
            <w:rPr>
              <w:rFonts w:cstheme="minorBidi"/>
              <w:kern w:val="2"/>
              <w:sz w:val="21"/>
            </w:rPr>
          </w:pPr>
          <w:r>
            <w:fldChar w:fldCharType="begin"/>
          </w:r>
          <w:r>
            <w:instrText xml:space="preserve"> HYPERLINK \l "_Toc68703842" </w:instrText>
          </w:r>
          <w:r>
            <w:fldChar w:fldCharType="separate"/>
          </w:r>
          <w:r>
            <w:rPr>
              <w:rStyle w:val="16"/>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14:paraId="3DD4B8A8">
          <w:pPr>
            <w:pStyle w:val="10"/>
            <w:tabs>
              <w:tab w:val="right" w:leader="dot" w:pos="8834"/>
            </w:tabs>
            <w:rPr>
              <w:rFonts w:cstheme="minorBidi"/>
              <w:kern w:val="2"/>
              <w:sz w:val="21"/>
            </w:rPr>
          </w:pPr>
          <w:r>
            <w:fldChar w:fldCharType="begin"/>
          </w:r>
          <w:r>
            <w:instrText xml:space="preserve"> HYPERLINK \l "_Toc68703843" </w:instrText>
          </w:r>
          <w:r>
            <w:fldChar w:fldCharType="separate"/>
          </w:r>
          <w:r>
            <w:rPr>
              <w:rStyle w:val="16"/>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14:paraId="2DEA0A62">
          <w:pPr>
            <w:pStyle w:val="10"/>
            <w:tabs>
              <w:tab w:val="right" w:leader="dot" w:pos="8834"/>
            </w:tabs>
            <w:rPr>
              <w:rFonts w:cstheme="minorBidi"/>
              <w:kern w:val="2"/>
              <w:sz w:val="21"/>
            </w:rPr>
          </w:pPr>
          <w:r>
            <w:fldChar w:fldCharType="begin"/>
          </w:r>
          <w:r>
            <w:instrText xml:space="preserve"> HYPERLINK \l "_Toc68703844" </w:instrText>
          </w:r>
          <w:r>
            <w:fldChar w:fldCharType="separate"/>
          </w:r>
          <w:r>
            <w:rPr>
              <w:rStyle w:val="16"/>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14:paraId="0398214D">
          <w:pPr>
            <w:pStyle w:val="8"/>
            <w:tabs>
              <w:tab w:val="right" w:leader="dot" w:pos="8834"/>
            </w:tabs>
            <w:rPr>
              <w:rFonts w:cstheme="minorBidi"/>
              <w:kern w:val="2"/>
              <w:sz w:val="21"/>
            </w:rPr>
          </w:pPr>
          <w:r>
            <w:fldChar w:fldCharType="begin"/>
          </w:r>
          <w:r>
            <w:instrText xml:space="preserve"> HYPERLINK \l "_Toc68703845" </w:instrText>
          </w:r>
          <w:r>
            <w:fldChar w:fldCharType="separate"/>
          </w:r>
          <w:r>
            <w:rPr>
              <w:rStyle w:val="16"/>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14:paraId="63F12494">
          <w:pPr>
            <w:pStyle w:val="8"/>
            <w:tabs>
              <w:tab w:val="right" w:leader="dot" w:pos="8834"/>
            </w:tabs>
            <w:rPr>
              <w:rFonts w:cstheme="minorBidi"/>
              <w:kern w:val="2"/>
              <w:sz w:val="21"/>
            </w:rPr>
          </w:pPr>
          <w:r>
            <w:fldChar w:fldCharType="begin"/>
          </w:r>
          <w:r>
            <w:instrText xml:space="preserve"> HYPERLINK \l "_Toc68703846" </w:instrText>
          </w:r>
          <w:r>
            <w:fldChar w:fldCharType="separate"/>
          </w:r>
          <w:r>
            <w:rPr>
              <w:rStyle w:val="16"/>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14:paraId="3F400642">
          <w:r>
            <w:rPr>
              <w:b/>
              <w:bCs/>
              <w:lang w:val="zh-CN"/>
            </w:rPr>
            <w:fldChar w:fldCharType="end"/>
          </w:r>
        </w:p>
      </w:sdtContent>
    </w:sdt>
    <w:p w14:paraId="21B304C2">
      <w:pPr>
        <w:widowControl/>
        <w:jc w:val="left"/>
        <w:rPr>
          <w:rFonts w:ascii="宋体" w:hAnsi="宋体" w:eastAsia="宋体" w:cs="Arial"/>
          <w:b/>
          <w:bCs/>
          <w:sz w:val="36"/>
          <w:szCs w:val="36"/>
        </w:rPr>
      </w:pPr>
      <w:r>
        <w:rPr>
          <w:rFonts w:ascii="宋体" w:hAnsi="宋体" w:eastAsia="宋体" w:cs="Arial"/>
          <w:b/>
          <w:bCs/>
          <w:sz w:val="36"/>
          <w:szCs w:val="36"/>
        </w:rPr>
        <w:br w:type="page"/>
      </w:r>
    </w:p>
    <w:p w14:paraId="1A425D90">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6A20159F">
      <w:pPr>
        <w:jc w:val="center"/>
        <w:rPr>
          <w:rFonts w:ascii="仿宋_GB2312"/>
          <w:szCs w:val="30"/>
        </w:rPr>
      </w:pPr>
    </w:p>
    <w:p w14:paraId="72DFBC3B">
      <w:pPr>
        <w:pStyle w:val="2"/>
        <w:pageBreakBefore w:val="0"/>
        <w:widowControl w:val="0"/>
        <w:kinsoku/>
        <w:wordWrap/>
        <w:overflowPunct/>
        <w:topLinePunct w:val="0"/>
        <w:autoSpaceDE/>
        <w:autoSpaceDN/>
        <w:bidi w:val="0"/>
        <w:adjustRightInd/>
        <w:snapToGrid/>
        <w:spacing w:before="0" w:after="0" w:line="560" w:lineRule="exact"/>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4DFEC1A4">
      <w:pPr>
        <w:pStyle w:val="3"/>
        <w:pageBreakBefore w:val="0"/>
        <w:widowControl w:val="0"/>
        <w:kinsoku/>
        <w:wordWrap/>
        <w:overflowPunct/>
        <w:topLinePunct w:val="0"/>
        <w:autoSpaceDE/>
        <w:autoSpaceDN/>
        <w:bidi w:val="0"/>
        <w:adjustRightInd/>
        <w:snapToGrid/>
        <w:spacing w:before="0" w:after="0" w:line="560" w:lineRule="exact"/>
        <w:textAlignment w:val="auto"/>
        <w:rPr>
          <w:color w:val="FF0000"/>
        </w:rPr>
      </w:pPr>
      <w:bookmarkStart w:id="1" w:name="_Toc68703828"/>
      <w:r>
        <w:rPr>
          <w:rFonts w:hint="eastAsia" w:ascii="仿宋_GB2312" w:eastAsia="仿宋_GB2312"/>
          <w:b w:val="0"/>
          <w:bCs w:val="0"/>
        </w:rPr>
        <w:t>（一）项目概况。</w:t>
      </w:r>
      <w:bookmarkEnd w:id="1"/>
    </w:p>
    <w:p w14:paraId="50F4BA28">
      <w:pPr>
        <w:pageBreakBefore w:val="0"/>
        <w:widowControl w:val="0"/>
        <w:numPr>
          <w:ilvl w:val="0"/>
          <w:numId w:val="1"/>
        </w:numPr>
        <w:kinsoku/>
        <w:wordWrap/>
        <w:overflowPunct/>
        <w:topLinePunct w:val="0"/>
        <w:autoSpaceDE/>
        <w:autoSpaceDN/>
        <w:bidi w:val="0"/>
        <w:adjustRightInd/>
        <w:snapToGrid/>
        <w:spacing w:line="560" w:lineRule="exact"/>
        <w:ind w:firstLine="600" w:firstLineChars="200"/>
        <w:textAlignment w:val="auto"/>
        <w:rPr>
          <w:rFonts w:hint="eastAsia" w:ascii="仿宋_GB2312"/>
        </w:rPr>
      </w:pPr>
      <w:r>
        <w:rPr>
          <w:rFonts w:hint="eastAsia" w:ascii="仿宋_GB2312"/>
        </w:rPr>
        <w:t>项目背景</w:t>
      </w:r>
    </w:p>
    <w:p w14:paraId="45FB5544">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rPr>
      </w:pPr>
      <w:r>
        <w:rPr>
          <w:rFonts w:hint="eastAsia" w:ascii="仿宋" w:hAnsi="仿宋" w:eastAsia="仿宋" w:cs="仿宋"/>
          <w:sz w:val="30"/>
          <w:szCs w:val="30"/>
          <w:lang w:val="en-US" w:eastAsia="zh-CN"/>
        </w:rPr>
        <w:t>焉耆县永宁中型灌区位于焉耆县开都河第二分水枢纽南岸干渠灌溉区域，灌区渠道老化严重、防渗衬砌率低、渗漏损失较大、渠系水利用系数低、渠系建筑物不配套、水资源供需矛盾突出等问题，严重影响了永宁灌区农作物的正常灌溉，制约了灌区的经济发展。为实现农业和农村经济健康可持续发展，保障国家粮食安全和农产品有效供给，2020年中央一号文件即《中共中央国务院关于实施乡村振兴战略的意见》明确指出，实施大中型灌区续建配套节水改造与现代化建设。我单位按中国灌溉排水发展中心《关于编制 2023 年-2025 年中型灌区续建配套与节水改造项目立项建议报告编制技术指南》（中灌节水函〔2022〕15 号）、《焉耆县农田水利规划报告》委托编制完成了《焉耆县永宁中型灌区续建配套与节水改造项目实施方案》，并于2023年1月30日经巴州水利局（巴水办发[2023]14号）批复。</w:t>
      </w:r>
    </w:p>
    <w:p w14:paraId="10C3F00B">
      <w:pPr>
        <w:pageBreakBefore w:val="0"/>
        <w:widowControl w:val="0"/>
        <w:kinsoku/>
        <w:wordWrap/>
        <w:overflowPunct/>
        <w:topLinePunct w:val="0"/>
        <w:autoSpaceDE/>
        <w:autoSpaceDN/>
        <w:bidi w:val="0"/>
        <w:spacing w:line="560" w:lineRule="exact"/>
        <w:ind w:firstLine="600" w:firstLineChars="200"/>
        <w:textAlignment w:val="auto"/>
        <w:rPr>
          <w:rFonts w:ascii="仿宋_GB2312"/>
        </w:rPr>
      </w:pPr>
      <w:r>
        <w:rPr>
          <w:rFonts w:hint="eastAsia" w:ascii="仿宋_GB2312"/>
        </w:rPr>
        <w:t>2、主要内容</w:t>
      </w:r>
      <w:r>
        <w:rPr>
          <w:rFonts w:hint="eastAsia"/>
        </w:rPr>
        <w:t>及</w:t>
      </w:r>
      <w:r>
        <w:rPr>
          <w:rFonts w:hint="eastAsia" w:ascii="仿宋_GB2312"/>
        </w:rPr>
        <w:t>实施情况</w:t>
      </w:r>
    </w:p>
    <w:p w14:paraId="2C110A2C">
      <w:pPr>
        <w:pageBreakBefore w:val="0"/>
        <w:widowControl w:val="0"/>
        <w:kinsoku/>
        <w:wordWrap/>
        <w:overflowPunct/>
        <w:topLinePunct w:val="0"/>
        <w:autoSpaceDE/>
        <w:autoSpaceDN/>
        <w:bidi w:val="0"/>
        <w:spacing w:line="560" w:lineRule="exact"/>
        <w:ind w:firstLine="600" w:firstLineChars="200"/>
        <w:textAlignment w:val="auto"/>
        <w:rPr>
          <w:rFonts w:hint="eastAsia" w:ascii="仿宋" w:hAnsi="仿宋" w:eastAsia="仿宋" w:cs="仿宋"/>
          <w:sz w:val="30"/>
          <w:szCs w:val="30"/>
          <w:lang w:val="en-US" w:eastAsia="zh-CN"/>
        </w:rPr>
      </w:pPr>
      <w:r>
        <w:rPr>
          <w:rFonts w:hint="eastAsia" w:ascii="仿宋_GB2312"/>
        </w:rPr>
        <w:t>主要内容：</w:t>
      </w:r>
      <w:r>
        <w:rPr>
          <w:rFonts w:hint="eastAsia" w:ascii="仿宋" w:hAnsi="仿宋" w:eastAsia="仿宋" w:cs="仿宋"/>
          <w:sz w:val="30"/>
          <w:szCs w:val="30"/>
          <w:lang w:val="en-US" w:eastAsia="zh-CN"/>
        </w:rPr>
        <w:t>实施防渗改造支渠5公里，该工程建成后，可改善灌溉面积1.38万亩、提高灌溉保证率、改善水利基础设施条件，受益人数为2085人。</w:t>
      </w:r>
    </w:p>
    <w:p w14:paraId="14D1DBC4">
      <w:pPr>
        <w:pageBreakBefore w:val="0"/>
        <w:widowControl w:val="0"/>
        <w:kinsoku/>
        <w:wordWrap/>
        <w:overflowPunct/>
        <w:topLinePunct w:val="0"/>
        <w:autoSpaceDE/>
        <w:autoSpaceDN/>
        <w:bidi w:val="0"/>
        <w:spacing w:line="560" w:lineRule="exact"/>
        <w:ind w:firstLine="600" w:firstLineChars="200"/>
        <w:textAlignment w:val="auto"/>
        <w:rPr>
          <w:rFonts w:hint="eastAsia" w:ascii="仿宋" w:hAnsi="仿宋" w:eastAsia="仿宋" w:cs="仿宋"/>
          <w:sz w:val="30"/>
          <w:szCs w:val="30"/>
          <w:lang w:val="en-US" w:eastAsia="zh-CN"/>
        </w:rPr>
      </w:pPr>
      <w:r>
        <w:rPr>
          <w:rFonts w:hint="eastAsia" w:ascii="仿宋_GB2312"/>
        </w:rPr>
        <w:t>实施情况：</w:t>
      </w:r>
      <w:r>
        <w:rPr>
          <w:rFonts w:hint="eastAsia" w:ascii="仿宋" w:hAnsi="仿宋" w:eastAsia="仿宋" w:cs="仿宋"/>
          <w:sz w:val="30"/>
          <w:szCs w:val="30"/>
          <w:lang w:val="en-US" w:eastAsia="zh-CN"/>
        </w:rPr>
        <w:t>该项目于2023年5月7日开工建设，2023年12月31日完工。通过修建防渗支渠5公里，提高了灌区灌溉保证率、灌溉水的利用系数，降低灌区的毛灌溉定额，增大渠道输水能力，改善灌溉条件。改善灌溉面积1.38万亩，节水量达节约水量16.82万立方米，新增粮食生产能力2.59万公斤。</w:t>
      </w:r>
    </w:p>
    <w:p w14:paraId="3FF3B092">
      <w:pPr>
        <w:pageBreakBefore w:val="0"/>
        <w:widowControl w:val="0"/>
        <w:kinsoku/>
        <w:wordWrap/>
        <w:overflowPunct/>
        <w:topLinePunct w:val="0"/>
        <w:autoSpaceDE/>
        <w:autoSpaceDN/>
        <w:bidi w:val="0"/>
        <w:spacing w:line="560" w:lineRule="exact"/>
        <w:ind w:firstLine="600" w:firstLineChars="200"/>
        <w:textAlignment w:val="auto"/>
        <w:rPr>
          <w:rFonts w:ascii="仿宋_GB2312"/>
        </w:rPr>
      </w:pPr>
      <w:r>
        <w:rPr>
          <w:rFonts w:hint="eastAsia" w:ascii="仿宋_GB2312"/>
          <w:lang w:val="en-US" w:eastAsia="zh-CN"/>
        </w:rPr>
        <w:t>3</w:t>
      </w:r>
      <w:r>
        <w:rPr>
          <w:rFonts w:hint="eastAsia" w:ascii="仿宋_GB2312"/>
        </w:rPr>
        <w:t>、资金投入和使用情况</w:t>
      </w:r>
    </w:p>
    <w:p w14:paraId="12C6FF9A">
      <w:pPr>
        <w:pageBreakBefore w:val="0"/>
        <w:widowControl w:val="0"/>
        <w:kinsoku/>
        <w:wordWrap/>
        <w:overflowPunct/>
        <w:topLinePunct w:val="0"/>
        <w:autoSpaceDE/>
        <w:autoSpaceDN/>
        <w:bidi w:val="0"/>
        <w:spacing w:line="560" w:lineRule="exact"/>
        <w:ind w:firstLine="600" w:firstLineChars="200"/>
        <w:textAlignment w:val="auto"/>
        <w:rPr>
          <w:rFonts w:hint="eastAsia" w:ascii="仿宋" w:hAnsi="仿宋" w:eastAsia="仿宋" w:cs="仿宋"/>
          <w:sz w:val="30"/>
          <w:szCs w:val="30"/>
          <w:lang w:val="en-US" w:eastAsia="zh-CN"/>
        </w:rPr>
      </w:pPr>
      <w:r>
        <w:rPr>
          <w:rFonts w:hint="eastAsia"/>
        </w:rPr>
        <w:t>资金投入情况：</w:t>
      </w:r>
      <w:r>
        <w:rPr>
          <w:rFonts w:hint="eastAsia" w:ascii="仿宋" w:hAnsi="仿宋" w:eastAsia="仿宋" w:cs="仿宋"/>
          <w:sz w:val="30"/>
          <w:szCs w:val="30"/>
          <w:lang w:val="en-US" w:eastAsia="zh-CN"/>
        </w:rPr>
        <w:t>该项目年初预算数697万元，全年预算数697万元，实际总投入697万元，该项目资金已全部落实到位，中央水利发展资金。</w:t>
      </w:r>
    </w:p>
    <w:p w14:paraId="1F5085F8">
      <w:pPr>
        <w:pageBreakBefore w:val="0"/>
        <w:widowControl w:val="0"/>
        <w:kinsoku/>
        <w:wordWrap/>
        <w:overflowPunct/>
        <w:topLinePunct w:val="0"/>
        <w:autoSpaceDE/>
        <w:autoSpaceDN/>
        <w:bidi w:val="0"/>
        <w:spacing w:line="560" w:lineRule="exact"/>
        <w:ind w:firstLine="600" w:firstLineChars="200"/>
        <w:textAlignment w:val="auto"/>
        <w:rPr>
          <w:color w:val="FF0000"/>
        </w:rPr>
      </w:pPr>
      <w:r>
        <w:rPr>
          <w:rFonts w:hint="eastAsia"/>
        </w:rPr>
        <w:t>资金使用情况：</w:t>
      </w:r>
      <w:r>
        <w:rPr>
          <w:rFonts w:hint="eastAsia" w:ascii="仿宋" w:hAnsi="仿宋" w:eastAsia="仿宋" w:cs="仿宋"/>
          <w:sz w:val="30"/>
          <w:szCs w:val="30"/>
        </w:rPr>
        <w:t>该项目年初预算数</w:t>
      </w:r>
      <w:r>
        <w:rPr>
          <w:rFonts w:hint="eastAsia" w:ascii="仿宋" w:hAnsi="仿宋" w:eastAsia="仿宋" w:cs="仿宋"/>
          <w:sz w:val="30"/>
          <w:szCs w:val="30"/>
          <w:lang w:val="en-US" w:eastAsia="zh-CN"/>
        </w:rPr>
        <w:t>697</w:t>
      </w:r>
      <w:r>
        <w:rPr>
          <w:rFonts w:hint="eastAsia" w:ascii="仿宋" w:hAnsi="仿宋" w:eastAsia="仿宋" w:cs="仿宋"/>
          <w:sz w:val="30"/>
          <w:szCs w:val="30"/>
        </w:rPr>
        <w:t>万元，全年预算数</w:t>
      </w:r>
      <w:r>
        <w:rPr>
          <w:rFonts w:hint="eastAsia" w:ascii="仿宋" w:hAnsi="仿宋" w:eastAsia="仿宋" w:cs="仿宋"/>
          <w:sz w:val="30"/>
          <w:szCs w:val="30"/>
          <w:lang w:val="en-US" w:eastAsia="zh-CN"/>
        </w:rPr>
        <w:t>697</w:t>
      </w:r>
      <w:r>
        <w:rPr>
          <w:rFonts w:hint="eastAsia" w:ascii="仿宋" w:hAnsi="仿宋" w:eastAsia="仿宋" w:cs="仿宋"/>
          <w:sz w:val="30"/>
          <w:szCs w:val="30"/>
        </w:rPr>
        <w:t>万元，全年执行数</w:t>
      </w:r>
      <w:r>
        <w:rPr>
          <w:rFonts w:hint="eastAsia" w:ascii="仿宋" w:hAnsi="仿宋" w:eastAsia="仿宋" w:cs="仿宋"/>
          <w:sz w:val="30"/>
          <w:szCs w:val="30"/>
          <w:lang w:val="en-US" w:eastAsia="zh-CN"/>
        </w:rPr>
        <w:t>697</w:t>
      </w:r>
      <w:r>
        <w:rPr>
          <w:rFonts w:hint="eastAsia" w:ascii="仿宋" w:hAnsi="仿宋" w:eastAsia="仿宋" w:cs="仿宋"/>
          <w:sz w:val="30"/>
          <w:szCs w:val="30"/>
        </w:rPr>
        <w:t>万元，预算执行率为100%，用于：全部投入</w:t>
      </w:r>
      <w:r>
        <w:rPr>
          <w:rFonts w:hint="eastAsia" w:ascii="仿宋" w:hAnsi="仿宋" w:eastAsia="仿宋" w:cs="仿宋"/>
          <w:sz w:val="30"/>
          <w:szCs w:val="30"/>
          <w:lang w:val="en-US" w:eastAsia="zh-CN"/>
        </w:rPr>
        <w:t>焉耆县永宁中型灌区续建配套与节水改造项目</w:t>
      </w:r>
      <w:r>
        <w:rPr>
          <w:rFonts w:hint="eastAsia" w:ascii="仿宋" w:hAnsi="仿宋" w:eastAsia="仿宋" w:cs="仿宋"/>
          <w:sz w:val="30"/>
          <w:szCs w:val="30"/>
        </w:rPr>
        <w:t>。</w:t>
      </w:r>
    </w:p>
    <w:p w14:paraId="32CA63D2">
      <w:pPr>
        <w:pStyle w:val="3"/>
        <w:pageBreakBefore w:val="0"/>
        <w:widowControl w:val="0"/>
        <w:kinsoku/>
        <w:wordWrap/>
        <w:overflowPunct/>
        <w:topLinePunct w:val="0"/>
        <w:autoSpaceDE/>
        <w:autoSpaceDN/>
        <w:bidi w:val="0"/>
        <w:spacing w:before="0" w:after="0" w:line="560" w:lineRule="exact"/>
        <w:ind w:firstLine="640" w:firstLineChars="200"/>
        <w:textAlignment w:val="auto"/>
        <w:rPr>
          <w:rFonts w:ascii="仿宋_GB2312" w:eastAsia="仿宋_GB2312"/>
          <w:b w:val="0"/>
          <w:bCs w:val="0"/>
        </w:rPr>
      </w:pPr>
      <w:bookmarkStart w:id="2" w:name="_Toc68703829"/>
      <w:r>
        <w:rPr>
          <w:rFonts w:hint="eastAsia" w:ascii="仿宋_GB2312" w:eastAsia="仿宋_GB2312"/>
          <w:b w:val="0"/>
          <w:bCs w:val="0"/>
        </w:rPr>
        <w:t>（二）项目绩效目标。</w:t>
      </w:r>
      <w:bookmarkEnd w:id="2"/>
    </w:p>
    <w:p w14:paraId="46C159BE">
      <w:pPr>
        <w:pageBreakBefore w:val="0"/>
        <w:widowControl w:val="0"/>
        <w:kinsoku/>
        <w:wordWrap/>
        <w:overflowPunct/>
        <w:topLinePunct w:val="0"/>
        <w:autoSpaceDE/>
        <w:autoSpaceDN/>
        <w:bidi w:val="0"/>
        <w:spacing w:line="560" w:lineRule="exact"/>
        <w:ind w:firstLine="600" w:firstLineChars="200"/>
        <w:textAlignment w:val="auto"/>
        <w:rPr>
          <w:rFonts w:hint="eastAsia"/>
        </w:rPr>
      </w:pPr>
      <w:r>
        <w:rPr>
          <w:rFonts w:hint="eastAsia"/>
        </w:rPr>
        <w:t>1、总体目标</w:t>
      </w:r>
    </w:p>
    <w:p w14:paraId="5C9C4702">
      <w:pPr>
        <w:pageBreakBefore w:val="0"/>
        <w:widowControl w:val="0"/>
        <w:kinsoku/>
        <w:wordWrap/>
        <w:overflowPunct/>
        <w:topLinePunct w:val="0"/>
        <w:autoSpaceDE/>
        <w:autoSpaceDN/>
        <w:bidi w:val="0"/>
        <w:spacing w:line="560" w:lineRule="exact"/>
        <w:ind w:firstLine="600" w:firstLineChars="200"/>
        <w:textAlignment w:val="auto"/>
        <w:rPr>
          <w:rFonts w:ascii="仿宋" w:hAnsi="仿宋" w:eastAsia="仿宋" w:cs="仿宋"/>
          <w:sz w:val="30"/>
          <w:szCs w:val="30"/>
        </w:rPr>
      </w:pPr>
      <w:r>
        <w:rPr>
          <w:rFonts w:hint="eastAsia" w:ascii="仿宋" w:hAnsi="仿宋" w:eastAsia="仿宋" w:cs="仿宋"/>
          <w:sz w:val="30"/>
          <w:szCs w:val="30"/>
        </w:rPr>
        <w:t>实施焉耆县永宁中型灌区续建配套与节水改造项目，中型灌区节水配套改造面积1.38万亩，工程验收合格率达到100%；已建工程无质量问题；截至2023年底投资完成比例达到80%以上；预算控制率不超过100%，改善灌溉面1.38万亩，新增年节水能力16.82万立方米；新增粮食综合生产能力2.59万公斤，受益群众满意度达到90%以上。</w:t>
      </w:r>
    </w:p>
    <w:p w14:paraId="4999CD4E">
      <w:pPr>
        <w:pStyle w:val="5"/>
        <w:pageBreakBefore w:val="0"/>
        <w:widowControl w:val="0"/>
        <w:tabs>
          <w:tab w:val="left" w:pos="6372"/>
        </w:tabs>
        <w:kinsoku/>
        <w:wordWrap/>
        <w:overflowPunct/>
        <w:topLinePunct w:val="0"/>
        <w:autoSpaceDE/>
        <w:autoSpaceDN/>
        <w:bidi w:val="0"/>
        <w:adjustRightInd w:val="0"/>
        <w:snapToGrid w:val="0"/>
        <w:spacing w:line="560" w:lineRule="exact"/>
        <w:ind w:firstLine="600" w:firstLineChars="200"/>
        <w:textAlignment w:val="auto"/>
        <w:rPr>
          <w:rFonts w:hint="eastAsia"/>
        </w:rPr>
      </w:pPr>
      <w:r>
        <w:t>2</w:t>
      </w:r>
      <w:r>
        <w:rPr>
          <w:rFonts w:hint="eastAsia"/>
        </w:rPr>
        <w:t>、阶段性目标</w:t>
      </w:r>
    </w:p>
    <w:p w14:paraId="464317F6">
      <w:pPr>
        <w:pStyle w:val="5"/>
        <w:pageBreakBefore w:val="0"/>
        <w:widowControl w:val="0"/>
        <w:tabs>
          <w:tab w:val="left" w:pos="6372"/>
        </w:tabs>
        <w:kinsoku/>
        <w:wordWrap/>
        <w:overflowPunct/>
        <w:topLinePunct w:val="0"/>
        <w:autoSpaceDE/>
        <w:autoSpaceDN/>
        <w:bidi w:val="0"/>
        <w:adjustRightInd w:val="0"/>
        <w:snapToGrid w:val="0"/>
        <w:spacing w:line="560" w:lineRule="exact"/>
        <w:ind w:firstLine="600" w:firstLineChars="200"/>
        <w:textAlignment w:val="auto"/>
        <w:rPr>
          <w:rFonts w:ascii="仿宋" w:hAnsi="仿宋" w:eastAsia="仿宋" w:cs="仿宋"/>
          <w:sz w:val="30"/>
          <w:szCs w:val="30"/>
        </w:rPr>
      </w:pPr>
      <w:r>
        <w:rPr>
          <w:rFonts w:hint="eastAsia" w:ascii="仿宋" w:hAnsi="仿宋" w:eastAsia="仿宋" w:cs="仿宋"/>
          <w:sz w:val="30"/>
          <w:szCs w:val="30"/>
          <w:lang w:val="en-US" w:eastAsia="zh-CN"/>
        </w:rPr>
        <w:t>第一阶段；</w:t>
      </w:r>
      <w:r>
        <w:rPr>
          <w:rFonts w:hint="eastAsia" w:ascii="仿宋" w:hAnsi="仿宋" w:eastAsia="仿宋" w:cs="仿宋"/>
          <w:sz w:val="30"/>
          <w:szCs w:val="30"/>
        </w:rPr>
        <w:t>202</w:t>
      </w:r>
      <w:r>
        <w:rPr>
          <w:rFonts w:hint="eastAsia" w:ascii="仿宋" w:hAnsi="仿宋" w:eastAsia="仿宋" w:cs="仿宋"/>
          <w:sz w:val="30"/>
          <w:szCs w:val="30"/>
          <w:lang w:val="en-US" w:eastAsia="zh-CN"/>
        </w:rPr>
        <w:t>3</w:t>
      </w:r>
      <w:r>
        <w:rPr>
          <w:rFonts w:hint="eastAsia" w:ascii="仿宋" w:hAnsi="仿宋" w:eastAsia="仿宋" w:cs="仿宋"/>
          <w:sz w:val="30"/>
          <w:szCs w:val="30"/>
        </w:rPr>
        <w:t>年</w:t>
      </w:r>
      <w:r>
        <w:rPr>
          <w:rFonts w:hint="eastAsia" w:ascii="仿宋" w:hAnsi="仿宋" w:eastAsia="仿宋" w:cs="仿宋"/>
          <w:sz w:val="30"/>
          <w:szCs w:val="30"/>
          <w:lang w:val="en-US" w:eastAsia="zh-CN"/>
        </w:rPr>
        <w:t>5</w:t>
      </w:r>
      <w:r>
        <w:rPr>
          <w:rFonts w:hint="eastAsia" w:ascii="仿宋" w:hAnsi="仿宋" w:eastAsia="仿宋" w:cs="仿宋"/>
          <w:sz w:val="30"/>
          <w:szCs w:val="30"/>
        </w:rPr>
        <w:t>月</w:t>
      </w:r>
      <w:r>
        <w:rPr>
          <w:rFonts w:hint="eastAsia" w:ascii="仿宋" w:hAnsi="仿宋" w:eastAsia="仿宋" w:cs="仿宋"/>
          <w:sz w:val="30"/>
          <w:szCs w:val="30"/>
          <w:lang w:val="en-US" w:eastAsia="zh-CN"/>
        </w:rPr>
        <w:t>9日开工建设，截止6月前完成渠道土方开挖工程，对完成的土方开挖工程进行验收，工程全部合格，不存在质量问题</w:t>
      </w:r>
      <w:r>
        <w:rPr>
          <w:rFonts w:hint="eastAsia" w:ascii="仿宋" w:hAnsi="仿宋" w:eastAsia="仿宋" w:cs="仿宋"/>
          <w:sz w:val="30"/>
          <w:szCs w:val="30"/>
        </w:rPr>
        <w:t>；</w:t>
      </w:r>
    </w:p>
    <w:p w14:paraId="3254BE33">
      <w:pPr>
        <w:pStyle w:val="5"/>
        <w:pageBreakBefore w:val="0"/>
        <w:widowControl w:val="0"/>
        <w:tabs>
          <w:tab w:val="left" w:pos="6372"/>
        </w:tabs>
        <w:kinsoku/>
        <w:wordWrap/>
        <w:overflowPunct/>
        <w:topLinePunct w:val="0"/>
        <w:autoSpaceDE/>
        <w:autoSpaceDN/>
        <w:bidi w:val="0"/>
        <w:adjustRightInd w:val="0"/>
        <w:snapToGrid w:val="0"/>
        <w:spacing w:line="560" w:lineRule="exact"/>
        <w:ind w:firstLine="600" w:firstLineChars="200"/>
        <w:textAlignment w:val="auto"/>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第二阶段：</w:t>
      </w:r>
      <w:r>
        <w:rPr>
          <w:rFonts w:hint="eastAsia" w:ascii="仿宋" w:hAnsi="仿宋" w:eastAsia="仿宋" w:cs="仿宋"/>
          <w:sz w:val="30"/>
          <w:szCs w:val="30"/>
          <w:highlight w:val="none"/>
        </w:rPr>
        <w:t>202</w:t>
      </w:r>
      <w:r>
        <w:rPr>
          <w:rFonts w:hint="eastAsia" w:ascii="仿宋" w:hAnsi="仿宋" w:eastAsia="仿宋" w:cs="仿宋"/>
          <w:sz w:val="30"/>
          <w:szCs w:val="30"/>
          <w:highlight w:val="none"/>
          <w:lang w:val="en-US" w:eastAsia="zh-CN"/>
        </w:rPr>
        <w:t>3</w:t>
      </w:r>
      <w:r>
        <w:rPr>
          <w:rFonts w:hint="eastAsia" w:ascii="仿宋" w:hAnsi="仿宋" w:eastAsia="仿宋" w:cs="仿宋"/>
          <w:sz w:val="30"/>
          <w:szCs w:val="30"/>
          <w:highlight w:val="none"/>
        </w:rPr>
        <w:t>年</w:t>
      </w:r>
      <w:r>
        <w:rPr>
          <w:rFonts w:hint="eastAsia" w:ascii="仿宋" w:hAnsi="仿宋" w:eastAsia="仿宋" w:cs="仿宋"/>
          <w:sz w:val="30"/>
          <w:szCs w:val="30"/>
          <w:highlight w:val="none"/>
          <w:lang w:val="en-US" w:eastAsia="zh-CN"/>
        </w:rPr>
        <w:t>7</w:t>
      </w:r>
      <w:r>
        <w:rPr>
          <w:rFonts w:hint="eastAsia" w:ascii="仿宋" w:hAnsi="仿宋" w:eastAsia="仿宋" w:cs="仿宋"/>
          <w:sz w:val="30"/>
          <w:szCs w:val="30"/>
          <w:highlight w:val="none"/>
        </w:rPr>
        <w:t>月前</w:t>
      </w:r>
      <w:r>
        <w:rPr>
          <w:rFonts w:hint="eastAsia" w:ascii="仿宋" w:hAnsi="仿宋" w:eastAsia="仿宋" w:cs="仿宋"/>
          <w:sz w:val="30"/>
          <w:szCs w:val="30"/>
          <w:highlight w:val="none"/>
          <w:lang w:eastAsia="zh-CN"/>
        </w:rPr>
        <w:t>完成砂砾石回填工程，</w:t>
      </w:r>
      <w:r>
        <w:rPr>
          <w:rFonts w:hint="eastAsia" w:ascii="仿宋" w:hAnsi="仿宋" w:eastAsia="仿宋" w:cs="仿宋"/>
          <w:sz w:val="30"/>
          <w:szCs w:val="30"/>
          <w:highlight w:val="none"/>
          <w:lang w:val="en-US" w:eastAsia="zh-CN"/>
        </w:rPr>
        <w:t>并对</w:t>
      </w:r>
      <w:r>
        <w:rPr>
          <w:rFonts w:hint="eastAsia" w:ascii="仿宋" w:hAnsi="仿宋" w:eastAsia="仿宋" w:cs="仿宋"/>
          <w:sz w:val="30"/>
          <w:szCs w:val="30"/>
          <w:lang w:val="en-US" w:eastAsia="zh-CN"/>
        </w:rPr>
        <w:t>完成的</w:t>
      </w:r>
      <w:r>
        <w:rPr>
          <w:rFonts w:hint="eastAsia" w:ascii="仿宋" w:hAnsi="仿宋" w:eastAsia="仿宋" w:cs="仿宋"/>
          <w:sz w:val="30"/>
          <w:szCs w:val="30"/>
          <w:highlight w:val="none"/>
          <w:lang w:eastAsia="zh-CN"/>
        </w:rPr>
        <w:t>砂砾石回填工程</w:t>
      </w:r>
      <w:r>
        <w:rPr>
          <w:rFonts w:hint="eastAsia" w:ascii="仿宋" w:hAnsi="仿宋" w:eastAsia="仿宋" w:cs="仿宋"/>
          <w:sz w:val="30"/>
          <w:szCs w:val="30"/>
          <w:lang w:val="en-US" w:eastAsia="zh-CN"/>
        </w:rPr>
        <w:t>进行了验收，工程全部合格，不存在质量问题</w:t>
      </w:r>
      <w:r>
        <w:rPr>
          <w:rFonts w:hint="eastAsia" w:ascii="仿宋" w:hAnsi="仿宋" w:eastAsia="仿宋" w:cs="仿宋"/>
          <w:sz w:val="30"/>
          <w:szCs w:val="30"/>
          <w:highlight w:val="none"/>
          <w:lang w:eastAsia="zh-CN"/>
        </w:rPr>
        <w:t>；</w:t>
      </w:r>
    </w:p>
    <w:p w14:paraId="649FD696">
      <w:pPr>
        <w:pStyle w:val="5"/>
        <w:pageBreakBefore w:val="0"/>
        <w:widowControl w:val="0"/>
        <w:tabs>
          <w:tab w:val="left" w:pos="6372"/>
        </w:tabs>
        <w:kinsoku/>
        <w:wordWrap/>
        <w:overflowPunct/>
        <w:topLinePunct w:val="0"/>
        <w:autoSpaceDE/>
        <w:autoSpaceDN/>
        <w:bidi w:val="0"/>
        <w:adjustRightInd w:val="0"/>
        <w:snapToGrid w:val="0"/>
        <w:spacing w:line="560" w:lineRule="exact"/>
        <w:ind w:firstLine="600" w:firstLineChars="200"/>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第三阶段：</w:t>
      </w:r>
      <w:r>
        <w:rPr>
          <w:rFonts w:hint="eastAsia" w:ascii="仿宋" w:hAnsi="仿宋" w:eastAsia="仿宋" w:cs="仿宋"/>
          <w:sz w:val="30"/>
          <w:szCs w:val="30"/>
          <w:highlight w:val="none"/>
        </w:rPr>
        <w:t>202</w:t>
      </w:r>
      <w:r>
        <w:rPr>
          <w:rFonts w:hint="eastAsia" w:ascii="仿宋" w:hAnsi="仿宋" w:eastAsia="仿宋" w:cs="仿宋"/>
          <w:sz w:val="30"/>
          <w:szCs w:val="30"/>
          <w:highlight w:val="none"/>
          <w:lang w:val="en-US" w:eastAsia="zh-CN"/>
        </w:rPr>
        <w:t>3</w:t>
      </w:r>
      <w:r>
        <w:rPr>
          <w:rFonts w:hint="eastAsia" w:ascii="仿宋" w:hAnsi="仿宋" w:eastAsia="仿宋" w:cs="仿宋"/>
          <w:sz w:val="30"/>
          <w:szCs w:val="30"/>
          <w:highlight w:val="none"/>
        </w:rPr>
        <w:t>年</w:t>
      </w:r>
      <w:r>
        <w:rPr>
          <w:rFonts w:hint="eastAsia" w:ascii="仿宋" w:hAnsi="仿宋" w:eastAsia="仿宋" w:cs="仿宋"/>
          <w:sz w:val="30"/>
          <w:szCs w:val="30"/>
          <w:highlight w:val="none"/>
          <w:lang w:val="en-US" w:eastAsia="zh-CN"/>
        </w:rPr>
        <w:t>11</w:t>
      </w:r>
      <w:r>
        <w:rPr>
          <w:rFonts w:hint="eastAsia" w:ascii="仿宋" w:hAnsi="仿宋" w:eastAsia="仿宋" w:cs="仿宋"/>
          <w:sz w:val="30"/>
          <w:szCs w:val="30"/>
          <w:highlight w:val="none"/>
        </w:rPr>
        <w:t>月前，完成渠道</w:t>
      </w:r>
      <w:r>
        <w:rPr>
          <w:rFonts w:hint="eastAsia" w:ascii="仿宋" w:hAnsi="仿宋" w:eastAsia="仿宋" w:cs="仿宋"/>
          <w:sz w:val="30"/>
          <w:szCs w:val="30"/>
          <w:highlight w:val="none"/>
          <w:lang w:eastAsia="zh-CN"/>
        </w:rPr>
        <w:t>混凝土板铺设，完成</w:t>
      </w:r>
      <w:r>
        <w:rPr>
          <w:rFonts w:hint="eastAsia" w:ascii="仿宋" w:hAnsi="仿宋" w:eastAsia="仿宋" w:cs="仿宋"/>
          <w:sz w:val="30"/>
          <w:szCs w:val="30"/>
          <w:highlight w:val="none"/>
        </w:rPr>
        <w:t>防渗</w:t>
      </w:r>
      <w:r>
        <w:rPr>
          <w:rFonts w:hint="eastAsia" w:ascii="仿宋" w:hAnsi="仿宋" w:eastAsia="仿宋" w:cs="仿宋"/>
          <w:sz w:val="30"/>
          <w:szCs w:val="30"/>
          <w:highlight w:val="none"/>
          <w:lang w:eastAsia="zh-CN"/>
        </w:rPr>
        <w:t>渠道</w:t>
      </w:r>
      <w:r>
        <w:rPr>
          <w:rFonts w:hint="eastAsia" w:ascii="仿宋" w:hAnsi="仿宋" w:eastAsia="仿宋" w:cs="仿宋"/>
          <w:sz w:val="30"/>
          <w:szCs w:val="30"/>
          <w:highlight w:val="none"/>
          <w:lang w:val="en-US" w:eastAsia="zh-CN"/>
        </w:rPr>
        <w:t>5</w:t>
      </w:r>
      <w:r>
        <w:rPr>
          <w:rFonts w:hint="eastAsia" w:ascii="仿宋" w:hAnsi="仿宋" w:eastAsia="仿宋" w:cs="仿宋"/>
          <w:sz w:val="30"/>
          <w:szCs w:val="30"/>
          <w:highlight w:val="none"/>
        </w:rPr>
        <w:t>公里建设工作</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lang w:val="en-US" w:eastAsia="zh-CN"/>
        </w:rPr>
        <w:t>渠道</w:t>
      </w:r>
      <w:r>
        <w:rPr>
          <w:rFonts w:hint="eastAsia" w:ascii="仿宋" w:hAnsi="仿宋" w:eastAsia="仿宋" w:cs="仿宋"/>
          <w:sz w:val="30"/>
          <w:szCs w:val="30"/>
          <w:lang w:val="en-US" w:eastAsia="zh-CN"/>
        </w:rPr>
        <w:t>工程验收全部合格，不存在质量问题。</w:t>
      </w:r>
      <w:r>
        <w:rPr>
          <w:rFonts w:hint="eastAsia" w:ascii="仿宋" w:hAnsi="仿宋" w:eastAsia="仿宋" w:cs="仿宋"/>
          <w:sz w:val="30"/>
          <w:szCs w:val="30"/>
          <w:highlight w:val="none"/>
          <w:lang w:eastAsia="zh-CN"/>
        </w:rPr>
        <w:t>通过渠道防渗工程改善灌溉面积</w:t>
      </w:r>
      <w:r>
        <w:rPr>
          <w:rFonts w:hint="eastAsia" w:ascii="仿宋" w:hAnsi="仿宋" w:eastAsia="仿宋" w:cs="仿宋"/>
          <w:sz w:val="30"/>
          <w:szCs w:val="30"/>
          <w:highlight w:val="none"/>
          <w:lang w:val="en-US" w:eastAsia="zh-CN"/>
        </w:rPr>
        <w:t>1.38万亩</w:t>
      </w:r>
      <w:r>
        <w:rPr>
          <w:rFonts w:hint="eastAsia" w:ascii="仿宋" w:hAnsi="仿宋" w:eastAsia="仿宋" w:cs="仿宋"/>
          <w:sz w:val="30"/>
          <w:szCs w:val="30"/>
          <w:highlight w:val="none"/>
        </w:rPr>
        <w:t>。</w:t>
      </w:r>
    </w:p>
    <w:p w14:paraId="467435F2">
      <w:pPr>
        <w:pageBreakBefore w:val="0"/>
        <w:widowControl w:val="0"/>
        <w:kinsoku/>
        <w:wordWrap/>
        <w:overflowPunct/>
        <w:topLinePunct w:val="0"/>
        <w:autoSpaceDE/>
        <w:autoSpaceDN/>
        <w:bidi w:val="0"/>
        <w:spacing w:line="560" w:lineRule="exact"/>
        <w:ind w:firstLine="600" w:firstLineChars="200"/>
        <w:textAlignment w:val="auto"/>
      </w:pPr>
      <w:r>
        <w:rPr>
          <w:rFonts w:hint="eastAsia" w:ascii="仿宋" w:hAnsi="仿宋" w:eastAsia="仿宋" w:cs="仿宋"/>
          <w:sz w:val="30"/>
          <w:szCs w:val="30"/>
          <w:highlight w:val="none"/>
          <w:lang w:val="en-US" w:eastAsia="zh-CN"/>
        </w:rPr>
        <w:t>第四阶段：</w:t>
      </w:r>
      <w:r>
        <w:rPr>
          <w:rFonts w:hint="eastAsia" w:ascii="仿宋" w:hAnsi="仿宋" w:eastAsia="仿宋" w:cs="仿宋"/>
          <w:sz w:val="30"/>
          <w:szCs w:val="30"/>
          <w:highlight w:val="none"/>
        </w:rPr>
        <w:t>202</w:t>
      </w:r>
      <w:r>
        <w:rPr>
          <w:rFonts w:hint="eastAsia" w:ascii="仿宋" w:hAnsi="仿宋" w:eastAsia="仿宋" w:cs="仿宋"/>
          <w:sz w:val="30"/>
          <w:szCs w:val="30"/>
          <w:highlight w:val="none"/>
          <w:lang w:val="en-US" w:eastAsia="zh-CN"/>
        </w:rPr>
        <w:t>3</w:t>
      </w:r>
      <w:r>
        <w:rPr>
          <w:rFonts w:hint="eastAsia" w:ascii="仿宋" w:hAnsi="仿宋" w:eastAsia="仿宋" w:cs="仿宋"/>
          <w:sz w:val="30"/>
          <w:szCs w:val="30"/>
          <w:highlight w:val="none"/>
        </w:rPr>
        <w:t>年</w:t>
      </w:r>
      <w:r>
        <w:rPr>
          <w:rFonts w:hint="eastAsia" w:ascii="仿宋" w:hAnsi="仿宋" w:eastAsia="仿宋" w:cs="仿宋"/>
          <w:sz w:val="30"/>
          <w:szCs w:val="30"/>
          <w:highlight w:val="none"/>
          <w:lang w:val="en-US" w:eastAsia="zh-CN"/>
        </w:rPr>
        <w:t>12</w:t>
      </w:r>
      <w:r>
        <w:rPr>
          <w:rFonts w:hint="eastAsia" w:ascii="仿宋" w:hAnsi="仿宋" w:eastAsia="仿宋" w:cs="仿宋"/>
          <w:sz w:val="30"/>
          <w:szCs w:val="30"/>
          <w:highlight w:val="none"/>
        </w:rPr>
        <w:t>月</w:t>
      </w:r>
      <w:r>
        <w:rPr>
          <w:rFonts w:hint="eastAsia" w:ascii="仿宋" w:hAnsi="仿宋" w:eastAsia="仿宋" w:cs="仿宋"/>
          <w:sz w:val="30"/>
          <w:szCs w:val="30"/>
          <w:highlight w:val="none"/>
          <w:lang w:val="en-US" w:eastAsia="zh-CN"/>
        </w:rPr>
        <w:t>底，工程完成投资697万元，投资完成比例为100%，</w:t>
      </w:r>
      <w:r>
        <w:rPr>
          <w:rFonts w:hint="eastAsia" w:ascii="仿宋" w:hAnsi="仿宋" w:eastAsia="仿宋" w:cs="仿宋"/>
          <w:sz w:val="30"/>
          <w:szCs w:val="30"/>
        </w:rPr>
        <w:t>预算控制率100%，改善灌溉面1.38万亩</w:t>
      </w:r>
      <w:r>
        <w:rPr>
          <w:rFonts w:hint="eastAsia" w:ascii="仿宋" w:hAnsi="仿宋" w:eastAsia="仿宋" w:cs="仿宋"/>
          <w:sz w:val="30"/>
          <w:szCs w:val="30"/>
          <w:lang w:eastAsia="zh-CN"/>
        </w:rPr>
        <w:t>，</w:t>
      </w:r>
      <w:r>
        <w:rPr>
          <w:rFonts w:hint="eastAsia" w:ascii="仿宋" w:hAnsi="仿宋" w:eastAsia="仿宋" w:cs="仿宋"/>
          <w:sz w:val="30"/>
          <w:szCs w:val="30"/>
        </w:rPr>
        <w:t>新增年节水能力</w:t>
      </w:r>
      <w:r>
        <w:rPr>
          <w:rFonts w:hint="eastAsia" w:ascii="仿宋" w:hAnsi="仿宋" w:eastAsia="仿宋" w:cs="仿宋"/>
          <w:sz w:val="30"/>
          <w:szCs w:val="30"/>
          <w:lang w:val="en-US" w:eastAsia="zh-CN"/>
        </w:rPr>
        <w:t>将达到</w:t>
      </w:r>
      <w:r>
        <w:rPr>
          <w:rFonts w:hint="eastAsia" w:ascii="仿宋" w:hAnsi="仿宋" w:eastAsia="仿宋" w:cs="仿宋"/>
          <w:sz w:val="30"/>
          <w:szCs w:val="30"/>
        </w:rPr>
        <w:t>16.82万立方米</w:t>
      </w:r>
      <w:r>
        <w:rPr>
          <w:rFonts w:hint="eastAsia" w:ascii="仿宋" w:hAnsi="仿宋" w:eastAsia="仿宋" w:cs="仿宋"/>
          <w:sz w:val="30"/>
          <w:szCs w:val="30"/>
          <w:lang w:eastAsia="zh-CN"/>
        </w:rPr>
        <w:t>，</w:t>
      </w:r>
      <w:r>
        <w:rPr>
          <w:rFonts w:hint="eastAsia" w:ascii="仿宋" w:hAnsi="仿宋" w:eastAsia="仿宋" w:cs="仿宋"/>
          <w:sz w:val="30"/>
          <w:szCs w:val="30"/>
        </w:rPr>
        <w:t>新增粮食综合生产能</w:t>
      </w:r>
      <w:r>
        <w:rPr>
          <w:rFonts w:hint="eastAsia" w:ascii="仿宋" w:hAnsi="仿宋" w:eastAsia="仿宋" w:cs="仿宋"/>
          <w:sz w:val="30"/>
          <w:szCs w:val="30"/>
          <w:lang w:val="en-US" w:eastAsia="zh-CN"/>
        </w:rPr>
        <w:t>将达到</w:t>
      </w:r>
      <w:r>
        <w:rPr>
          <w:rFonts w:hint="eastAsia" w:ascii="仿宋" w:hAnsi="仿宋" w:eastAsia="仿宋" w:cs="仿宋"/>
          <w:sz w:val="30"/>
          <w:szCs w:val="30"/>
        </w:rPr>
        <w:t>2.59万公斤</w:t>
      </w:r>
      <w:r>
        <w:rPr>
          <w:rFonts w:hint="eastAsia" w:ascii="仿宋" w:hAnsi="仿宋" w:eastAsia="仿宋" w:cs="仿宋"/>
          <w:sz w:val="30"/>
          <w:szCs w:val="30"/>
          <w:lang w:eastAsia="zh-CN"/>
        </w:rPr>
        <w:t>，</w:t>
      </w:r>
      <w:r>
        <w:rPr>
          <w:rFonts w:hint="eastAsia" w:ascii="仿宋" w:hAnsi="仿宋" w:eastAsia="仿宋" w:cs="仿宋"/>
          <w:sz w:val="30"/>
          <w:szCs w:val="30"/>
        </w:rPr>
        <w:t>受益群众满意度达到9</w:t>
      </w:r>
      <w:r>
        <w:rPr>
          <w:rFonts w:hint="eastAsia" w:ascii="仿宋" w:hAnsi="仿宋" w:eastAsia="仿宋" w:cs="仿宋"/>
          <w:sz w:val="30"/>
          <w:szCs w:val="30"/>
          <w:lang w:val="en-US" w:eastAsia="zh-CN"/>
        </w:rPr>
        <w:t>8</w:t>
      </w:r>
      <w:r>
        <w:rPr>
          <w:rFonts w:hint="eastAsia" w:ascii="仿宋" w:hAnsi="仿宋" w:eastAsia="仿宋" w:cs="仿宋"/>
          <w:sz w:val="30"/>
          <w:szCs w:val="30"/>
        </w:rPr>
        <w:t>%。</w:t>
      </w:r>
    </w:p>
    <w:p w14:paraId="7E7DBECE">
      <w:pPr>
        <w:pStyle w:val="2"/>
        <w:pageBreakBefore w:val="0"/>
        <w:widowControl w:val="0"/>
        <w:kinsoku/>
        <w:wordWrap/>
        <w:overflowPunct/>
        <w:topLinePunct w:val="0"/>
        <w:autoSpaceDE/>
        <w:autoSpaceDN/>
        <w:bidi w:val="0"/>
        <w:spacing w:before="0" w:after="0" w:line="560" w:lineRule="exact"/>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1F06FFFB">
      <w:pPr>
        <w:pStyle w:val="3"/>
        <w:pageBreakBefore w:val="0"/>
        <w:widowControl w:val="0"/>
        <w:kinsoku/>
        <w:wordWrap/>
        <w:overflowPunct/>
        <w:topLinePunct w:val="0"/>
        <w:autoSpaceDE/>
        <w:autoSpaceDN/>
        <w:bidi w:val="0"/>
        <w:spacing w:before="0" w:after="0" w:line="560" w:lineRule="exact"/>
        <w:textAlignment w:val="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14:paraId="5170EF04">
      <w:pPr>
        <w:pageBreakBefore w:val="0"/>
        <w:widowControl w:val="0"/>
        <w:kinsoku/>
        <w:wordWrap/>
        <w:overflowPunct/>
        <w:topLinePunct w:val="0"/>
        <w:autoSpaceDE/>
        <w:autoSpaceDN/>
        <w:bidi w:val="0"/>
        <w:spacing w:line="560" w:lineRule="exact"/>
        <w:textAlignment w:val="auto"/>
      </w:pPr>
      <w:r>
        <w:rPr>
          <w:rFonts w:hint="eastAsia"/>
        </w:rPr>
        <w:t>1、绩效评价目的：</w:t>
      </w:r>
    </w:p>
    <w:p w14:paraId="1BC5E430">
      <w:pPr>
        <w:pageBreakBefore w:val="0"/>
        <w:widowControl w:val="0"/>
        <w:kinsoku/>
        <w:wordWrap/>
        <w:overflowPunct/>
        <w:topLinePunct w:val="0"/>
        <w:autoSpaceDE/>
        <w:autoSpaceDN/>
        <w:bidi w:val="0"/>
        <w:spacing w:line="560" w:lineRule="exact"/>
        <w:ind w:firstLine="60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rPr>
        <w:t>通过</w:t>
      </w:r>
      <w:r>
        <w:rPr>
          <w:rFonts w:hint="eastAsia" w:ascii="仿宋" w:hAnsi="仿宋" w:eastAsia="仿宋" w:cs="仿宋"/>
          <w:sz w:val="30"/>
          <w:szCs w:val="30"/>
          <w:lang w:val="en-US" w:eastAsia="zh-CN"/>
        </w:rPr>
        <w:t>绩效</w:t>
      </w:r>
      <w:r>
        <w:rPr>
          <w:rFonts w:hint="eastAsia" w:ascii="仿宋" w:hAnsi="仿宋" w:eastAsia="仿宋" w:cs="仿宋"/>
          <w:sz w:val="30"/>
          <w:szCs w:val="30"/>
        </w:rPr>
        <w:t>评价</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客观地评判项目的管理绩效，了解和掌握新疆巴州焉耆县永宁中型灌区续建配套与节水改造项目经费的具体情况，评价该项目资金安排的科学性、合理性、规范性和资金的使用成效，及时总结项目管理经验，完善项目管理办法、提高项目管理水平和资金使用效益。促使我局根据绩效评价中发现的问题，认真加以改正，及时调整和完善单位的工作计划和绩效目标并加强项目管理，提高管理水平，同时为项目后续资金投入、分配和管理提供决策依据。</w:t>
      </w:r>
    </w:p>
    <w:p w14:paraId="68466793">
      <w:pPr>
        <w:pageBreakBefore w:val="0"/>
        <w:widowControl w:val="0"/>
        <w:kinsoku/>
        <w:wordWrap/>
        <w:overflowPunct/>
        <w:topLinePunct w:val="0"/>
        <w:autoSpaceDE/>
        <w:autoSpaceDN/>
        <w:bidi w:val="0"/>
        <w:spacing w:line="560" w:lineRule="exact"/>
        <w:ind w:firstLine="600" w:firstLineChars="200"/>
        <w:jc w:val="left"/>
        <w:textAlignment w:val="auto"/>
      </w:pPr>
      <w:r>
        <w:rPr>
          <w:rFonts w:hint="eastAsia"/>
        </w:rPr>
        <w:t>2、绩效评价对象：</w:t>
      </w:r>
    </w:p>
    <w:p w14:paraId="0B4EA3C7">
      <w:pPr>
        <w:pageBreakBefore w:val="0"/>
        <w:widowControl w:val="0"/>
        <w:kinsoku/>
        <w:wordWrap/>
        <w:overflowPunct/>
        <w:topLinePunct w:val="0"/>
        <w:autoSpaceDE/>
        <w:autoSpaceDN/>
        <w:bidi w:val="0"/>
        <w:spacing w:line="56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新疆巴州焉耆县永宁中型灌区续建配套与节水改造项目</w:t>
      </w:r>
    </w:p>
    <w:p w14:paraId="160C8267">
      <w:pPr>
        <w:pageBreakBefore w:val="0"/>
        <w:widowControl w:val="0"/>
        <w:kinsoku/>
        <w:wordWrap/>
        <w:overflowPunct/>
        <w:topLinePunct w:val="0"/>
        <w:autoSpaceDE/>
        <w:autoSpaceDN/>
        <w:bidi w:val="0"/>
        <w:spacing w:line="560" w:lineRule="exact"/>
        <w:ind w:firstLine="600" w:firstLineChars="200"/>
        <w:textAlignment w:val="auto"/>
      </w:pPr>
      <w:r>
        <w:rPr>
          <w:rFonts w:hint="eastAsia"/>
        </w:rPr>
        <w:t>3、绩效评价范围：</w:t>
      </w:r>
    </w:p>
    <w:p w14:paraId="1CAF3498">
      <w:pPr>
        <w:pageBreakBefore w:val="0"/>
        <w:widowControl w:val="0"/>
        <w:kinsoku/>
        <w:wordWrap/>
        <w:overflowPunct/>
        <w:topLinePunct w:val="0"/>
        <w:autoSpaceDE/>
        <w:autoSpaceDN/>
        <w:bidi w:val="0"/>
        <w:spacing w:line="560" w:lineRule="exact"/>
        <w:ind w:firstLine="60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本次评价从项目决策（包括绩效目标、决策过程）、项目管理（包括项目资金、项目实施）、项目产出（包括项目产出数量、产出质量、产出时效和产出成本）项目效益四个维度进行新疆巴州焉耆县永宁中型灌区续建配套与节水改造项目评价，评价核心为专项资金的支出完成情况和效果。</w:t>
      </w:r>
    </w:p>
    <w:p w14:paraId="799279F5">
      <w:pPr>
        <w:pStyle w:val="3"/>
        <w:pageBreakBefore w:val="0"/>
        <w:widowControl w:val="0"/>
        <w:kinsoku/>
        <w:wordWrap/>
        <w:overflowPunct/>
        <w:topLinePunct w:val="0"/>
        <w:autoSpaceDE/>
        <w:autoSpaceDN/>
        <w:bidi w:val="0"/>
        <w:spacing w:before="0" w:after="0" w:line="560" w:lineRule="exact"/>
        <w:textAlignment w:val="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14:paraId="22D71E7B">
      <w:pPr>
        <w:pageBreakBefore w:val="0"/>
        <w:widowControl w:val="0"/>
        <w:kinsoku/>
        <w:wordWrap/>
        <w:overflowPunct/>
        <w:topLinePunct w:val="0"/>
        <w:autoSpaceDE/>
        <w:autoSpaceDN/>
        <w:bidi w:val="0"/>
        <w:spacing w:line="560" w:lineRule="exact"/>
        <w:textAlignment w:val="auto"/>
      </w:pPr>
      <w:r>
        <w:rPr>
          <w:rFonts w:hint="eastAsia"/>
        </w:rPr>
        <w:t>1、绩效评价原则</w:t>
      </w:r>
    </w:p>
    <w:p w14:paraId="656693E3">
      <w:pPr>
        <w:pageBreakBefore w:val="0"/>
        <w:widowControl w:val="0"/>
        <w:kinsoku/>
        <w:wordWrap/>
        <w:overflowPunct/>
        <w:topLinePunct w:val="0"/>
        <w:autoSpaceDE/>
        <w:autoSpaceDN/>
        <w:bidi w:val="0"/>
        <w:spacing w:line="560" w:lineRule="exact"/>
        <w:ind w:firstLine="60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一）科学公正。本次自评采用内业审查与外业随机抽查相结合的方式，按照前期准备、组织实施、分析评价的程序进行，采取绩效自评和他评相结合，通过材料核查、座谈询问、问卷调查、现场勘查等方式，综合运用对比分析、各部门技术负责人评议等方法进行评价，确保评价过程及结果客观、公正。</w:t>
      </w:r>
    </w:p>
    <w:p w14:paraId="770F2CF4">
      <w:pPr>
        <w:pageBreakBefore w:val="0"/>
        <w:widowControl w:val="0"/>
        <w:kinsoku/>
        <w:wordWrap/>
        <w:overflowPunct/>
        <w:topLinePunct w:val="0"/>
        <w:autoSpaceDE/>
        <w:autoSpaceDN/>
        <w:bidi w:val="0"/>
        <w:spacing w:line="560" w:lineRule="exact"/>
        <w:ind w:firstLine="60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二）统筹兼顾。焉耆县水利局召集各项目主管人员及项目执行单位召开专题会议，领会绩效评价会议精神，根据规范程序布置工作任务，统一自评标准，制定了工作方案，确保绩效评价工作扎实、开展。依据工作方案，综合业务股、水管股、财务室、质量安全监督管理站分工按照绩效目标进行评价，根据综合意见形成自评报告。</w:t>
      </w:r>
    </w:p>
    <w:p w14:paraId="38572A7E">
      <w:pPr>
        <w:pageBreakBefore w:val="0"/>
        <w:widowControl w:val="0"/>
        <w:kinsoku/>
        <w:wordWrap/>
        <w:overflowPunct/>
        <w:topLinePunct w:val="0"/>
        <w:autoSpaceDE/>
        <w:autoSpaceDN/>
        <w:bidi w:val="0"/>
        <w:spacing w:line="560" w:lineRule="exact"/>
        <w:ind w:firstLine="60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（三）激励约束。绩效评价结果应与资金分配挂钩，建立健全评价结果与与财政预算资金分配挂钩，并作为改进管理、完善政策的重要依据，向上一年度绩效评价考核优秀的部门倾斜。</w:t>
      </w:r>
    </w:p>
    <w:p w14:paraId="6888F405">
      <w:pPr>
        <w:pageBreakBefore w:val="0"/>
        <w:widowControl w:val="0"/>
        <w:kinsoku/>
        <w:wordWrap/>
        <w:overflowPunct/>
        <w:topLinePunct w:val="0"/>
        <w:autoSpaceDE/>
        <w:autoSpaceDN/>
        <w:bidi w:val="0"/>
        <w:spacing w:line="560" w:lineRule="exact"/>
        <w:ind w:firstLine="600" w:firstLineChars="200"/>
        <w:jc w:val="left"/>
        <w:textAlignment w:val="auto"/>
      </w:pPr>
      <w:r>
        <w:rPr>
          <w:rFonts w:hint="eastAsia" w:ascii="仿宋" w:hAnsi="仿宋" w:eastAsia="仿宋" w:cs="仿宋"/>
          <w:sz w:val="30"/>
          <w:szCs w:val="30"/>
          <w:lang w:val="en-US" w:eastAsia="zh-CN"/>
        </w:rPr>
        <w:t>（四）公开透明。绩效评价结果应依法依规公开，并自觉接受社会监督。我单位绩效评价结束以后，将根据《政府信息公开条例》规定，自评结果拟在焉耆县政府政务信息公开网站进行公开，广泛接受人民群众监督，接受社会各界监督，让公众全面了解政府绩效评价过程和评价结果。</w:t>
      </w:r>
    </w:p>
    <w:p w14:paraId="4C46B2AE">
      <w:pPr>
        <w:spacing w:line="360" w:lineRule="auto"/>
      </w:pPr>
      <w:r>
        <w:rPr>
          <w:rFonts w:hint="eastAsia"/>
        </w:rPr>
        <w:t>2、评价指标体系（附表说明）</w:t>
      </w:r>
    </w:p>
    <w:p w14:paraId="3C6D68BC">
      <w:pPr>
        <w:pStyle w:val="3"/>
        <w:spacing w:before="0" w:after="0" w:line="240" w:lineRule="auto"/>
        <w:jc w:val="center"/>
        <w:rPr>
          <w:rFonts w:hint="eastAsia" w:ascii="仿宋" w:hAnsi="仿宋" w:eastAsia="仿宋" w:cs="仿宋"/>
          <w:b w:val="0"/>
          <w:bCs w:val="0"/>
          <w:kern w:val="2"/>
          <w:sz w:val="30"/>
          <w:szCs w:val="30"/>
          <w:lang w:val="en-US" w:eastAsia="zh-CN" w:bidi="ar-SA"/>
        </w:rPr>
      </w:pPr>
      <w:r>
        <w:rPr>
          <w:rFonts w:hint="eastAsia" w:ascii="仿宋" w:hAnsi="仿宋" w:eastAsia="仿宋" w:cs="仿宋"/>
          <w:b w:val="0"/>
          <w:bCs w:val="0"/>
          <w:kern w:val="2"/>
          <w:sz w:val="30"/>
          <w:szCs w:val="30"/>
          <w:lang w:val="en-US" w:eastAsia="zh-CN" w:bidi="ar-SA"/>
        </w:rPr>
        <w:t>新疆巴州焉耆县永宁中型灌区续建配套与节水改造项目</w:t>
      </w:r>
    </w:p>
    <w:p w14:paraId="5F1F6CE4">
      <w:pPr>
        <w:pStyle w:val="3"/>
        <w:spacing w:before="0" w:after="0" w:line="240" w:lineRule="auto"/>
        <w:jc w:val="center"/>
        <w:rPr>
          <w:rFonts w:ascii="Times New Roman" w:hAnsi="Times New Roman" w:eastAsia="仿宋_GB2312" w:cs="Times New Roman"/>
          <w:b w:val="0"/>
          <w:bCs w:val="0"/>
          <w:sz w:val="30"/>
          <w:szCs w:val="24"/>
        </w:rPr>
      </w:pPr>
      <w:r>
        <w:rPr>
          <w:rFonts w:hint="eastAsia" w:ascii="仿宋" w:hAnsi="仿宋" w:eastAsia="仿宋" w:cs="仿宋"/>
          <w:b w:val="0"/>
          <w:bCs w:val="0"/>
          <w:kern w:val="2"/>
          <w:sz w:val="30"/>
          <w:szCs w:val="30"/>
          <w:lang w:val="en-US" w:eastAsia="zh-CN" w:bidi="ar-SA"/>
        </w:rPr>
        <w:t>支出绩</w:t>
      </w:r>
      <w:r>
        <w:rPr>
          <w:rFonts w:hint="eastAsia" w:ascii="Times New Roman" w:hAnsi="Times New Roman" w:eastAsia="仿宋_GB2312" w:cs="Times New Roman"/>
          <w:b w:val="0"/>
          <w:bCs w:val="0"/>
          <w:sz w:val="30"/>
          <w:szCs w:val="24"/>
        </w:rPr>
        <w:t>效评价指标体系</w:t>
      </w:r>
    </w:p>
    <w:tbl>
      <w:tblPr>
        <w:tblStyle w:val="14"/>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14:paraId="4F7138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14:paraId="77A54119">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14:paraId="0856C108">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14:paraId="46FA422F">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14:paraId="57EAA01C">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14:paraId="1BCEA4F2">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14:paraId="5362E6F1">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14:paraId="1EA5E0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14:paraId="31B636F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14:paraId="7D243EA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14:paraId="1C24808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14:paraId="2E7D1322">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14:paraId="157E019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14:paraId="37907883">
            <w:pPr>
              <w:spacing w:line="600" w:lineRule="auto"/>
              <w:jc w:val="center"/>
              <w:rPr>
                <w:rFonts w:hint="eastAsia" w:eastAsia="仿宋_GB2312"/>
                <w:sz w:val="22"/>
                <w:szCs w:val="22"/>
                <w:lang w:val="en-US" w:eastAsia="zh-CN"/>
              </w:rPr>
            </w:pPr>
            <w:r>
              <w:rPr>
                <w:rFonts w:hint="eastAsia"/>
                <w:sz w:val="22"/>
                <w:szCs w:val="22"/>
                <w:lang w:val="en-US" w:eastAsia="zh-CN"/>
              </w:rPr>
              <w:t>5</w:t>
            </w:r>
          </w:p>
        </w:tc>
        <w:tc>
          <w:tcPr>
            <w:tcW w:w="874" w:type="dxa"/>
            <w:tcBorders>
              <w:bottom w:val="single" w:color="auto" w:sz="4" w:space="0"/>
            </w:tcBorders>
            <w:shd w:val="clear" w:color="auto" w:fill="FFFFFF"/>
          </w:tcPr>
          <w:p w14:paraId="13A091A3">
            <w:pPr>
              <w:spacing w:line="600" w:lineRule="auto"/>
              <w:jc w:val="center"/>
              <w:rPr>
                <w:rFonts w:hint="eastAsia" w:eastAsia="仿宋_GB2312"/>
                <w:sz w:val="22"/>
                <w:szCs w:val="22"/>
                <w:lang w:val="en-US" w:eastAsia="zh-CN"/>
              </w:rPr>
            </w:pPr>
            <w:r>
              <w:rPr>
                <w:rFonts w:hint="eastAsia"/>
                <w:sz w:val="22"/>
                <w:szCs w:val="22"/>
                <w:lang w:val="en-US" w:eastAsia="zh-CN"/>
              </w:rPr>
              <w:t>5</w:t>
            </w:r>
          </w:p>
        </w:tc>
      </w:tr>
      <w:tr w14:paraId="520CFF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14:paraId="0723DAC7">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21727A02">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3534F03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14:paraId="64C82B7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14:paraId="5D596E1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tcPr>
          <w:p w14:paraId="7D735DD1">
            <w:pPr>
              <w:spacing w:line="600" w:lineRule="auto"/>
              <w:jc w:val="center"/>
              <w:rPr>
                <w:rFonts w:hint="eastAsia" w:eastAsia="仿宋_GB2312"/>
                <w:sz w:val="22"/>
                <w:szCs w:val="22"/>
                <w:lang w:val="en-US" w:eastAsia="zh-CN"/>
              </w:rPr>
            </w:pPr>
            <w:r>
              <w:rPr>
                <w:rFonts w:hint="eastAsia"/>
                <w:sz w:val="22"/>
                <w:szCs w:val="22"/>
                <w:lang w:val="en-US" w:eastAsia="zh-CN"/>
              </w:rPr>
              <w:t>5</w:t>
            </w:r>
          </w:p>
        </w:tc>
        <w:tc>
          <w:tcPr>
            <w:tcW w:w="874" w:type="dxa"/>
            <w:shd w:val="clear" w:color="auto" w:fill="FFFFFF"/>
          </w:tcPr>
          <w:p w14:paraId="0E53D490">
            <w:pPr>
              <w:spacing w:line="600" w:lineRule="auto"/>
              <w:jc w:val="center"/>
              <w:rPr>
                <w:rFonts w:hint="eastAsia" w:eastAsia="仿宋_GB2312"/>
                <w:sz w:val="22"/>
                <w:szCs w:val="22"/>
                <w:lang w:val="en-US" w:eastAsia="zh-CN"/>
              </w:rPr>
            </w:pPr>
            <w:r>
              <w:rPr>
                <w:rFonts w:hint="eastAsia"/>
                <w:sz w:val="22"/>
                <w:szCs w:val="22"/>
                <w:lang w:val="en-US" w:eastAsia="zh-CN"/>
              </w:rPr>
              <w:t>5</w:t>
            </w:r>
          </w:p>
        </w:tc>
      </w:tr>
      <w:tr w14:paraId="71D160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14:paraId="4E1CE94A">
            <w:pPr>
              <w:spacing w:line="0" w:lineRule="atLeast"/>
              <w:jc w:val="center"/>
              <w:rPr>
                <w:rFonts w:ascii="宋体" w:hAnsi="宋体" w:cs="宋体"/>
                <w:color w:val="000000"/>
                <w:kern w:val="0"/>
                <w:sz w:val="22"/>
              </w:rPr>
            </w:pPr>
          </w:p>
        </w:tc>
        <w:tc>
          <w:tcPr>
            <w:tcW w:w="1478" w:type="dxa"/>
            <w:vMerge w:val="restart"/>
            <w:shd w:val="clear" w:color="auto" w:fill="FFFFFF"/>
            <w:vAlign w:val="center"/>
          </w:tcPr>
          <w:p w14:paraId="257BB5E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14:paraId="20DEEA05">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14:paraId="6CD2AE8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14:paraId="6B9D656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14:paraId="78A5BD9F">
            <w:pPr>
              <w:spacing w:line="600" w:lineRule="auto"/>
              <w:jc w:val="center"/>
              <w:rPr>
                <w:rFonts w:hint="default" w:eastAsia="仿宋_GB2312"/>
                <w:sz w:val="22"/>
                <w:szCs w:val="22"/>
                <w:lang w:val="en-US" w:eastAsia="zh-CN"/>
              </w:rPr>
            </w:pPr>
            <w:r>
              <w:rPr>
                <w:rFonts w:hint="eastAsia"/>
                <w:sz w:val="22"/>
                <w:szCs w:val="22"/>
                <w:lang w:val="en-US" w:eastAsia="zh-CN"/>
              </w:rPr>
              <w:t>2.5</w:t>
            </w:r>
          </w:p>
        </w:tc>
        <w:tc>
          <w:tcPr>
            <w:tcW w:w="874" w:type="dxa"/>
            <w:shd w:val="clear" w:color="000000" w:fill="FFFFFF"/>
          </w:tcPr>
          <w:p w14:paraId="3A9ECCC6">
            <w:pPr>
              <w:spacing w:line="600" w:lineRule="auto"/>
              <w:jc w:val="center"/>
              <w:rPr>
                <w:rFonts w:hint="default" w:eastAsia="仿宋_GB2312"/>
                <w:sz w:val="22"/>
                <w:szCs w:val="22"/>
                <w:lang w:val="en-US" w:eastAsia="zh-CN"/>
              </w:rPr>
            </w:pPr>
            <w:r>
              <w:rPr>
                <w:rFonts w:hint="eastAsia"/>
                <w:sz w:val="22"/>
                <w:szCs w:val="22"/>
                <w:lang w:val="en-US" w:eastAsia="zh-CN"/>
              </w:rPr>
              <w:t>2.5</w:t>
            </w:r>
          </w:p>
        </w:tc>
      </w:tr>
      <w:tr w14:paraId="571794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14:paraId="7543594C">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25E04720">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23D60DB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14:paraId="3284EEF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14:paraId="4371702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14:paraId="318E8714">
            <w:pPr>
              <w:spacing w:line="600" w:lineRule="auto"/>
              <w:jc w:val="center"/>
              <w:rPr>
                <w:rFonts w:hint="default" w:eastAsia="仿宋_GB2312"/>
                <w:sz w:val="22"/>
                <w:szCs w:val="22"/>
                <w:lang w:val="en-US" w:eastAsia="zh-CN"/>
              </w:rPr>
            </w:pPr>
            <w:r>
              <w:rPr>
                <w:rFonts w:hint="eastAsia"/>
                <w:sz w:val="22"/>
                <w:szCs w:val="22"/>
                <w:lang w:val="en-US" w:eastAsia="zh-CN"/>
              </w:rPr>
              <w:t>2.5</w:t>
            </w:r>
          </w:p>
        </w:tc>
        <w:tc>
          <w:tcPr>
            <w:tcW w:w="874" w:type="dxa"/>
            <w:tcBorders>
              <w:bottom w:val="single" w:color="auto" w:sz="4" w:space="0"/>
            </w:tcBorders>
            <w:shd w:val="clear" w:color="000000" w:fill="FFFFFF"/>
          </w:tcPr>
          <w:p w14:paraId="40537942">
            <w:pPr>
              <w:spacing w:line="600" w:lineRule="auto"/>
              <w:jc w:val="center"/>
              <w:rPr>
                <w:rFonts w:hint="default" w:eastAsia="仿宋_GB2312"/>
                <w:sz w:val="22"/>
                <w:szCs w:val="22"/>
                <w:lang w:val="en-US" w:eastAsia="zh-CN"/>
              </w:rPr>
            </w:pPr>
            <w:r>
              <w:rPr>
                <w:rFonts w:hint="eastAsia"/>
                <w:sz w:val="22"/>
                <w:szCs w:val="22"/>
                <w:lang w:val="en-US" w:eastAsia="zh-CN"/>
              </w:rPr>
              <w:t>2.5</w:t>
            </w:r>
          </w:p>
        </w:tc>
      </w:tr>
      <w:tr w14:paraId="506D60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14:paraId="7699183C">
            <w:pPr>
              <w:spacing w:line="0" w:lineRule="atLeast"/>
              <w:jc w:val="center"/>
              <w:rPr>
                <w:rFonts w:ascii="宋体" w:hAnsi="宋体" w:cs="宋体"/>
                <w:color w:val="000000"/>
                <w:kern w:val="0"/>
                <w:sz w:val="22"/>
              </w:rPr>
            </w:pPr>
          </w:p>
        </w:tc>
        <w:tc>
          <w:tcPr>
            <w:tcW w:w="1478" w:type="dxa"/>
            <w:vMerge w:val="restart"/>
            <w:shd w:val="clear" w:color="auto" w:fill="FFFFFF"/>
            <w:vAlign w:val="center"/>
          </w:tcPr>
          <w:p w14:paraId="3F176652">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14:paraId="3A929A17">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14:paraId="57C66AB3">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14:paraId="6764435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14:paraId="4041E5B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tcPr>
          <w:p w14:paraId="14FEDF08">
            <w:pPr>
              <w:spacing w:line="600" w:lineRule="auto"/>
              <w:jc w:val="center"/>
              <w:rPr>
                <w:rFonts w:hint="default" w:eastAsia="仿宋_GB2312"/>
                <w:sz w:val="22"/>
                <w:szCs w:val="22"/>
                <w:lang w:val="en-US" w:eastAsia="zh-CN"/>
              </w:rPr>
            </w:pPr>
            <w:r>
              <w:rPr>
                <w:rFonts w:hint="eastAsia"/>
                <w:sz w:val="22"/>
                <w:szCs w:val="22"/>
                <w:lang w:val="en-US" w:eastAsia="zh-CN"/>
              </w:rPr>
              <w:t>2.5</w:t>
            </w:r>
          </w:p>
        </w:tc>
        <w:tc>
          <w:tcPr>
            <w:tcW w:w="874" w:type="dxa"/>
            <w:tcBorders>
              <w:bottom w:val="single" w:color="auto" w:sz="4" w:space="0"/>
            </w:tcBorders>
            <w:shd w:val="clear" w:color="auto" w:fill="FFFFFF"/>
          </w:tcPr>
          <w:p w14:paraId="2F7F34E0">
            <w:pPr>
              <w:spacing w:line="600" w:lineRule="auto"/>
              <w:jc w:val="center"/>
              <w:rPr>
                <w:rFonts w:hint="default" w:eastAsia="仿宋_GB2312"/>
                <w:sz w:val="22"/>
                <w:szCs w:val="22"/>
                <w:lang w:val="en-US" w:eastAsia="zh-CN"/>
              </w:rPr>
            </w:pPr>
            <w:r>
              <w:rPr>
                <w:rFonts w:hint="eastAsia"/>
                <w:sz w:val="22"/>
                <w:szCs w:val="22"/>
                <w:lang w:val="en-US" w:eastAsia="zh-CN"/>
              </w:rPr>
              <w:t>2.5</w:t>
            </w:r>
          </w:p>
        </w:tc>
      </w:tr>
      <w:tr w14:paraId="74ADEE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14:paraId="41C5161F">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4D0BEBE5">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5534000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14:paraId="17B51C7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14:paraId="0200E4B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tcPr>
          <w:p w14:paraId="4A0345A5">
            <w:pPr>
              <w:spacing w:line="600" w:lineRule="auto"/>
              <w:jc w:val="center"/>
              <w:rPr>
                <w:rFonts w:hint="default" w:eastAsia="仿宋_GB2312"/>
                <w:sz w:val="22"/>
                <w:szCs w:val="22"/>
                <w:lang w:val="en-US" w:eastAsia="zh-CN"/>
              </w:rPr>
            </w:pPr>
            <w:r>
              <w:rPr>
                <w:rFonts w:hint="eastAsia"/>
                <w:sz w:val="22"/>
                <w:szCs w:val="22"/>
                <w:lang w:val="en-US" w:eastAsia="zh-CN"/>
              </w:rPr>
              <w:t>2.5</w:t>
            </w:r>
          </w:p>
        </w:tc>
        <w:tc>
          <w:tcPr>
            <w:tcW w:w="874" w:type="dxa"/>
            <w:shd w:val="clear" w:color="auto" w:fill="FFFFFF"/>
          </w:tcPr>
          <w:p w14:paraId="08556368">
            <w:pPr>
              <w:spacing w:line="600" w:lineRule="auto"/>
              <w:jc w:val="center"/>
              <w:rPr>
                <w:rFonts w:hint="default" w:eastAsia="仿宋_GB2312"/>
                <w:sz w:val="22"/>
                <w:szCs w:val="22"/>
                <w:lang w:val="en-US" w:eastAsia="zh-CN"/>
              </w:rPr>
            </w:pPr>
            <w:r>
              <w:rPr>
                <w:rFonts w:hint="eastAsia"/>
                <w:sz w:val="22"/>
                <w:szCs w:val="22"/>
                <w:lang w:val="en-US" w:eastAsia="zh-CN"/>
              </w:rPr>
              <w:t>2.5</w:t>
            </w:r>
          </w:p>
        </w:tc>
      </w:tr>
      <w:tr w14:paraId="58E182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14:paraId="22629BE7">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14:paraId="28EE0C9B">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14:paraId="0B954F8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14:paraId="20C7FE4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14:paraId="4877EC35">
            <w:pPr>
              <w:spacing w:line="600" w:lineRule="auto"/>
              <w:jc w:val="center"/>
              <w:rPr>
                <w:rFonts w:hint="eastAsia" w:eastAsia="仿宋_GB2312"/>
                <w:sz w:val="22"/>
                <w:szCs w:val="22"/>
                <w:lang w:val="en-US" w:eastAsia="zh-CN"/>
              </w:rPr>
            </w:pPr>
            <w:r>
              <w:rPr>
                <w:rFonts w:hint="eastAsia"/>
                <w:sz w:val="22"/>
                <w:szCs w:val="22"/>
                <w:lang w:val="en-US" w:eastAsia="zh-CN"/>
              </w:rPr>
              <w:t>4</w:t>
            </w:r>
          </w:p>
        </w:tc>
        <w:tc>
          <w:tcPr>
            <w:tcW w:w="874" w:type="dxa"/>
            <w:tcBorders>
              <w:bottom w:val="single" w:color="auto" w:sz="4" w:space="0"/>
            </w:tcBorders>
            <w:shd w:val="clear" w:color="000000" w:fill="FFFFFF"/>
          </w:tcPr>
          <w:p w14:paraId="1A66A864">
            <w:pPr>
              <w:spacing w:line="600" w:lineRule="auto"/>
              <w:jc w:val="center"/>
              <w:rPr>
                <w:rFonts w:hint="eastAsia" w:eastAsia="仿宋_GB2312"/>
                <w:sz w:val="22"/>
                <w:szCs w:val="22"/>
                <w:lang w:val="en-US" w:eastAsia="zh-CN"/>
              </w:rPr>
            </w:pPr>
            <w:r>
              <w:rPr>
                <w:rFonts w:hint="eastAsia"/>
                <w:sz w:val="22"/>
                <w:szCs w:val="22"/>
                <w:lang w:val="en-US" w:eastAsia="zh-CN"/>
              </w:rPr>
              <w:t>4</w:t>
            </w:r>
          </w:p>
        </w:tc>
      </w:tr>
      <w:tr w14:paraId="1B9C96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14:paraId="33E8AC8B">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64385CEE">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43595373">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14:paraId="625FFAD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tcPr>
          <w:p w14:paraId="1ED22443">
            <w:pPr>
              <w:spacing w:line="600" w:lineRule="auto"/>
              <w:jc w:val="center"/>
              <w:rPr>
                <w:rFonts w:hint="eastAsia" w:eastAsia="仿宋_GB2312"/>
                <w:sz w:val="22"/>
                <w:szCs w:val="22"/>
                <w:lang w:val="en-US" w:eastAsia="zh-CN"/>
              </w:rPr>
            </w:pPr>
            <w:r>
              <w:rPr>
                <w:rFonts w:hint="eastAsia"/>
                <w:sz w:val="22"/>
                <w:szCs w:val="22"/>
                <w:lang w:val="en-US" w:eastAsia="zh-CN"/>
              </w:rPr>
              <w:t>4</w:t>
            </w:r>
          </w:p>
        </w:tc>
        <w:tc>
          <w:tcPr>
            <w:tcW w:w="874" w:type="dxa"/>
            <w:tcBorders>
              <w:bottom w:val="single" w:color="auto" w:sz="4" w:space="0"/>
            </w:tcBorders>
            <w:shd w:val="clear" w:color="auto" w:fill="FFFFFF"/>
          </w:tcPr>
          <w:p w14:paraId="23048250">
            <w:pPr>
              <w:spacing w:line="600" w:lineRule="auto"/>
              <w:jc w:val="center"/>
              <w:rPr>
                <w:rFonts w:hint="eastAsia" w:eastAsia="仿宋_GB2312"/>
                <w:sz w:val="22"/>
                <w:szCs w:val="22"/>
                <w:lang w:val="en-US" w:eastAsia="zh-CN"/>
              </w:rPr>
            </w:pPr>
            <w:r>
              <w:rPr>
                <w:rFonts w:hint="eastAsia"/>
                <w:sz w:val="22"/>
                <w:szCs w:val="22"/>
                <w:lang w:val="en-US" w:eastAsia="zh-CN"/>
              </w:rPr>
              <w:t>4</w:t>
            </w:r>
          </w:p>
        </w:tc>
      </w:tr>
      <w:tr w14:paraId="4C125F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14:paraId="08808766">
            <w:pPr>
              <w:spacing w:line="0" w:lineRule="atLeast"/>
              <w:jc w:val="center"/>
              <w:rPr>
                <w:rFonts w:ascii="宋体" w:hAnsi="宋体" w:cs="宋体"/>
                <w:color w:val="000000"/>
                <w:kern w:val="0"/>
                <w:sz w:val="22"/>
              </w:rPr>
            </w:pPr>
          </w:p>
        </w:tc>
        <w:tc>
          <w:tcPr>
            <w:tcW w:w="1478" w:type="dxa"/>
            <w:shd w:val="clear" w:color="auto" w:fill="FFFFFF"/>
            <w:vAlign w:val="center"/>
          </w:tcPr>
          <w:p w14:paraId="6CA30F9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14:paraId="2EE56B4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14:paraId="3F6AA6E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14:paraId="1B6DE6F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14:paraId="52330DBD">
            <w:pPr>
              <w:spacing w:line="600" w:lineRule="auto"/>
              <w:jc w:val="center"/>
              <w:rPr>
                <w:rFonts w:hint="eastAsia" w:eastAsia="仿宋_GB2312"/>
                <w:sz w:val="22"/>
                <w:szCs w:val="22"/>
                <w:lang w:val="en-US" w:eastAsia="zh-CN"/>
              </w:rPr>
            </w:pPr>
            <w:r>
              <w:rPr>
                <w:rFonts w:hint="eastAsia"/>
                <w:sz w:val="22"/>
                <w:szCs w:val="22"/>
                <w:lang w:val="en-US" w:eastAsia="zh-CN"/>
              </w:rPr>
              <w:t>4</w:t>
            </w:r>
          </w:p>
        </w:tc>
        <w:tc>
          <w:tcPr>
            <w:tcW w:w="874" w:type="dxa"/>
            <w:tcBorders>
              <w:bottom w:val="single" w:color="auto" w:sz="4" w:space="0"/>
            </w:tcBorders>
            <w:shd w:val="clear" w:color="000000" w:fill="FFFFFF"/>
          </w:tcPr>
          <w:p w14:paraId="50CC4E5F">
            <w:pPr>
              <w:spacing w:line="600" w:lineRule="auto"/>
              <w:jc w:val="center"/>
              <w:rPr>
                <w:rFonts w:hint="eastAsia" w:eastAsia="仿宋_GB2312"/>
                <w:sz w:val="22"/>
                <w:szCs w:val="22"/>
                <w:lang w:val="en-US" w:eastAsia="zh-CN"/>
              </w:rPr>
            </w:pPr>
            <w:r>
              <w:rPr>
                <w:rFonts w:hint="eastAsia"/>
                <w:sz w:val="22"/>
                <w:szCs w:val="22"/>
                <w:lang w:val="en-US" w:eastAsia="zh-CN"/>
              </w:rPr>
              <w:t>4</w:t>
            </w:r>
          </w:p>
        </w:tc>
      </w:tr>
      <w:tr w14:paraId="2A9E04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14:paraId="49922465">
            <w:pPr>
              <w:spacing w:line="0" w:lineRule="atLeast"/>
              <w:jc w:val="center"/>
              <w:rPr>
                <w:rFonts w:ascii="宋体" w:hAnsi="宋体" w:cs="宋体"/>
                <w:color w:val="000000"/>
                <w:kern w:val="0"/>
                <w:sz w:val="22"/>
              </w:rPr>
            </w:pPr>
          </w:p>
        </w:tc>
        <w:tc>
          <w:tcPr>
            <w:tcW w:w="1478" w:type="dxa"/>
            <w:vMerge w:val="restart"/>
            <w:shd w:val="clear" w:color="auto" w:fill="FFFFFF"/>
            <w:vAlign w:val="center"/>
          </w:tcPr>
          <w:p w14:paraId="3472BC2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14:paraId="7B415B1F">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14:paraId="3DFD1AF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14:paraId="5179DCE5">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14:paraId="1740EE6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14:paraId="7162401D">
            <w:pPr>
              <w:spacing w:line="600" w:lineRule="auto"/>
              <w:jc w:val="center"/>
              <w:rPr>
                <w:rFonts w:hint="eastAsia" w:eastAsia="仿宋_GB2312"/>
                <w:sz w:val="22"/>
                <w:szCs w:val="22"/>
                <w:lang w:val="en-US" w:eastAsia="zh-CN"/>
              </w:rPr>
            </w:pPr>
            <w:r>
              <w:rPr>
                <w:rFonts w:hint="eastAsia"/>
                <w:sz w:val="22"/>
                <w:szCs w:val="22"/>
                <w:lang w:val="en-US" w:eastAsia="zh-CN"/>
              </w:rPr>
              <w:t>4</w:t>
            </w:r>
          </w:p>
        </w:tc>
        <w:tc>
          <w:tcPr>
            <w:tcW w:w="874" w:type="dxa"/>
            <w:tcBorders>
              <w:bottom w:val="single" w:color="auto" w:sz="4" w:space="0"/>
            </w:tcBorders>
            <w:shd w:val="clear" w:color="000000" w:fill="FFFFFF"/>
          </w:tcPr>
          <w:p w14:paraId="139BCF3C">
            <w:pPr>
              <w:spacing w:line="600" w:lineRule="auto"/>
              <w:jc w:val="center"/>
              <w:rPr>
                <w:rFonts w:hint="eastAsia" w:eastAsia="仿宋_GB2312"/>
                <w:sz w:val="22"/>
                <w:szCs w:val="22"/>
                <w:lang w:val="en-US" w:eastAsia="zh-CN"/>
              </w:rPr>
            </w:pPr>
            <w:r>
              <w:rPr>
                <w:rFonts w:hint="eastAsia"/>
                <w:sz w:val="22"/>
                <w:szCs w:val="22"/>
                <w:lang w:val="en-US" w:eastAsia="zh-CN"/>
              </w:rPr>
              <w:t>4</w:t>
            </w:r>
          </w:p>
        </w:tc>
      </w:tr>
      <w:tr w14:paraId="23D745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14:paraId="1B959755">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1F44760C">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7CCEB80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14:paraId="52F7D39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14:paraId="5ADB053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tcPr>
          <w:p w14:paraId="68465A38">
            <w:pPr>
              <w:spacing w:line="600" w:lineRule="auto"/>
              <w:jc w:val="center"/>
              <w:rPr>
                <w:rFonts w:hint="eastAsia" w:eastAsia="仿宋_GB2312"/>
                <w:sz w:val="22"/>
                <w:szCs w:val="22"/>
                <w:lang w:val="en-US" w:eastAsia="zh-CN"/>
              </w:rPr>
            </w:pPr>
            <w:r>
              <w:rPr>
                <w:rFonts w:hint="eastAsia"/>
                <w:sz w:val="22"/>
                <w:szCs w:val="22"/>
                <w:lang w:val="en-US" w:eastAsia="zh-CN"/>
              </w:rPr>
              <w:t>4</w:t>
            </w:r>
          </w:p>
        </w:tc>
        <w:tc>
          <w:tcPr>
            <w:tcW w:w="874" w:type="dxa"/>
            <w:tcBorders>
              <w:bottom w:val="single" w:color="auto" w:sz="4" w:space="0"/>
            </w:tcBorders>
            <w:shd w:val="clear" w:color="000000" w:fill="FFFFFF"/>
          </w:tcPr>
          <w:p w14:paraId="32402064">
            <w:pPr>
              <w:spacing w:line="600" w:lineRule="auto"/>
              <w:jc w:val="center"/>
              <w:rPr>
                <w:rFonts w:hint="eastAsia" w:eastAsia="仿宋_GB2312"/>
                <w:sz w:val="22"/>
                <w:szCs w:val="22"/>
                <w:lang w:val="en-US" w:eastAsia="zh-CN"/>
              </w:rPr>
            </w:pPr>
            <w:r>
              <w:rPr>
                <w:rFonts w:hint="eastAsia"/>
                <w:sz w:val="22"/>
                <w:szCs w:val="22"/>
                <w:lang w:val="en-US" w:eastAsia="zh-CN"/>
              </w:rPr>
              <w:t>4</w:t>
            </w:r>
          </w:p>
        </w:tc>
      </w:tr>
      <w:tr w14:paraId="52BD63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14:paraId="2D621D0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14:paraId="7E7C392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14:paraId="6775C81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14:paraId="4F6068D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14:paraId="3C7A7358">
            <w:pPr>
              <w:spacing w:line="600" w:lineRule="auto"/>
              <w:jc w:val="center"/>
              <w:rPr>
                <w:rFonts w:hint="default" w:eastAsia="仿宋_GB2312"/>
                <w:sz w:val="22"/>
                <w:szCs w:val="22"/>
                <w:lang w:val="en-US" w:eastAsia="zh-CN"/>
              </w:rPr>
            </w:pPr>
            <w:r>
              <w:rPr>
                <w:rFonts w:hint="eastAsia"/>
                <w:sz w:val="22"/>
                <w:szCs w:val="22"/>
                <w:lang w:val="en-US" w:eastAsia="zh-CN"/>
              </w:rPr>
              <w:t>10</w:t>
            </w:r>
          </w:p>
        </w:tc>
        <w:tc>
          <w:tcPr>
            <w:tcW w:w="874" w:type="dxa"/>
            <w:shd w:val="clear" w:color="000000" w:fill="FFFFFF"/>
            <w:vAlign w:val="top"/>
          </w:tcPr>
          <w:p w14:paraId="4021854F">
            <w:pPr>
              <w:spacing w:line="600" w:lineRule="auto"/>
              <w:jc w:val="center"/>
              <w:rPr>
                <w:sz w:val="22"/>
                <w:szCs w:val="22"/>
              </w:rPr>
            </w:pPr>
            <w:r>
              <w:rPr>
                <w:rFonts w:hint="eastAsia"/>
                <w:sz w:val="22"/>
                <w:szCs w:val="22"/>
                <w:lang w:val="en-US" w:eastAsia="zh-CN"/>
              </w:rPr>
              <w:t>10</w:t>
            </w:r>
          </w:p>
        </w:tc>
      </w:tr>
      <w:tr w14:paraId="6CCA79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14:paraId="6BF28F64">
            <w:pPr>
              <w:widowControl/>
              <w:spacing w:line="0" w:lineRule="atLeast"/>
              <w:jc w:val="center"/>
              <w:rPr>
                <w:rFonts w:ascii="宋体" w:hAnsi="宋体" w:cs="宋体"/>
                <w:color w:val="000000"/>
                <w:kern w:val="0"/>
                <w:sz w:val="22"/>
              </w:rPr>
            </w:pPr>
          </w:p>
        </w:tc>
        <w:tc>
          <w:tcPr>
            <w:tcW w:w="1478" w:type="dxa"/>
            <w:shd w:val="clear" w:color="auto" w:fill="FFFFFF"/>
            <w:vAlign w:val="center"/>
          </w:tcPr>
          <w:p w14:paraId="0D561C6B">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14:paraId="121F6BB5">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14:paraId="0881A93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14:paraId="69C3ED05">
            <w:pPr>
              <w:spacing w:line="600" w:lineRule="auto"/>
              <w:jc w:val="center"/>
              <w:rPr>
                <w:rFonts w:hint="default" w:eastAsia="仿宋_GB2312"/>
                <w:sz w:val="22"/>
                <w:szCs w:val="22"/>
                <w:lang w:val="en-US" w:eastAsia="zh-CN"/>
              </w:rPr>
            </w:pPr>
            <w:r>
              <w:rPr>
                <w:rFonts w:hint="eastAsia"/>
                <w:sz w:val="22"/>
                <w:szCs w:val="22"/>
                <w:lang w:val="en-US" w:eastAsia="zh-CN"/>
              </w:rPr>
              <w:t>10</w:t>
            </w:r>
          </w:p>
        </w:tc>
        <w:tc>
          <w:tcPr>
            <w:tcW w:w="874" w:type="dxa"/>
            <w:shd w:val="clear" w:color="000000" w:fill="FFFFFF"/>
            <w:vAlign w:val="top"/>
          </w:tcPr>
          <w:p w14:paraId="2CB4A04B">
            <w:pPr>
              <w:spacing w:line="600" w:lineRule="auto"/>
              <w:jc w:val="center"/>
              <w:rPr>
                <w:sz w:val="22"/>
                <w:szCs w:val="22"/>
              </w:rPr>
            </w:pPr>
            <w:r>
              <w:rPr>
                <w:rFonts w:hint="eastAsia"/>
                <w:sz w:val="22"/>
                <w:szCs w:val="22"/>
                <w:lang w:val="en-US" w:eastAsia="zh-CN"/>
              </w:rPr>
              <w:t>10</w:t>
            </w:r>
          </w:p>
        </w:tc>
      </w:tr>
      <w:tr w14:paraId="23F3A1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14:paraId="2B5C704D">
            <w:pPr>
              <w:spacing w:line="0" w:lineRule="atLeast"/>
              <w:jc w:val="center"/>
              <w:rPr>
                <w:rFonts w:ascii="宋体" w:hAnsi="宋体" w:cs="宋体"/>
                <w:color w:val="000000"/>
                <w:kern w:val="0"/>
                <w:sz w:val="22"/>
              </w:rPr>
            </w:pPr>
          </w:p>
        </w:tc>
        <w:tc>
          <w:tcPr>
            <w:tcW w:w="1478" w:type="dxa"/>
            <w:shd w:val="clear" w:color="auto" w:fill="FFFFFF"/>
            <w:vAlign w:val="center"/>
          </w:tcPr>
          <w:p w14:paraId="2B8DEF7F">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14:paraId="0AC417B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14:paraId="7B644CA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tcPr>
          <w:p w14:paraId="5770FBC8">
            <w:pPr>
              <w:spacing w:line="600" w:lineRule="auto"/>
              <w:jc w:val="center"/>
              <w:rPr>
                <w:rFonts w:hint="default" w:eastAsia="仿宋_GB2312"/>
                <w:sz w:val="22"/>
                <w:szCs w:val="22"/>
                <w:lang w:val="en-US" w:eastAsia="zh-CN"/>
              </w:rPr>
            </w:pPr>
            <w:r>
              <w:rPr>
                <w:rFonts w:hint="eastAsia"/>
                <w:sz w:val="22"/>
                <w:szCs w:val="22"/>
                <w:lang w:val="en-US" w:eastAsia="zh-CN"/>
              </w:rPr>
              <w:t>10</w:t>
            </w:r>
          </w:p>
        </w:tc>
        <w:tc>
          <w:tcPr>
            <w:tcW w:w="874" w:type="dxa"/>
            <w:shd w:val="clear" w:color="000000" w:fill="FFFFFF"/>
            <w:vAlign w:val="top"/>
          </w:tcPr>
          <w:p w14:paraId="429EBF53">
            <w:pPr>
              <w:spacing w:line="600" w:lineRule="auto"/>
              <w:jc w:val="center"/>
              <w:rPr>
                <w:sz w:val="22"/>
                <w:szCs w:val="22"/>
              </w:rPr>
            </w:pPr>
            <w:r>
              <w:rPr>
                <w:rFonts w:hint="eastAsia"/>
                <w:sz w:val="22"/>
                <w:szCs w:val="22"/>
                <w:lang w:val="en-US" w:eastAsia="zh-CN"/>
              </w:rPr>
              <w:t>10</w:t>
            </w:r>
          </w:p>
        </w:tc>
      </w:tr>
      <w:tr w14:paraId="7F2F92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14:paraId="4292D024">
            <w:pPr>
              <w:widowControl/>
              <w:spacing w:line="0" w:lineRule="atLeast"/>
              <w:jc w:val="center"/>
              <w:rPr>
                <w:rFonts w:ascii="宋体" w:hAnsi="宋体" w:cs="宋体"/>
                <w:color w:val="000000"/>
                <w:kern w:val="0"/>
                <w:sz w:val="22"/>
              </w:rPr>
            </w:pPr>
          </w:p>
        </w:tc>
        <w:tc>
          <w:tcPr>
            <w:tcW w:w="1478" w:type="dxa"/>
            <w:shd w:val="clear" w:color="auto" w:fill="FFFFFF"/>
            <w:vAlign w:val="center"/>
          </w:tcPr>
          <w:p w14:paraId="4316531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14:paraId="12482A0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14:paraId="2A068D2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14:paraId="5F277548">
            <w:pPr>
              <w:spacing w:line="600" w:lineRule="auto"/>
              <w:jc w:val="center"/>
              <w:rPr>
                <w:rFonts w:hint="default" w:eastAsia="仿宋_GB2312"/>
                <w:sz w:val="22"/>
                <w:szCs w:val="22"/>
                <w:lang w:val="en-US" w:eastAsia="zh-CN"/>
              </w:rPr>
            </w:pPr>
            <w:r>
              <w:rPr>
                <w:rFonts w:hint="eastAsia"/>
                <w:sz w:val="22"/>
                <w:szCs w:val="22"/>
                <w:lang w:val="en-US" w:eastAsia="zh-CN"/>
              </w:rPr>
              <w:t>10</w:t>
            </w:r>
          </w:p>
        </w:tc>
        <w:tc>
          <w:tcPr>
            <w:tcW w:w="874" w:type="dxa"/>
            <w:shd w:val="clear" w:color="auto" w:fill="FFFFFF"/>
            <w:vAlign w:val="top"/>
          </w:tcPr>
          <w:p w14:paraId="316D13B8">
            <w:pPr>
              <w:spacing w:line="600" w:lineRule="auto"/>
              <w:jc w:val="center"/>
              <w:rPr>
                <w:sz w:val="22"/>
                <w:szCs w:val="22"/>
              </w:rPr>
            </w:pPr>
            <w:r>
              <w:rPr>
                <w:rFonts w:hint="eastAsia"/>
                <w:sz w:val="22"/>
                <w:szCs w:val="22"/>
                <w:lang w:val="en-US" w:eastAsia="zh-CN"/>
              </w:rPr>
              <w:t>10</w:t>
            </w:r>
          </w:p>
        </w:tc>
      </w:tr>
      <w:tr w14:paraId="4493F2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14:paraId="54151832">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14:paraId="5990982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14:paraId="071C17C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14:paraId="7CDDCC0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tcPr>
          <w:p w14:paraId="28AA991F">
            <w:pPr>
              <w:spacing w:line="600" w:lineRule="auto"/>
              <w:jc w:val="center"/>
              <w:rPr>
                <w:rFonts w:hint="default" w:eastAsia="仿宋_GB2312"/>
                <w:sz w:val="22"/>
                <w:szCs w:val="22"/>
                <w:lang w:val="en-US" w:eastAsia="zh-CN"/>
              </w:rPr>
            </w:pPr>
            <w:r>
              <w:rPr>
                <w:rFonts w:hint="eastAsia"/>
                <w:sz w:val="22"/>
                <w:szCs w:val="22"/>
                <w:lang w:val="en-US" w:eastAsia="zh-CN"/>
              </w:rPr>
              <w:t>10</w:t>
            </w:r>
          </w:p>
        </w:tc>
        <w:tc>
          <w:tcPr>
            <w:tcW w:w="874" w:type="dxa"/>
            <w:shd w:val="clear" w:color="auto" w:fill="FFFFFF"/>
          </w:tcPr>
          <w:p w14:paraId="6448DCCE">
            <w:pPr>
              <w:spacing w:line="600" w:lineRule="auto"/>
              <w:jc w:val="center"/>
              <w:rPr>
                <w:rFonts w:hint="default" w:eastAsia="仿宋_GB2312"/>
                <w:sz w:val="22"/>
                <w:szCs w:val="22"/>
                <w:lang w:val="en-US" w:eastAsia="zh-CN"/>
              </w:rPr>
            </w:pPr>
            <w:r>
              <w:rPr>
                <w:rFonts w:hint="eastAsia"/>
                <w:sz w:val="22"/>
                <w:szCs w:val="22"/>
                <w:lang w:val="en-US" w:eastAsia="zh-CN"/>
              </w:rPr>
              <w:t>10</w:t>
            </w:r>
          </w:p>
        </w:tc>
      </w:tr>
      <w:tr w14:paraId="030F77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14:paraId="7D41D859">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741F523E">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17CD74B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14:paraId="3BABBD3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tcPr>
          <w:p w14:paraId="398E837D">
            <w:pPr>
              <w:spacing w:line="600" w:lineRule="auto"/>
              <w:jc w:val="center"/>
              <w:rPr>
                <w:rFonts w:hint="default" w:eastAsia="仿宋_GB2312"/>
                <w:sz w:val="22"/>
                <w:szCs w:val="22"/>
                <w:lang w:val="en-US" w:eastAsia="zh-CN"/>
              </w:rPr>
            </w:pPr>
            <w:r>
              <w:rPr>
                <w:rFonts w:hint="eastAsia"/>
                <w:sz w:val="22"/>
                <w:szCs w:val="22"/>
                <w:lang w:val="en-US" w:eastAsia="zh-CN"/>
              </w:rPr>
              <w:t>10</w:t>
            </w:r>
          </w:p>
        </w:tc>
        <w:tc>
          <w:tcPr>
            <w:tcW w:w="874" w:type="dxa"/>
            <w:shd w:val="clear" w:color="000000" w:fill="FFFFFF"/>
          </w:tcPr>
          <w:p w14:paraId="0A9B9D51">
            <w:pPr>
              <w:spacing w:line="600" w:lineRule="auto"/>
              <w:jc w:val="center"/>
              <w:rPr>
                <w:rFonts w:hint="default" w:eastAsia="仿宋_GB2312"/>
                <w:sz w:val="22"/>
                <w:szCs w:val="22"/>
                <w:lang w:val="en-US" w:eastAsia="zh-CN"/>
              </w:rPr>
            </w:pPr>
            <w:r>
              <w:rPr>
                <w:rFonts w:hint="eastAsia"/>
                <w:sz w:val="22"/>
                <w:szCs w:val="22"/>
                <w:lang w:val="en-US" w:eastAsia="zh-CN"/>
              </w:rPr>
              <w:t>10</w:t>
            </w:r>
          </w:p>
        </w:tc>
      </w:tr>
      <w:tr w14:paraId="4D6314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14:paraId="6D2DB1A0">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14:paraId="1503FEE1">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14:paraId="355530C0">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874" w:type="dxa"/>
            <w:shd w:val="clear" w:color="auto" w:fill="FFFFFF"/>
            <w:vAlign w:val="center"/>
          </w:tcPr>
          <w:p w14:paraId="7E97A449">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r>
    </w:tbl>
    <w:p w14:paraId="26FF9556">
      <w:pPr>
        <w:sectPr>
          <w:pgSz w:w="11906" w:h="16838"/>
          <w:pgMar w:top="1928" w:right="1531" w:bottom="1701" w:left="1531" w:header="737" w:footer="851" w:gutter="0"/>
          <w:cols w:space="720" w:num="1"/>
          <w:docGrid w:type="lines" w:linePitch="408" w:charSpace="0"/>
        </w:sectPr>
      </w:pPr>
    </w:p>
    <w:p w14:paraId="3FFE4AB5">
      <w:pPr>
        <w:pageBreakBefore w:val="0"/>
        <w:widowControl w:val="0"/>
        <w:kinsoku/>
        <w:wordWrap/>
        <w:overflowPunct/>
        <w:topLinePunct w:val="0"/>
        <w:autoSpaceDE/>
        <w:autoSpaceDN/>
        <w:bidi w:val="0"/>
        <w:adjustRightInd/>
        <w:snapToGrid/>
        <w:spacing w:line="560" w:lineRule="exact"/>
        <w:textAlignment w:val="auto"/>
        <w:rPr>
          <w:rFonts w:ascii="仿宋" w:hAnsi="仿宋" w:eastAsia="仿宋" w:cs="仿宋"/>
          <w:sz w:val="30"/>
          <w:szCs w:val="30"/>
        </w:rPr>
      </w:pPr>
      <w:r>
        <w:rPr>
          <w:rFonts w:hint="eastAsia"/>
        </w:rPr>
        <w:t>3、评价方法</w:t>
      </w:r>
    </w:p>
    <w:p w14:paraId="2C5F1C13">
      <w:pPr>
        <w:pageBreakBefore w:val="0"/>
        <w:widowControl w:val="0"/>
        <w:kinsoku/>
        <w:wordWrap/>
        <w:overflowPunct/>
        <w:topLinePunct w:val="0"/>
        <w:autoSpaceDE/>
        <w:autoSpaceDN/>
        <w:bidi w:val="0"/>
        <w:adjustRightInd/>
        <w:snapToGrid/>
        <w:spacing w:line="560" w:lineRule="exact"/>
        <w:ind w:firstLine="600" w:firstLineChars="200"/>
        <w:textAlignment w:val="auto"/>
      </w:pPr>
      <w:r>
        <w:rPr>
          <w:rFonts w:hint="eastAsia"/>
          <w:bCs/>
          <w:color w:val="auto"/>
          <w:sz w:val="30"/>
          <w:szCs w:val="30"/>
        </w:rPr>
        <w:t>本次项目支出绩效自评采用</w:t>
      </w:r>
      <w:r>
        <w:rPr>
          <w:rFonts w:hint="eastAsia" w:ascii="Times New Roman" w:hAnsi="Times New Roman" w:cs="Times New Roman"/>
          <w:bCs/>
          <w:color w:val="auto"/>
          <w:sz w:val="30"/>
          <w:szCs w:val="30"/>
        </w:rPr>
        <w:t>了因素分析法、成本效益分析法，原因是：我单位按照财政项目支出绩效自评工作的要求，结合工作实际情况，组织相关人员根据项目绩效表指标内容和部门职能对项目工作材料进行分析，各部门项目负责人、技术人员和财务人员进行对项目的总成本和总收益进行对比分析，在此基础上考虑内外因素产生的影响及量化社会效益进行分析评价。</w:t>
      </w:r>
    </w:p>
    <w:p w14:paraId="37B55ABA">
      <w:pPr>
        <w:pageBreakBefore w:val="0"/>
        <w:widowControl w:val="0"/>
        <w:kinsoku/>
        <w:wordWrap/>
        <w:overflowPunct/>
        <w:topLinePunct w:val="0"/>
        <w:autoSpaceDE/>
        <w:autoSpaceDN/>
        <w:bidi w:val="0"/>
        <w:adjustRightInd/>
        <w:snapToGrid/>
        <w:spacing w:line="560" w:lineRule="exact"/>
        <w:textAlignment w:val="auto"/>
      </w:pPr>
      <w:r>
        <w:rPr>
          <w:rFonts w:hint="eastAsia"/>
        </w:rPr>
        <w:t>4、评价标准</w:t>
      </w:r>
    </w:p>
    <w:p w14:paraId="669E1191">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bCs/>
          <w:color w:val="FF0000"/>
          <w:sz w:val="32"/>
          <w:szCs w:val="32"/>
        </w:rPr>
      </w:pPr>
      <w:r>
        <w:rPr>
          <w:rFonts w:hint="eastAsia" w:ascii="仿宋" w:hAnsi="仿宋" w:eastAsia="仿宋" w:cs="仿宋"/>
          <w:sz w:val="30"/>
          <w:szCs w:val="30"/>
        </w:rPr>
        <w:t>本次项目支出绩效自评采用计划标准和行业标准。原因是：本项目通过项目实施方案及水利行业指标数据确定三级指标进行自评，使评价结果更加科学真实。</w:t>
      </w:r>
    </w:p>
    <w:p w14:paraId="084BC867">
      <w:pPr>
        <w:pStyle w:val="3"/>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14:paraId="058B9402">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1.前期准备。成立了评价工作组，</w:t>
      </w:r>
      <w:r>
        <w:rPr>
          <w:rFonts w:hint="eastAsia" w:ascii="仿宋" w:hAnsi="仿宋" w:eastAsia="仿宋" w:cs="仿宋"/>
          <w:bCs/>
          <w:sz w:val="30"/>
          <w:szCs w:val="30"/>
          <w:lang w:val="zh-CN" w:eastAsia="zh-CN"/>
        </w:rPr>
        <w:t>评价组通过前期调研</w:t>
      </w:r>
      <w:r>
        <w:rPr>
          <w:rFonts w:hint="eastAsia" w:ascii="仿宋" w:hAnsi="仿宋" w:eastAsia="仿宋" w:cs="仿宋"/>
          <w:bCs/>
          <w:sz w:val="30"/>
          <w:szCs w:val="30"/>
          <w:lang w:val="en-US" w:eastAsia="zh-CN"/>
        </w:rPr>
        <w:t>确定绩效评价对象和范围，</w:t>
      </w:r>
      <w:r>
        <w:rPr>
          <w:rFonts w:hint="eastAsia" w:ascii="仿宋" w:hAnsi="仿宋" w:eastAsia="仿宋" w:cs="仿宋"/>
          <w:bCs/>
          <w:sz w:val="30"/>
          <w:szCs w:val="30"/>
          <w:lang w:val="zh-CN" w:eastAsia="zh-CN"/>
        </w:rPr>
        <w:t>确定了评价的目的、方法以及评价的原则，</w:t>
      </w:r>
      <w:r>
        <w:rPr>
          <w:rFonts w:hint="eastAsia" w:ascii="仿宋" w:hAnsi="仿宋" w:eastAsia="仿宋" w:cs="仿宋"/>
          <w:bCs/>
          <w:sz w:val="30"/>
          <w:szCs w:val="30"/>
          <w:lang w:val="en-US" w:eastAsia="zh-CN"/>
        </w:rPr>
        <w:t>确定通过项目现场勘查、材料核查、座谈询问、问卷调查等开展评价，</w:t>
      </w:r>
      <w:r>
        <w:rPr>
          <w:rFonts w:hint="eastAsia" w:ascii="仿宋" w:hAnsi="仿宋" w:eastAsia="仿宋" w:cs="仿宋"/>
          <w:bCs/>
          <w:sz w:val="30"/>
          <w:szCs w:val="30"/>
          <w:lang w:val="zh-CN" w:eastAsia="zh-CN"/>
        </w:rPr>
        <w:t>根据项目的内容和特征制定了评价指标体系及评价标准以及评价实施方案，修正并确定所需资料清单，最终确定</w:t>
      </w:r>
      <w:r>
        <w:rPr>
          <w:rFonts w:hint="eastAsia" w:ascii="仿宋" w:hAnsi="仿宋" w:eastAsia="仿宋" w:cs="仿宋"/>
          <w:bCs/>
          <w:sz w:val="30"/>
          <w:szCs w:val="30"/>
          <w:lang w:val="en-US" w:eastAsia="zh-CN"/>
        </w:rPr>
        <w:t>绩效评价工作方案并进行论证。</w:t>
      </w:r>
    </w:p>
    <w:p w14:paraId="21FE44AE">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2.组织实施。制定绩效评价工作方案，具体包括项目概况、评价思路、方法手段、组织实施、进度安排等。收集项目立项依据、相关会议纪要、实施方案、财政资金分配方案、支付管理情况等相关评价资料并进行梳理。</w:t>
      </w:r>
    </w:p>
    <w:p w14:paraId="702CA38B">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3.分析评价。根据收集梳理的资料围绕项目立项、资金落实、业务管理、财务管理、项目产出、项目效益等内容，对照已确定的绩效评价指标进行详细全面的分析评价，逐项打分并形成绩效评价最终结果。</w:t>
      </w:r>
    </w:p>
    <w:p w14:paraId="11CEC5FB">
      <w:pPr>
        <w:pStyle w:val="2"/>
        <w:pageBreakBefore w:val="0"/>
        <w:widowControl w:val="0"/>
        <w:kinsoku/>
        <w:wordWrap/>
        <w:overflowPunct/>
        <w:topLinePunct w:val="0"/>
        <w:autoSpaceDE/>
        <w:autoSpaceDN/>
        <w:bidi w:val="0"/>
        <w:adjustRightInd/>
        <w:snapToGrid/>
        <w:spacing w:before="0" w:after="0" w:line="560" w:lineRule="exact"/>
        <w:textAlignment w:val="auto"/>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14:paraId="59DEAAE2">
      <w:pPr>
        <w:pStyle w:val="3"/>
        <w:pageBreakBefore w:val="0"/>
        <w:widowControl w:val="0"/>
        <w:kinsoku/>
        <w:wordWrap/>
        <w:overflowPunct/>
        <w:topLinePunct w:val="0"/>
        <w:autoSpaceDE/>
        <w:autoSpaceDN/>
        <w:bidi w:val="0"/>
        <w:adjustRightInd/>
        <w:snapToGrid/>
        <w:spacing w:before="0" w:after="0" w:line="560" w:lineRule="exact"/>
        <w:textAlignment w:val="auto"/>
        <w:rPr>
          <w:rFonts w:ascii="仿宋_GB2312" w:eastAsia="仿宋_GB2312"/>
          <w:b w:val="0"/>
          <w:bCs w:val="0"/>
        </w:rPr>
      </w:pPr>
      <w:bookmarkStart w:id="8" w:name="_Toc68703835"/>
      <w:r>
        <w:rPr>
          <w:rFonts w:hint="eastAsia" w:ascii="仿宋_GB2312" w:eastAsia="仿宋_GB2312"/>
          <w:b w:val="0"/>
          <w:bCs w:val="0"/>
        </w:rPr>
        <w:t>（一）综合评价情况</w:t>
      </w:r>
      <w:bookmarkEnd w:id="8"/>
    </w:p>
    <w:p w14:paraId="01DBFF7C">
      <w:pPr>
        <w:pageBreakBefore w:val="0"/>
        <w:widowControl w:val="0"/>
        <w:kinsoku/>
        <w:wordWrap/>
        <w:overflowPunct/>
        <w:topLinePunct w:val="0"/>
        <w:autoSpaceDE/>
        <w:autoSpaceDN/>
        <w:bidi w:val="0"/>
        <w:adjustRightInd/>
        <w:snapToGrid/>
        <w:spacing w:line="560" w:lineRule="exact"/>
        <w:ind w:firstLine="600" w:firstLineChars="200"/>
        <w:textAlignment w:val="auto"/>
        <w:rPr>
          <w:color w:val="FF0000"/>
        </w:rPr>
      </w:pPr>
      <w:r>
        <w:rPr>
          <w:rFonts w:hint="eastAsia" w:ascii="仿宋" w:hAnsi="仿宋" w:eastAsia="仿宋" w:cs="仿宋"/>
          <w:bCs/>
          <w:sz w:val="30"/>
          <w:szCs w:val="30"/>
          <w:lang w:val="en-US" w:eastAsia="zh-CN"/>
        </w:rPr>
        <w:t>本项目严格按照科学公正、统筹兼顾、激励约束、公开透明的评价原则，采用因素分析法、成本效益分析法，坚持采用计划标准和行业标准对本项目的立项、项绩效目标、资金投入、资金管理、组织实施、产出数量、产出质量、产出时效、产出成本、项目效益进行了综合评价。</w:t>
      </w:r>
    </w:p>
    <w:p w14:paraId="2179859D">
      <w:pPr>
        <w:spacing w:line="360" w:lineRule="auto"/>
        <w:ind w:firstLine="600" w:firstLineChars="200"/>
        <w:jc w:val="center"/>
        <w:rPr>
          <w:rFonts w:hint="eastAsia"/>
          <w:color w:val="auto"/>
          <w:lang w:val="en-US" w:eastAsia="zh-CN"/>
        </w:rPr>
      </w:pPr>
      <w:r>
        <w:rPr>
          <w:rFonts w:hint="eastAsia"/>
          <w:color w:val="auto"/>
          <w:lang w:val="en-US" w:eastAsia="zh-CN"/>
        </w:rPr>
        <w:t>新疆巴州焉耆县永宁中型灌区续建配套与节水改造项目</w:t>
      </w:r>
    </w:p>
    <w:p w14:paraId="0A420983">
      <w:pPr>
        <w:spacing w:line="360" w:lineRule="auto"/>
        <w:ind w:firstLine="600" w:firstLineChars="200"/>
        <w:jc w:val="center"/>
        <w:rPr>
          <w:color w:val="auto"/>
        </w:rPr>
      </w:pPr>
      <w:r>
        <w:rPr>
          <w:rFonts w:hint="eastAsia"/>
          <w:color w:val="auto"/>
        </w:rPr>
        <w:t>项目评价得分情况</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216FCA88">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6298C69E">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651FA967">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222FF3B3">
            <w:pPr>
              <w:jc w:val="center"/>
              <w:rPr>
                <w:b/>
                <w:bCs/>
                <w:color w:val="000000"/>
                <w:sz w:val="22"/>
              </w:rPr>
            </w:pPr>
            <w:r>
              <w:rPr>
                <w:rFonts w:hint="eastAsia"/>
                <w:b/>
                <w:bCs/>
                <w:color w:val="000000"/>
                <w:sz w:val="22"/>
              </w:rPr>
              <w:t>得分</w:t>
            </w:r>
          </w:p>
        </w:tc>
      </w:tr>
      <w:tr w14:paraId="6FEB0A8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70DFAEB">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61980C94">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468E27D">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r>
      <w:tr w14:paraId="011127E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C96279E">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39B03703">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89ECFA3">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r>
      <w:tr w14:paraId="11A0BBF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7E0B9A6">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589D8809">
            <w:pPr>
              <w:jc w:val="center"/>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1FFAF71F">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40</w:t>
            </w:r>
          </w:p>
        </w:tc>
      </w:tr>
      <w:tr w14:paraId="63F42DD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DDC42A2">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031F597C">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5C11010">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r>
      <w:tr w14:paraId="0F3581A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4C0AFE0">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49F89037">
            <w:pPr>
              <w:jc w:val="center"/>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5FA3654C">
            <w:pPr>
              <w:jc w:val="center"/>
              <w:rPr>
                <w:rFonts w:hint="default" w:ascii="Times New Roman" w:hAnsi="Times New Roman" w:eastAsia="仿宋_GB2312" w:cs="Times New Roman"/>
                <w:b/>
                <w:bCs/>
                <w:color w:val="000000"/>
                <w:kern w:val="2"/>
                <w:sz w:val="22"/>
                <w:szCs w:val="24"/>
                <w:lang w:val="en-US" w:eastAsia="zh-CN" w:bidi="ar-SA"/>
              </w:rPr>
            </w:pPr>
            <w:r>
              <w:rPr>
                <w:rFonts w:hint="eastAsia"/>
                <w:b/>
                <w:bCs/>
                <w:color w:val="000000"/>
                <w:sz w:val="22"/>
                <w:lang w:val="en-US" w:eastAsia="zh-CN"/>
              </w:rPr>
              <w:t>100</w:t>
            </w:r>
          </w:p>
        </w:tc>
      </w:tr>
    </w:tbl>
    <w:p w14:paraId="1C1B1806">
      <w:pPr>
        <w:pStyle w:val="3"/>
        <w:pageBreakBefore w:val="0"/>
        <w:widowControl w:val="0"/>
        <w:kinsoku/>
        <w:wordWrap/>
        <w:overflowPunct/>
        <w:topLinePunct w:val="0"/>
        <w:autoSpaceDE/>
        <w:autoSpaceDN/>
        <w:bidi w:val="0"/>
        <w:adjustRightInd/>
        <w:snapToGrid/>
        <w:spacing w:before="0" w:after="0" w:line="560" w:lineRule="exact"/>
        <w:textAlignment w:val="auto"/>
        <w:rPr>
          <w:rFonts w:ascii="仿宋_GB2312" w:eastAsia="仿宋_GB2312"/>
          <w:b w:val="0"/>
          <w:bCs w:val="0"/>
        </w:rPr>
      </w:pPr>
      <w:bookmarkStart w:id="9" w:name="_Toc68703836"/>
      <w:r>
        <w:rPr>
          <w:rFonts w:hint="eastAsia" w:ascii="仿宋_GB2312" w:eastAsia="仿宋_GB2312"/>
          <w:b w:val="0"/>
          <w:bCs w:val="0"/>
        </w:rPr>
        <w:t>（二）评价结论</w:t>
      </w:r>
      <w:bookmarkEnd w:id="9"/>
    </w:p>
    <w:p w14:paraId="76097640">
      <w:pPr>
        <w:pageBreakBefore w:val="0"/>
        <w:widowControl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rPr>
        <w:t>本项目的项目决策、项目过程、项目产出、项目效益均达到了预期要求，最终得分为100分，项目达成年度指标。</w:t>
      </w:r>
    </w:p>
    <w:p w14:paraId="5F6A1927">
      <w:pPr>
        <w:pageBreakBefore w:val="0"/>
        <w:widowControl w:val="0"/>
        <w:kinsoku/>
        <w:wordWrap/>
        <w:overflowPunct/>
        <w:topLinePunct w:val="0"/>
        <w:autoSpaceDE/>
        <w:autoSpaceDN/>
        <w:bidi w:val="0"/>
        <w:adjustRightInd/>
        <w:snapToGrid/>
        <w:spacing w:line="560" w:lineRule="exact"/>
        <w:ind w:firstLine="600" w:firstLineChars="200"/>
        <w:textAlignment w:val="auto"/>
        <w:rPr>
          <w:color w:val="FF0000"/>
        </w:rPr>
      </w:pPr>
    </w:p>
    <w:p w14:paraId="768ADACD">
      <w:pPr>
        <w:pStyle w:val="2"/>
        <w:pageBreakBefore w:val="0"/>
        <w:widowControl w:val="0"/>
        <w:kinsoku/>
        <w:wordWrap/>
        <w:overflowPunct/>
        <w:topLinePunct w:val="0"/>
        <w:autoSpaceDE/>
        <w:autoSpaceDN/>
        <w:bidi w:val="0"/>
        <w:adjustRightInd/>
        <w:snapToGrid/>
        <w:spacing w:before="0" w:after="0" w:line="560" w:lineRule="exact"/>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5CAC750F">
      <w:pPr>
        <w:pStyle w:val="3"/>
        <w:pageBreakBefore w:val="0"/>
        <w:widowControl w:val="0"/>
        <w:kinsoku/>
        <w:wordWrap/>
        <w:overflowPunct/>
        <w:topLinePunct w:val="0"/>
        <w:autoSpaceDE/>
        <w:autoSpaceDN/>
        <w:bidi w:val="0"/>
        <w:adjustRightInd/>
        <w:snapToGrid/>
        <w:spacing w:before="0" w:after="0" w:line="560" w:lineRule="exact"/>
        <w:textAlignment w:val="auto"/>
        <w:rPr>
          <w:rFonts w:hint="eastAsia" w:ascii="仿宋" w:hAnsi="仿宋" w:eastAsia="仿宋" w:cs="仿宋"/>
          <w:b w:val="0"/>
          <w:bCs/>
          <w:kern w:val="2"/>
          <w:sz w:val="30"/>
          <w:szCs w:val="30"/>
          <w:lang w:val="en-US" w:eastAsia="zh-CN" w:bidi="ar-SA"/>
        </w:rPr>
      </w:pPr>
      <w:bookmarkStart w:id="11" w:name="_Toc68703838"/>
      <w:r>
        <w:rPr>
          <w:rFonts w:hint="eastAsia" w:ascii="仿宋" w:hAnsi="仿宋" w:eastAsia="仿宋" w:cs="仿宋"/>
          <w:b w:val="0"/>
          <w:bCs/>
          <w:kern w:val="2"/>
          <w:sz w:val="30"/>
          <w:szCs w:val="30"/>
          <w:lang w:val="en-US" w:eastAsia="zh-CN" w:bidi="ar-SA"/>
        </w:rPr>
        <w:t>（一）项目决策情况。</w:t>
      </w:r>
      <w:bookmarkEnd w:id="11"/>
    </w:p>
    <w:p w14:paraId="3D181833">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1、立项依据充分性</w:t>
      </w:r>
    </w:p>
    <w:p w14:paraId="2A641D45">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项目立项是否符合国家法律法规、国民经济发展规划和相关政策；依据《中共中央国务院关于实施乡村振兴战略的意见》；根据行业发展规划和政策要求：根据《焉耆县农田水利规划报告》、《中国灌溉排水发展中心关于编制 2023 年</w:t>
      </w:r>
      <w:r>
        <w:rPr>
          <w:rFonts w:hint="default" w:ascii="仿宋" w:hAnsi="仿宋" w:eastAsia="仿宋" w:cs="仿宋"/>
          <w:b w:val="0"/>
          <w:bCs/>
          <w:kern w:val="2"/>
          <w:sz w:val="30"/>
          <w:szCs w:val="30"/>
          <w:lang w:val="en-US" w:eastAsia="zh-CN" w:bidi="ar-SA"/>
        </w:rPr>
        <w:t xml:space="preserve">-2025 </w:t>
      </w:r>
      <w:r>
        <w:rPr>
          <w:rFonts w:hint="eastAsia" w:ascii="仿宋" w:hAnsi="仿宋" w:eastAsia="仿宋" w:cs="仿宋"/>
          <w:b w:val="0"/>
          <w:bCs/>
          <w:kern w:val="2"/>
          <w:sz w:val="30"/>
          <w:szCs w:val="30"/>
          <w:lang w:val="en-US" w:eastAsia="zh-CN" w:bidi="ar-SA"/>
        </w:rPr>
        <w:t>年中型灌区续建配套与节水改造项目立项建议报告编制技术指南》（中灌节水函〔</w:t>
      </w:r>
      <w:r>
        <w:rPr>
          <w:rFonts w:hint="default" w:ascii="仿宋" w:hAnsi="仿宋" w:eastAsia="仿宋" w:cs="仿宋"/>
          <w:b w:val="0"/>
          <w:bCs/>
          <w:kern w:val="2"/>
          <w:sz w:val="30"/>
          <w:szCs w:val="30"/>
          <w:lang w:val="en-US" w:eastAsia="zh-CN" w:bidi="ar-SA"/>
        </w:rPr>
        <w:t>2022</w:t>
      </w:r>
      <w:r>
        <w:rPr>
          <w:rFonts w:hint="eastAsia" w:ascii="仿宋" w:hAnsi="仿宋" w:eastAsia="仿宋" w:cs="仿宋"/>
          <w:b w:val="0"/>
          <w:bCs/>
          <w:kern w:val="2"/>
          <w:sz w:val="30"/>
          <w:szCs w:val="30"/>
          <w:lang w:val="en-US" w:eastAsia="zh-CN" w:bidi="ar-SA"/>
        </w:rPr>
        <w:t>〕</w:t>
      </w:r>
      <w:r>
        <w:rPr>
          <w:rFonts w:hint="default" w:ascii="仿宋" w:hAnsi="仿宋" w:eastAsia="仿宋" w:cs="仿宋"/>
          <w:b w:val="0"/>
          <w:bCs/>
          <w:kern w:val="2"/>
          <w:sz w:val="30"/>
          <w:szCs w:val="30"/>
          <w:lang w:val="en-US" w:eastAsia="zh-CN" w:bidi="ar-SA"/>
        </w:rPr>
        <w:t xml:space="preserve">15 </w:t>
      </w:r>
      <w:r>
        <w:rPr>
          <w:rFonts w:hint="eastAsia" w:ascii="仿宋" w:hAnsi="仿宋" w:eastAsia="仿宋" w:cs="仿宋"/>
          <w:b w:val="0"/>
          <w:bCs/>
          <w:kern w:val="2"/>
          <w:sz w:val="30"/>
          <w:szCs w:val="30"/>
          <w:lang w:val="en-US" w:eastAsia="zh-CN" w:bidi="ar-SA"/>
        </w:rPr>
        <w:t>号）等编制项目实施方案，该项目为水利行业项目，由水利行业部门实施，实施单位为焉耆县水利综合服务中心，监督管理单位为焉耆县水利局，无相关重复项目项目不与相关部门同类项目或部门内部相关项目重复。</w:t>
      </w:r>
    </w:p>
    <w:p w14:paraId="24EBB18E">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2、立项程序规范性</w:t>
      </w:r>
    </w:p>
    <w:p w14:paraId="7DC5B4D1">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根据水利部办公厅关于印发的《中型灌区续建配套与节水改造项目建设管理办法（试行）》，该项目由具有水利专业设计资质的单位编制完成了《焉耆县永宁中型灌区续建配套与节水改造项目立项建议书》并经自治区水利厅审查后，编制《焉耆县永宁中型灌区续建配套与节水改造项目实施方案》并上报上级主管部门审批，经上级部门审批后下发了《关于焉耆县永宁中型灌区续建配套与节水改造项目实施方案的批复》（巴水办发[2023]14号）。审批文件、材料符合相关要求，事前已经过必要的可行性研究、专家论证、风险评估、绩效评估、集体决策。</w:t>
      </w:r>
    </w:p>
    <w:p w14:paraId="5409A85C">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3、绩效目标合理性</w:t>
      </w:r>
    </w:p>
    <w:p w14:paraId="29B2BCE4">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2023项目设立了项目绩效目标，与焉耆县永宁中型灌区续建配套与节水改造项目的实施具有相关性，项目的预期产出效益和效果也均能符合正常的业绩水平，并且与预算确定的项目投资额或资金量相匹配。</w:t>
      </w:r>
    </w:p>
    <w:p w14:paraId="66B4D984">
      <w:pPr>
        <w:pageBreakBefore w:val="0"/>
        <w:widowControl w:val="0"/>
        <w:kinsoku/>
        <w:wordWrap/>
        <w:overflowPunct/>
        <w:topLinePunct w:val="0"/>
        <w:autoSpaceDE/>
        <w:autoSpaceDN/>
        <w:bidi w:val="0"/>
        <w:adjustRightInd/>
        <w:snapToGrid/>
        <w:spacing w:line="560" w:lineRule="exact"/>
        <w:textAlignment w:val="auto"/>
      </w:pPr>
      <w:r>
        <w:rPr>
          <w:rFonts w:hint="eastAsia"/>
        </w:rPr>
        <w:t>4、绩效指标明确性</w:t>
      </w:r>
    </w:p>
    <w:p w14:paraId="04446F36">
      <w:pPr>
        <w:pageBreakBefore w:val="0"/>
        <w:widowControl w:val="0"/>
        <w:kinsoku/>
        <w:wordWrap/>
        <w:overflowPunct/>
        <w:topLinePunct w:val="0"/>
        <w:autoSpaceDE/>
        <w:autoSpaceDN/>
        <w:bidi w:val="0"/>
        <w:adjustRightInd/>
        <w:snapToGrid/>
        <w:spacing w:line="560" w:lineRule="exact"/>
        <w:ind w:firstLine="600" w:firstLineChars="200"/>
        <w:textAlignment w:val="auto"/>
        <w:rPr>
          <w:color w:val="FF0000"/>
        </w:rPr>
      </w:pPr>
      <w:bookmarkStart w:id="12" w:name="_Hlk68699917"/>
      <w:r>
        <w:rPr>
          <w:rFonts w:hint="eastAsia" w:ascii="仿宋" w:hAnsi="仿宋" w:eastAsia="仿宋" w:cs="仿宋"/>
          <w:b w:val="0"/>
          <w:bCs/>
          <w:kern w:val="2"/>
          <w:sz w:val="30"/>
          <w:szCs w:val="30"/>
          <w:lang w:val="en-US" w:eastAsia="zh-CN" w:bidi="ar-SA"/>
        </w:rPr>
        <w:t>2023 年项目将项目绩效目标细化分解为具体的绩效指标，一级指标共4条，二级指标共7条，三级指标共10条，其中量化指标条数共9条，所有绩效指标均通过清晰、可衡量的指标值予以体现，并且做到了与项目目标任务数或计划数相对应。</w:t>
      </w:r>
      <w:bookmarkEnd w:id="12"/>
    </w:p>
    <w:p w14:paraId="15FC23A2">
      <w:pPr>
        <w:pageBreakBefore w:val="0"/>
        <w:widowControl w:val="0"/>
        <w:kinsoku/>
        <w:wordWrap/>
        <w:overflowPunct/>
        <w:topLinePunct w:val="0"/>
        <w:autoSpaceDE/>
        <w:autoSpaceDN/>
        <w:bidi w:val="0"/>
        <w:adjustRightInd/>
        <w:snapToGrid/>
        <w:spacing w:line="560" w:lineRule="exact"/>
        <w:textAlignment w:val="auto"/>
      </w:pPr>
      <w:r>
        <w:rPr>
          <w:rFonts w:hint="eastAsia"/>
        </w:rPr>
        <w:t>5、预算编制科学性</w:t>
      </w:r>
    </w:p>
    <w:p w14:paraId="7CD495E7">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该项目概算是依据水利部关于颁布《水利工程设计概（估）算编制规定》（水利部水总[2014]429号）文进行编制，并已经自治区水利厅审查，巴州水利局审批，预算金额与项目实施内容项目匹配。</w:t>
      </w:r>
    </w:p>
    <w:p w14:paraId="7DBC0B13">
      <w:pPr>
        <w:pageBreakBefore w:val="0"/>
        <w:widowControl w:val="0"/>
        <w:kinsoku/>
        <w:wordWrap/>
        <w:overflowPunct/>
        <w:topLinePunct w:val="0"/>
        <w:autoSpaceDE/>
        <w:autoSpaceDN/>
        <w:bidi w:val="0"/>
        <w:adjustRightInd/>
        <w:snapToGrid/>
        <w:spacing w:line="560" w:lineRule="exact"/>
        <w:textAlignment w:val="auto"/>
      </w:pPr>
      <w:r>
        <w:rPr>
          <w:rFonts w:hint="eastAsia"/>
        </w:rPr>
        <w:t>6、资金分配合理性</w:t>
      </w:r>
    </w:p>
    <w:p w14:paraId="402BB9B2">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color w:val="FF0000"/>
        </w:rPr>
      </w:pPr>
      <w:r>
        <w:rPr>
          <w:rFonts w:hint="eastAsia" w:ascii="仿宋" w:hAnsi="仿宋" w:eastAsia="仿宋" w:cs="仿宋"/>
          <w:b w:val="0"/>
          <w:bCs/>
          <w:kern w:val="2"/>
          <w:sz w:val="30"/>
          <w:szCs w:val="30"/>
          <w:lang w:val="en-US" w:eastAsia="zh-CN" w:bidi="ar-SA"/>
        </w:rPr>
        <w:t>该项目预算资金分配依据自治区财政厅《关于提前下达2023年中央水利发展资金预算的通知》（新财农[2022]88号）、巴州财政局《关于提前下达2023年中央水利发展资金预算的通知》（巴财农[2022]61号）进行分配，依据充分，资金分配额度合理，与项目相适应。</w:t>
      </w:r>
      <w:bookmarkStart w:id="13" w:name="_Toc68703839"/>
    </w:p>
    <w:p w14:paraId="61EDD611">
      <w:pPr>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_GB2312" w:eastAsia="仿宋_GB2312"/>
          <w:b w:val="0"/>
          <w:bCs w:val="0"/>
        </w:rPr>
      </w:pPr>
      <w:r>
        <w:rPr>
          <w:rFonts w:hint="eastAsia" w:ascii="仿宋_GB2312" w:eastAsia="仿宋_GB2312"/>
          <w:b w:val="0"/>
          <w:bCs w:val="0"/>
        </w:rPr>
        <w:t>（二）项目过程情况。</w:t>
      </w:r>
      <w:bookmarkEnd w:id="13"/>
    </w:p>
    <w:p w14:paraId="69E1650B">
      <w:pPr>
        <w:pageBreakBefore w:val="0"/>
        <w:widowControl w:val="0"/>
        <w:kinsoku/>
        <w:wordWrap/>
        <w:overflowPunct/>
        <w:topLinePunct w:val="0"/>
        <w:autoSpaceDE/>
        <w:autoSpaceDN/>
        <w:bidi w:val="0"/>
        <w:adjustRightInd/>
        <w:snapToGrid/>
        <w:spacing w:line="560" w:lineRule="exact"/>
        <w:textAlignment w:val="auto"/>
      </w:pPr>
      <w:r>
        <w:rPr>
          <w:rFonts w:hint="eastAsia"/>
        </w:rPr>
        <w:t>1、资金到位率：</w:t>
      </w:r>
    </w:p>
    <w:p w14:paraId="64B51788">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实际到位资金697万元，预算资金697万元，资金到位率100%.</w:t>
      </w:r>
    </w:p>
    <w:p w14:paraId="0BB1CE28">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2、预算执行率</w:t>
      </w:r>
    </w:p>
    <w:p w14:paraId="0ED059D0">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年初预算数697万元，全年预算数697万元，全年执行数     697万元，预算执行率为100%。</w:t>
      </w:r>
    </w:p>
    <w:p w14:paraId="00EE82E1">
      <w:pPr>
        <w:pageBreakBefore w:val="0"/>
        <w:widowControl w:val="0"/>
        <w:kinsoku/>
        <w:wordWrap/>
        <w:overflowPunct/>
        <w:topLinePunct w:val="0"/>
        <w:autoSpaceDE/>
        <w:autoSpaceDN/>
        <w:bidi w:val="0"/>
        <w:adjustRightInd/>
        <w:snapToGrid/>
        <w:spacing w:line="560" w:lineRule="exact"/>
        <w:textAlignment w:val="auto"/>
      </w:pPr>
      <w:r>
        <w:rPr>
          <w:rFonts w:hint="eastAsia"/>
        </w:rPr>
        <w:t>3、资金使用合规性</w:t>
      </w:r>
    </w:p>
    <w:p w14:paraId="6299132A">
      <w:pPr>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ascii="仿宋" w:hAnsi="仿宋" w:eastAsia="仿宋" w:cs="仿宋"/>
          <w:color w:val="333333"/>
          <w:sz w:val="30"/>
          <w:szCs w:val="30"/>
        </w:rPr>
      </w:pPr>
      <w:r>
        <w:rPr>
          <w:rFonts w:hint="eastAsia" w:ascii="仿宋" w:hAnsi="仿宋" w:eastAsia="仿宋" w:cs="仿宋"/>
          <w:color w:val="333333"/>
          <w:sz w:val="30"/>
          <w:szCs w:val="30"/>
        </w:rPr>
        <w:t>我单位根据《财政部、水利部关于印发〈水利发展资金管理办法〉的通知》（财农〔20</w:t>
      </w:r>
      <w:r>
        <w:rPr>
          <w:rFonts w:hint="eastAsia" w:ascii="仿宋" w:hAnsi="仿宋" w:eastAsia="仿宋" w:cs="仿宋"/>
          <w:color w:val="333333"/>
          <w:sz w:val="30"/>
          <w:szCs w:val="30"/>
          <w:lang w:val="en-US" w:eastAsia="zh-CN"/>
        </w:rPr>
        <w:t>22</w:t>
      </w:r>
      <w:r>
        <w:rPr>
          <w:rFonts w:hint="eastAsia" w:ascii="仿宋" w:hAnsi="仿宋" w:eastAsia="仿宋" w:cs="仿宋"/>
          <w:color w:val="333333"/>
          <w:sz w:val="30"/>
          <w:szCs w:val="30"/>
        </w:rPr>
        <w:t>〕</w:t>
      </w:r>
      <w:r>
        <w:rPr>
          <w:rFonts w:hint="eastAsia" w:ascii="仿宋" w:hAnsi="仿宋" w:eastAsia="仿宋" w:cs="仿宋"/>
          <w:color w:val="333333"/>
          <w:sz w:val="30"/>
          <w:szCs w:val="30"/>
          <w:lang w:val="en-US" w:eastAsia="zh-CN"/>
        </w:rPr>
        <w:t>81</w:t>
      </w:r>
      <w:r>
        <w:rPr>
          <w:rFonts w:hint="eastAsia" w:ascii="仿宋" w:hAnsi="仿宋" w:eastAsia="仿宋" w:cs="仿宋"/>
          <w:color w:val="333333"/>
          <w:sz w:val="30"/>
          <w:szCs w:val="30"/>
        </w:rPr>
        <w:t>号）</w:t>
      </w:r>
      <w:r>
        <w:rPr>
          <w:rFonts w:hint="eastAsia" w:ascii="仿宋" w:hAnsi="仿宋" w:eastAsia="仿宋" w:cs="仿宋"/>
          <w:color w:val="333333"/>
          <w:sz w:val="30"/>
          <w:szCs w:val="30"/>
          <w:lang w:val="en-US" w:eastAsia="zh-CN"/>
        </w:rPr>
        <w:t>和《关于印发</w:t>
      </w:r>
      <w:r>
        <w:rPr>
          <w:rFonts w:hint="eastAsia" w:ascii="仿宋" w:hAnsi="仿宋" w:eastAsia="仿宋" w:cs="仿宋"/>
          <w:color w:val="333333"/>
          <w:sz w:val="30"/>
          <w:szCs w:val="30"/>
        </w:rPr>
        <w:t>〈</w:t>
      </w:r>
      <w:r>
        <w:rPr>
          <w:rFonts w:hint="eastAsia" w:ascii="仿宋" w:hAnsi="仿宋" w:eastAsia="仿宋" w:cs="仿宋"/>
          <w:color w:val="333333"/>
          <w:sz w:val="30"/>
          <w:szCs w:val="30"/>
          <w:lang w:val="en-US" w:eastAsia="zh-CN"/>
        </w:rPr>
        <w:t>新疆维吾尔自治区</w:t>
      </w:r>
      <w:r>
        <w:rPr>
          <w:rFonts w:hint="eastAsia" w:ascii="仿宋" w:hAnsi="仿宋" w:eastAsia="仿宋" w:cs="仿宋"/>
          <w:color w:val="333333"/>
          <w:sz w:val="30"/>
          <w:szCs w:val="30"/>
        </w:rPr>
        <w:t>水利发展资金管理办法〉的通知》（</w:t>
      </w:r>
      <w:r>
        <w:rPr>
          <w:rFonts w:hint="eastAsia" w:ascii="仿宋" w:hAnsi="仿宋" w:eastAsia="仿宋" w:cs="仿宋"/>
          <w:color w:val="333333"/>
          <w:sz w:val="30"/>
          <w:szCs w:val="30"/>
          <w:lang w:val="en-US" w:eastAsia="zh-CN"/>
        </w:rPr>
        <w:t>新</w:t>
      </w:r>
      <w:r>
        <w:rPr>
          <w:rFonts w:hint="eastAsia" w:ascii="仿宋" w:hAnsi="仿宋" w:eastAsia="仿宋" w:cs="仿宋"/>
          <w:color w:val="333333"/>
          <w:sz w:val="30"/>
          <w:szCs w:val="30"/>
        </w:rPr>
        <w:t>财</w:t>
      </w:r>
      <w:r>
        <w:rPr>
          <w:rFonts w:hint="eastAsia" w:ascii="仿宋" w:hAnsi="仿宋" w:eastAsia="仿宋" w:cs="仿宋"/>
          <w:color w:val="333333"/>
          <w:sz w:val="30"/>
          <w:szCs w:val="30"/>
          <w:lang w:val="en-US" w:eastAsia="zh-CN"/>
        </w:rPr>
        <w:t>规</w:t>
      </w:r>
      <w:r>
        <w:rPr>
          <w:rFonts w:hint="eastAsia" w:ascii="仿宋" w:hAnsi="仿宋" w:eastAsia="仿宋" w:cs="仿宋"/>
          <w:color w:val="333333"/>
          <w:sz w:val="30"/>
          <w:szCs w:val="30"/>
        </w:rPr>
        <w:t>〔20</w:t>
      </w:r>
      <w:r>
        <w:rPr>
          <w:rFonts w:hint="eastAsia" w:ascii="仿宋" w:hAnsi="仿宋" w:eastAsia="仿宋" w:cs="仿宋"/>
          <w:color w:val="333333"/>
          <w:sz w:val="30"/>
          <w:szCs w:val="30"/>
          <w:lang w:val="en-US" w:eastAsia="zh-CN"/>
        </w:rPr>
        <w:t>21</w:t>
      </w:r>
      <w:r>
        <w:rPr>
          <w:rFonts w:hint="eastAsia" w:ascii="仿宋" w:hAnsi="仿宋" w:eastAsia="仿宋" w:cs="仿宋"/>
          <w:color w:val="333333"/>
          <w:sz w:val="30"/>
          <w:szCs w:val="30"/>
        </w:rPr>
        <w:t>〕</w:t>
      </w:r>
      <w:r>
        <w:rPr>
          <w:rFonts w:hint="eastAsia" w:ascii="仿宋" w:hAnsi="仿宋" w:eastAsia="仿宋" w:cs="仿宋"/>
          <w:color w:val="333333"/>
          <w:sz w:val="30"/>
          <w:szCs w:val="30"/>
          <w:lang w:val="en-US" w:eastAsia="zh-CN"/>
        </w:rPr>
        <w:t>16</w:t>
      </w:r>
      <w:r>
        <w:rPr>
          <w:rFonts w:hint="eastAsia" w:ascii="仿宋" w:hAnsi="仿宋" w:eastAsia="仿宋" w:cs="仿宋"/>
          <w:color w:val="333333"/>
          <w:sz w:val="30"/>
          <w:szCs w:val="30"/>
        </w:rPr>
        <w:t>号）等文件规定，遵循“分级负责、权责统一、公平公正、程序规范”的原则，切实加强中央财政水利发展资金使用与管理，提高资金使用效益。</w:t>
      </w:r>
    </w:p>
    <w:p w14:paraId="28A607E7">
      <w:pPr>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ascii="仿宋" w:hAnsi="仿宋" w:eastAsia="仿宋" w:cs="仿宋"/>
          <w:color w:val="333333"/>
          <w:sz w:val="30"/>
          <w:szCs w:val="30"/>
        </w:rPr>
      </w:pPr>
      <w:r>
        <w:rPr>
          <w:rFonts w:hint="eastAsia" w:ascii="仿宋" w:hAnsi="仿宋" w:eastAsia="仿宋" w:cs="仿宋"/>
          <w:color w:val="333333"/>
          <w:sz w:val="30"/>
          <w:szCs w:val="30"/>
        </w:rPr>
        <w:t>在资金</w:t>
      </w:r>
      <w:r>
        <w:rPr>
          <w:rFonts w:hint="eastAsia" w:ascii="仿宋" w:hAnsi="仿宋" w:eastAsia="仿宋" w:cs="仿宋"/>
          <w:color w:val="333333"/>
          <w:sz w:val="30"/>
          <w:szCs w:val="30"/>
          <w:lang w:val="en-US" w:eastAsia="zh-CN"/>
        </w:rPr>
        <w:t>使用</w:t>
      </w:r>
      <w:r>
        <w:rPr>
          <w:rFonts w:hint="eastAsia" w:ascii="仿宋" w:hAnsi="仿宋" w:eastAsia="仿宋" w:cs="仿宋"/>
          <w:color w:val="333333"/>
          <w:sz w:val="30"/>
          <w:szCs w:val="30"/>
        </w:rPr>
        <w:t>方面，</w:t>
      </w:r>
      <w:r>
        <w:rPr>
          <w:rFonts w:hint="eastAsia" w:ascii="仿宋" w:hAnsi="仿宋" w:eastAsia="仿宋" w:cs="仿宋"/>
          <w:color w:val="333333"/>
          <w:sz w:val="30"/>
          <w:szCs w:val="30"/>
          <w:lang w:eastAsia="zh-CN"/>
        </w:rPr>
        <w:t>严格落实财务管理制度，明确项目资金使用管理程序，项目建设资金由国库统一管理，通过财政大平台支付给施工方。在工程建设中，施工单位按照施工进度及合同约定的方式提出报账申请，经监理单位和建设单位核实并签署意见后，由</w:t>
      </w:r>
      <w:r>
        <w:rPr>
          <w:rFonts w:hint="eastAsia" w:ascii="仿宋" w:hAnsi="仿宋" w:eastAsia="仿宋" w:cs="仿宋"/>
          <w:color w:val="333333"/>
          <w:sz w:val="30"/>
          <w:szCs w:val="30"/>
          <w:lang w:val="en-US" w:eastAsia="zh-CN"/>
        </w:rPr>
        <w:t>国库集中</w:t>
      </w:r>
      <w:r>
        <w:rPr>
          <w:rFonts w:hint="eastAsia" w:ascii="仿宋" w:hAnsi="仿宋" w:eastAsia="仿宋" w:cs="仿宋"/>
          <w:color w:val="333333"/>
          <w:sz w:val="30"/>
          <w:szCs w:val="30"/>
          <w:lang w:eastAsia="zh-CN"/>
        </w:rPr>
        <w:t>支付；资金严格按照项目批复及实施方案规定的用途使用，符合项目资金使用规定，同时建立健全项目资金审查审批程序和财务制度，严格执行国家法律、行政法规和财务规章制度，任何单位和个人不得侵占、挪用经费，切实做到专款专用，财务资料齐全并及时归档。</w:t>
      </w:r>
    </w:p>
    <w:p w14:paraId="54A9950F">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color w:val="FF0000"/>
        </w:rPr>
      </w:pPr>
      <w:r>
        <w:rPr>
          <w:rFonts w:hint="eastAsia" w:ascii="仿宋" w:hAnsi="仿宋" w:eastAsia="仿宋" w:cs="仿宋"/>
          <w:color w:val="333333"/>
          <w:sz w:val="30"/>
          <w:szCs w:val="30"/>
        </w:rPr>
        <w:t>通过严格落实财务管理制度，规范经费开支，做到了中央财政水利发展资金使用规范，符合国家财经法规和财务管理以及有关专项资金管理办法的规定；资金的拨付有完整的审批程序和手续，保障会计核算准确、财务资料完整。</w:t>
      </w:r>
    </w:p>
    <w:p w14:paraId="2143C7A2">
      <w:pPr>
        <w:keepNext w:val="0"/>
        <w:keepLines w:val="0"/>
        <w:pageBreakBefore w:val="0"/>
        <w:widowControl w:val="0"/>
        <w:kinsoku/>
        <w:wordWrap/>
        <w:overflowPunct/>
        <w:topLinePunct w:val="0"/>
        <w:autoSpaceDE/>
        <w:autoSpaceDN/>
        <w:bidi w:val="0"/>
        <w:adjustRightInd/>
        <w:snapToGrid/>
        <w:spacing w:line="560" w:lineRule="exact"/>
        <w:textAlignment w:val="auto"/>
      </w:pPr>
      <w:r>
        <w:rPr>
          <w:rFonts w:hint="eastAsia"/>
        </w:rPr>
        <w:t>4、管理制度健全性</w:t>
      </w:r>
    </w:p>
    <w:p w14:paraId="0985B108">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color w:val="333333"/>
          <w:kern w:val="2"/>
          <w:sz w:val="30"/>
          <w:szCs w:val="30"/>
          <w:lang w:val="en-US" w:eastAsia="zh-CN" w:bidi="ar-SA"/>
        </w:rPr>
      </w:pPr>
      <w:r>
        <w:rPr>
          <w:rFonts w:hint="eastAsia" w:ascii="仿宋" w:hAnsi="仿宋" w:eastAsia="仿宋" w:cs="仿宋"/>
          <w:color w:val="333333"/>
          <w:sz w:val="30"/>
          <w:szCs w:val="30"/>
          <w:lang w:val="en-US" w:eastAsia="zh-CN"/>
        </w:rPr>
        <w:t>按照《建设单位会计制度》及国家对水利工程建设方面的财务管理要求，结合实际，进一步健全内部控制制度，严格遵守《会计法》等各项财经法规，制定《焉耆县水利局财务、收入支出管理制度》《焉耆县水利局财务内控制度》等制度。</w:t>
      </w:r>
      <w:r>
        <w:rPr>
          <w:rFonts w:hint="eastAsia" w:ascii="仿宋" w:hAnsi="仿宋" w:eastAsia="仿宋" w:cs="仿宋"/>
          <w:color w:val="333333"/>
          <w:sz w:val="30"/>
          <w:szCs w:val="30"/>
        </w:rPr>
        <w:t>项目法人</w:t>
      </w:r>
      <w:r>
        <w:rPr>
          <w:rFonts w:ascii="仿宋" w:hAnsi="仿宋" w:eastAsia="仿宋" w:cs="仿宋"/>
          <w:color w:val="333333"/>
          <w:sz w:val="30"/>
          <w:szCs w:val="30"/>
        </w:rPr>
        <w:t>严格履行水利工程基本建设程序，</w:t>
      </w:r>
      <w:r>
        <w:rPr>
          <w:rFonts w:hint="eastAsia" w:ascii="仿宋" w:hAnsi="仿宋" w:eastAsia="仿宋" w:cs="仿宋"/>
          <w:color w:val="333333"/>
          <w:sz w:val="30"/>
          <w:szCs w:val="30"/>
        </w:rPr>
        <w:t>制定</w:t>
      </w:r>
      <w:r>
        <w:rPr>
          <w:rFonts w:hint="eastAsia" w:ascii="仿宋" w:hAnsi="仿宋" w:eastAsia="仿宋" w:cs="仿宋"/>
          <w:color w:val="333333"/>
          <w:sz w:val="30"/>
          <w:szCs w:val="30"/>
          <w:lang w:val="zh-CN"/>
        </w:rPr>
        <w:t>《项目法人制度》、《项目招投标制度》、《项目合同制度》、《项目竣工验收制度》</w:t>
      </w:r>
      <w:r>
        <w:rPr>
          <w:rFonts w:hint="eastAsia" w:ascii="仿宋" w:hAnsi="仿宋" w:eastAsia="仿宋" w:cs="仿宋"/>
          <w:color w:val="333333"/>
          <w:sz w:val="30"/>
          <w:szCs w:val="30"/>
        </w:rPr>
        <w:t>并</w:t>
      </w:r>
      <w:r>
        <w:rPr>
          <w:rFonts w:ascii="仿宋" w:hAnsi="仿宋" w:eastAsia="仿宋" w:cs="仿宋"/>
          <w:color w:val="333333"/>
          <w:sz w:val="30"/>
          <w:szCs w:val="30"/>
        </w:rPr>
        <w:t>认真落实</w:t>
      </w:r>
      <w:r>
        <w:rPr>
          <w:rFonts w:hint="eastAsia" w:ascii="仿宋" w:hAnsi="仿宋" w:eastAsia="仿宋" w:cs="仿宋"/>
          <w:color w:val="333333"/>
          <w:sz w:val="30"/>
          <w:szCs w:val="30"/>
          <w:lang w:val="zh-CN"/>
        </w:rPr>
        <w:t>，</w:t>
      </w:r>
      <w:r>
        <w:rPr>
          <w:rFonts w:hint="eastAsia" w:ascii="仿宋" w:hAnsi="仿宋" w:eastAsia="仿宋" w:cs="仿宋"/>
          <w:color w:val="333333"/>
          <w:sz w:val="30"/>
          <w:szCs w:val="30"/>
          <w:lang w:val="en-US" w:eastAsia="zh-CN"/>
        </w:rPr>
        <w:t>同时，为加强项目建设管理，保障项目按时保质保量完成并发挥效益，项目法人还制定了项目</w:t>
      </w:r>
      <w:r>
        <w:rPr>
          <w:rFonts w:hint="eastAsia" w:ascii="仿宋" w:hAnsi="仿宋" w:eastAsia="仿宋" w:cs="仿宋"/>
          <w:color w:val="333333"/>
          <w:sz w:val="30"/>
          <w:szCs w:val="30"/>
          <w:lang w:eastAsia="zh-CN"/>
        </w:rPr>
        <w:t>《建设管理制度》、《安全生产制度》、《质量管理制度》、《建设资金管理制度》</w:t>
      </w:r>
      <w:r>
        <w:rPr>
          <w:rFonts w:hint="eastAsia" w:ascii="仿宋" w:hAnsi="仿宋" w:eastAsia="仿宋" w:cs="仿宋"/>
          <w:color w:val="333333"/>
          <w:sz w:val="30"/>
          <w:szCs w:val="30"/>
          <w:lang w:val="en-US" w:eastAsia="zh-CN"/>
        </w:rPr>
        <w:t>等相关的项目管理制度</w:t>
      </w:r>
      <w:r>
        <w:rPr>
          <w:rFonts w:hint="eastAsia" w:ascii="仿宋" w:hAnsi="仿宋" w:eastAsia="仿宋" w:cs="仿宋"/>
          <w:color w:val="333333"/>
          <w:sz w:val="30"/>
          <w:szCs w:val="30"/>
          <w:lang w:eastAsia="zh-CN"/>
        </w:rPr>
        <w:t>，确保项目制度完善，建设规范。</w:t>
      </w:r>
    </w:p>
    <w:p w14:paraId="7EF5FB6E">
      <w:pPr>
        <w:pageBreakBefore w:val="0"/>
        <w:widowControl w:val="0"/>
        <w:kinsoku/>
        <w:wordWrap/>
        <w:overflowPunct/>
        <w:topLinePunct w:val="0"/>
        <w:autoSpaceDE/>
        <w:autoSpaceDN/>
        <w:bidi w:val="0"/>
        <w:adjustRightInd/>
        <w:snapToGrid/>
        <w:spacing w:line="560" w:lineRule="exact"/>
        <w:textAlignment w:val="auto"/>
      </w:pPr>
      <w:r>
        <w:rPr>
          <w:rFonts w:hint="eastAsia"/>
        </w:rPr>
        <w:t>5、制度执行有效性</w:t>
      </w:r>
    </w:p>
    <w:p w14:paraId="457AD8D2">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color w:val="auto"/>
          <w:sz w:val="30"/>
          <w:szCs w:val="30"/>
          <w:lang w:val="en-US" w:eastAsia="zh-CN"/>
        </w:rPr>
      </w:pPr>
      <w:r>
        <w:rPr>
          <w:rFonts w:hint="eastAsia" w:ascii="仿宋" w:hAnsi="仿宋" w:eastAsia="仿宋" w:cs="仿宋"/>
          <w:color w:val="333333"/>
          <w:sz w:val="30"/>
          <w:szCs w:val="30"/>
          <w:lang w:val="en-US" w:eastAsia="zh-CN"/>
        </w:rPr>
        <w:t>项目严格按照水利部办公厅关于印发的《中型灌区续建配套与节水改造项目建设管理办法（试行）》和上级主管部门下发的《关于焉耆县永宁中型灌区续建配套与节水改造项目实施方案的批复》（巴水办发[2023]14号）实施。为保障新疆巴州焉耆县永宁中型灌区续建配套与节水改造项目顺利实施，根据焉耆县人民政府《关于同意组建焉耆县水利工程建设项目法人的批复》（焉政函[2021]131号），批复焉耆县水利综合服务中心作为新疆巴州焉耆县永宁中型灌区续建配套与节水改造项目法人，明确了法人代表，组建了内设机构，建立健全了各项建设管理制度。项目建设严格履行水利工程基本建设程序，认真落实“四制”要求，即项目法人制、工程招投标制、工程监理制、合同管理制，委托招标代理机构，通过公开招投标，确定中标单位。在工程实施过程中，强化工程建设与管理，采取“四抓”和“四管”措施，即：抓制度、抓管理、抓质量、抓进度和管资金、管环境、管廉政、管安全，对质量、进度、安全、造价、文明施工等严格管理，确保了工程建设程序规范，项目调整及支出调整手续完备；项目合同书、验收报告、技术鉴定等资料齐全并及时</w:t>
      </w:r>
      <w:r>
        <w:rPr>
          <w:rFonts w:hint="eastAsia" w:ascii="仿宋" w:hAnsi="仿宋" w:eastAsia="仿宋" w:cs="仿宋"/>
          <w:color w:val="auto"/>
          <w:sz w:val="30"/>
          <w:szCs w:val="30"/>
          <w:lang w:val="en-US" w:eastAsia="zh-CN"/>
        </w:rPr>
        <w:t>归档。</w:t>
      </w:r>
    </w:p>
    <w:p w14:paraId="584250A3">
      <w:pPr>
        <w:pStyle w:val="3"/>
        <w:pageBreakBefore w:val="0"/>
        <w:widowControl w:val="0"/>
        <w:kinsoku/>
        <w:wordWrap/>
        <w:overflowPunct/>
        <w:topLinePunct w:val="0"/>
        <w:autoSpaceDE/>
        <w:autoSpaceDN/>
        <w:bidi w:val="0"/>
        <w:adjustRightInd/>
        <w:snapToGrid/>
        <w:spacing w:before="0" w:after="0" w:line="560" w:lineRule="exact"/>
        <w:textAlignment w:val="auto"/>
        <w:rPr>
          <w:rFonts w:ascii="仿宋_GB2312" w:eastAsia="仿宋_GB2312"/>
          <w:b w:val="0"/>
          <w:bCs w:val="0"/>
          <w:color w:val="auto"/>
        </w:rPr>
      </w:pPr>
      <w:bookmarkStart w:id="14" w:name="_Toc68703840"/>
      <w:r>
        <w:rPr>
          <w:rFonts w:hint="eastAsia" w:ascii="仿宋_GB2312" w:eastAsia="仿宋_GB2312"/>
          <w:b w:val="0"/>
          <w:bCs w:val="0"/>
          <w:color w:val="auto"/>
        </w:rPr>
        <w:t>（三）项目产出情况。</w:t>
      </w:r>
      <w:bookmarkEnd w:id="14"/>
    </w:p>
    <w:p w14:paraId="5ED620C2">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1、产出数量指标：指标</w:t>
      </w:r>
      <w:r>
        <w:rPr>
          <w:rFonts w:hint="eastAsia" w:ascii="Times New Roman" w:hAnsi="Times New Roman" w:cs="Times New Roman"/>
          <w:color w:val="auto"/>
        </w:rPr>
        <w:t xml:space="preserve">1：中型灌区节水配套改造面积 </w:t>
      </w:r>
      <w:r>
        <w:rPr>
          <w:rFonts w:hint="eastAsia"/>
          <w:color w:val="auto"/>
        </w:rPr>
        <w:t>，指标值：</w:t>
      </w:r>
      <w:r>
        <w:rPr>
          <w:rFonts w:hint="eastAsia"/>
          <w:color w:val="auto"/>
          <w:lang w:val="en-US" w:eastAsia="zh-CN"/>
        </w:rPr>
        <w:t>1.38万亩</w:t>
      </w:r>
      <w:r>
        <w:rPr>
          <w:rFonts w:hint="eastAsia"/>
          <w:color w:val="auto"/>
        </w:rPr>
        <w:t>，实际完成值</w:t>
      </w:r>
      <w:r>
        <w:rPr>
          <w:rFonts w:hint="eastAsia"/>
          <w:color w:val="auto"/>
          <w:lang w:val="en-US" w:eastAsia="zh-CN"/>
        </w:rPr>
        <w:t>1.38万亩</w:t>
      </w:r>
      <w:r>
        <w:rPr>
          <w:rFonts w:hint="eastAsia"/>
          <w:color w:val="auto"/>
        </w:rPr>
        <w:t>，指标完成率</w:t>
      </w:r>
      <w:r>
        <w:rPr>
          <w:color w:val="auto"/>
        </w:rPr>
        <w:t>100</w:t>
      </w:r>
      <w:r>
        <w:rPr>
          <w:rFonts w:hint="eastAsia"/>
          <w:color w:val="auto"/>
        </w:rPr>
        <w:t>%</w:t>
      </w:r>
      <w:r>
        <w:rPr>
          <w:rFonts w:hint="eastAsia"/>
          <w:color w:val="auto"/>
          <w:lang w:eastAsia="zh-CN"/>
        </w:rPr>
        <w:t>，</w:t>
      </w:r>
      <w:r>
        <w:rPr>
          <w:rFonts w:hint="eastAsia" w:ascii="仿宋" w:hAnsi="仿宋" w:eastAsia="仿宋" w:cs="仿宋"/>
          <w:color w:val="auto"/>
          <w:sz w:val="30"/>
          <w:szCs w:val="30"/>
        </w:rPr>
        <w:t>无偏差</w:t>
      </w:r>
      <w:r>
        <w:rPr>
          <w:rFonts w:hint="eastAsia"/>
          <w:color w:val="auto"/>
        </w:rPr>
        <w:t>；</w:t>
      </w:r>
    </w:p>
    <w:p w14:paraId="3E0F314F">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lang w:val="en-US" w:eastAsia="zh-CN"/>
        </w:rPr>
        <w:t>2.</w:t>
      </w:r>
      <w:r>
        <w:rPr>
          <w:rFonts w:hint="eastAsia"/>
          <w:color w:val="auto"/>
        </w:rPr>
        <w:t>质量指标：指标</w:t>
      </w:r>
      <w:r>
        <w:rPr>
          <w:rFonts w:hint="eastAsia" w:ascii="Times New Roman" w:hAnsi="Times New Roman" w:cs="Times New Roman"/>
          <w:color w:val="auto"/>
        </w:rPr>
        <w:t>1：工程验收合格率，</w:t>
      </w:r>
      <w:bookmarkStart w:id="15" w:name="_Hlk98607777"/>
      <w:r>
        <w:rPr>
          <w:rFonts w:hint="eastAsia"/>
          <w:color w:val="auto"/>
        </w:rPr>
        <w:t>指标值：</w:t>
      </w:r>
      <w:r>
        <w:rPr>
          <w:color w:val="auto"/>
        </w:rPr>
        <w:t>100</w:t>
      </w:r>
      <w:r>
        <w:rPr>
          <w:rFonts w:hint="eastAsia"/>
          <w:color w:val="auto"/>
        </w:rPr>
        <w:t>%</w:t>
      </w:r>
      <w:r>
        <w:rPr>
          <w:color w:val="auto"/>
        </w:rPr>
        <w:t xml:space="preserve"> </w:t>
      </w:r>
      <w:r>
        <w:rPr>
          <w:rFonts w:hint="eastAsia"/>
          <w:color w:val="auto"/>
        </w:rPr>
        <w:t>，实际完成值</w:t>
      </w:r>
      <w:r>
        <w:rPr>
          <w:rFonts w:hint="eastAsia"/>
          <w:color w:val="auto"/>
          <w:lang w:val="en-US" w:eastAsia="zh-CN"/>
        </w:rPr>
        <w:t>100</w:t>
      </w:r>
      <w:r>
        <w:rPr>
          <w:rFonts w:hint="eastAsia"/>
          <w:color w:val="auto"/>
        </w:rPr>
        <w:t>%，</w:t>
      </w:r>
      <w:bookmarkStart w:id="16" w:name="_Hlk98607678"/>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ascii="仿宋" w:hAnsi="仿宋" w:eastAsia="仿宋" w:cs="仿宋"/>
          <w:color w:val="auto"/>
          <w:sz w:val="30"/>
          <w:szCs w:val="30"/>
        </w:rPr>
        <w:t>无偏差</w:t>
      </w:r>
      <w:r>
        <w:rPr>
          <w:rFonts w:hint="eastAsia"/>
          <w:color w:val="auto"/>
        </w:rPr>
        <w:t>；</w:t>
      </w:r>
      <w:bookmarkEnd w:id="15"/>
      <w:bookmarkEnd w:id="16"/>
      <w:r>
        <w:rPr>
          <w:rFonts w:hint="eastAsia"/>
          <w:color w:val="auto"/>
        </w:rPr>
        <w:t>指标</w:t>
      </w:r>
      <w:r>
        <w:rPr>
          <w:rFonts w:hint="eastAsia" w:ascii="Times New Roman" w:hAnsi="Times New Roman" w:cs="Times New Roman"/>
          <w:color w:val="auto"/>
          <w:lang w:val="en-US" w:eastAsia="zh-CN"/>
        </w:rPr>
        <w:t>2</w:t>
      </w:r>
      <w:r>
        <w:rPr>
          <w:rFonts w:hint="eastAsia" w:ascii="Times New Roman" w:hAnsi="Times New Roman" w:cs="Times New Roman"/>
          <w:color w:val="auto"/>
        </w:rPr>
        <w:t>：</w:t>
      </w:r>
      <w:r>
        <w:rPr>
          <w:rFonts w:hint="eastAsia" w:ascii="Times New Roman" w:hAnsi="Times New Roman" w:cs="Times New Roman"/>
          <w:color w:val="auto"/>
          <w:lang w:val="en-US" w:eastAsia="zh-CN"/>
        </w:rPr>
        <w:t>已建工程是否存在质量问题</w:t>
      </w:r>
      <w:r>
        <w:rPr>
          <w:rFonts w:hint="eastAsia" w:ascii="Times New Roman" w:hAnsi="Times New Roman" w:cs="Times New Roman"/>
          <w:color w:val="auto"/>
        </w:rPr>
        <w:t>，</w:t>
      </w:r>
      <w:r>
        <w:rPr>
          <w:rFonts w:hint="eastAsia"/>
          <w:color w:val="auto"/>
        </w:rPr>
        <w:t>指标值：</w:t>
      </w:r>
      <w:r>
        <w:rPr>
          <w:rFonts w:hint="eastAsia"/>
          <w:color w:val="auto"/>
          <w:lang w:val="en-US" w:eastAsia="zh-CN"/>
        </w:rPr>
        <w:t>否</w:t>
      </w:r>
      <w:r>
        <w:rPr>
          <w:rFonts w:hint="eastAsia"/>
          <w:color w:val="auto"/>
        </w:rPr>
        <w:t>，实际完成值</w:t>
      </w:r>
      <w:r>
        <w:rPr>
          <w:rFonts w:hint="eastAsia"/>
          <w:color w:val="auto"/>
          <w:lang w:val="en-US" w:eastAsia="zh-CN"/>
        </w:rPr>
        <w:t>否</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ascii="仿宋" w:hAnsi="仿宋" w:eastAsia="仿宋" w:cs="仿宋"/>
          <w:color w:val="auto"/>
          <w:sz w:val="30"/>
          <w:szCs w:val="30"/>
        </w:rPr>
        <w:t>无偏差</w:t>
      </w:r>
      <w:r>
        <w:rPr>
          <w:rFonts w:hint="eastAsia"/>
          <w:color w:val="auto"/>
        </w:rPr>
        <w:t>；</w:t>
      </w:r>
    </w:p>
    <w:p w14:paraId="6BE2CAD3">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eastAsia="zh-CN"/>
        </w:rPr>
      </w:pPr>
      <w:r>
        <w:rPr>
          <w:rFonts w:hint="eastAsia"/>
          <w:color w:val="auto"/>
        </w:rPr>
        <w:t>3</w:t>
      </w:r>
      <w:r>
        <w:rPr>
          <w:color w:val="auto"/>
        </w:rPr>
        <w:t>.</w:t>
      </w:r>
      <w:r>
        <w:rPr>
          <w:rFonts w:hint="eastAsia"/>
          <w:color w:val="auto"/>
        </w:rPr>
        <w:t>时效指标：指标</w:t>
      </w:r>
      <w:r>
        <w:rPr>
          <w:rFonts w:hint="eastAsia" w:ascii="Times New Roman" w:hAnsi="Times New Roman" w:cs="Times New Roman"/>
          <w:color w:val="auto"/>
        </w:rPr>
        <w:t>1：</w:t>
      </w:r>
      <w:r>
        <w:rPr>
          <w:rFonts w:hint="eastAsia"/>
          <w:color w:val="auto"/>
        </w:rPr>
        <w:t>截至2023年底，投资完成比例：指标值</w:t>
      </w:r>
      <w:r>
        <w:rPr>
          <w:rFonts w:hint="eastAsia" w:ascii="仿宋" w:hAnsi="仿宋" w:eastAsia="仿宋" w:cs="仿宋"/>
          <w:color w:val="auto"/>
          <w:sz w:val="30"/>
          <w:szCs w:val="30"/>
        </w:rPr>
        <w:t>≥80%</w:t>
      </w:r>
      <w:r>
        <w:rPr>
          <w:rFonts w:hint="eastAsia"/>
          <w:color w:val="auto"/>
        </w:rPr>
        <w:t>，完成值</w:t>
      </w:r>
      <w:r>
        <w:rPr>
          <w:rFonts w:hint="eastAsia"/>
          <w:color w:val="auto"/>
          <w:lang w:val="en-US" w:eastAsia="zh-CN"/>
        </w:rPr>
        <w:t>100%</w:t>
      </w:r>
      <w:r>
        <w:rPr>
          <w:rFonts w:hint="eastAsia"/>
          <w:color w:val="auto"/>
        </w:rPr>
        <w:t>。指标完成率</w:t>
      </w:r>
      <w:r>
        <w:rPr>
          <w:color w:val="auto"/>
        </w:rPr>
        <w:t xml:space="preserve"> </w:t>
      </w:r>
      <w:r>
        <w:rPr>
          <w:rFonts w:hint="eastAsia"/>
          <w:color w:val="auto"/>
          <w:lang w:val="en-US" w:eastAsia="zh-CN"/>
        </w:rPr>
        <w:t>100</w:t>
      </w:r>
      <w:r>
        <w:rPr>
          <w:color w:val="auto"/>
        </w:rPr>
        <w:t xml:space="preserve"> </w:t>
      </w:r>
      <w:r>
        <w:rPr>
          <w:rFonts w:hint="eastAsia"/>
          <w:color w:val="auto"/>
        </w:rPr>
        <w:t>%，</w:t>
      </w:r>
      <w:r>
        <w:rPr>
          <w:rFonts w:hint="eastAsia"/>
          <w:color w:val="auto"/>
          <w:lang w:val="en-US" w:eastAsia="zh-CN"/>
        </w:rPr>
        <w:t>无偏差</w:t>
      </w:r>
      <w:r>
        <w:rPr>
          <w:rFonts w:hint="eastAsia"/>
          <w:color w:val="auto"/>
        </w:rPr>
        <w:t>；指</w:t>
      </w:r>
      <w:r>
        <w:rPr>
          <w:rFonts w:hint="eastAsia" w:ascii="Times New Roman" w:hAnsi="Times New Roman" w:cs="Times New Roman"/>
          <w:color w:val="auto"/>
        </w:rPr>
        <w:t>标</w:t>
      </w:r>
      <w:r>
        <w:rPr>
          <w:rFonts w:hint="eastAsia" w:ascii="Times New Roman" w:hAnsi="Times New Roman" w:cs="Times New Roman"/>
          <w:color w:val="auto"/>
          <w:lang w:val="en-US" w:eastAsia="zh-CN"/>
        </w:rPr>
        <w:t>2</w:t>
      </w:r>
      <w:r>
        <w:rPr>
          <w:rFonts w:hint="eastAsia" w:ascii="Times New Roman" w:hAnsi="Times New Roman" w:cs="Times New Roman"/>
          <w:color w:val="auto"/>
        </w:rPr>
        <w:t>：截至2024年6月底，投资完成比例：指标值</w:t>
      </w:r>
      <w:r>
        <w:rPr>
          <w:rFonts w:hint="eastAsia" w:ascii="Times New Roman" w:hAnsi="Times New Roman" w:cs="Times New Roman"/>
          <w:color w:val="auto"/>
          <w:lang w:val="en-US" w:eastAsia="zh-CN"/>
        </w:rPr>
        <w:t>100</w:t>
      </w:r>
      <w:r>
        <w:rPr>
          <w:rFonts w:hint="eastAsia" w:ascii="Times New Roman" w:hAnsi="Times New Roman" w:cs="Times New Roman"/>
          <w:color w:val="auto"/>
        </w:rPr>
        <w:t>%，完成值</w:t>
      </w:r>
      <w:r>
        <w:rPr>
          <w:rFonts w:hint="eastAsia" w:ascii="Times New Roman" w:hAnsi="Times New Roman" w:cs="Times New Roman"/>
          <w:color w:val="auto"/>
          <w:lang w:val="en-US" w:eastAsia="zh-CN"/>
        </w:rPr>
        <w:t>100%</w:t>
      </w:r>
      <w:r>
        <w:rPr>
          <w:rFonts w:hint="eastAsia" w:ascii="Times New Roman" w:hAnsi="Times New Roman" w:cs="Times New Roman"/>
          <w:color w:val="auto"/>
        </w:rPr>
        <w:t xml:space="preserve">。指标完成率 </w:t>
      </w:r>
      <w:r>
        <w:rPr>
          <w:rFonts w:hint="eastAsia" w:ascii="Times New Roman" w:hAnsi="Times New Roman" w:cs="Times New Roman"/>
          <w:color w:val="auto"/>
          <w:lang w:val="en-US" w:eastAsia="zh-CN"/>
        </w:rPr>
        <w:t>100</w:t>
      </w:r>
      <w:r>
        <w:rPr>
          <w:rFonts w:hint="eastAsia" w:ascii="Times New Roman" w:hAnsi="Times New Roman" w:cs="Times New Roman"/>
          <w:color w:val="auto"/>
        </w:rPr>
        <w:t xml:space="preserve"> %，</w:t>
      </w:r>
      <w:r>
        <w:rPr>
          <w:rFonts w:hint="eastAsia"/>
          <w:color w:val="auto"/>
          <w:lang w:val="en-US" w:eastAsia="zh-CN"/>
        </w:rPr>
        <w:t>无偏差。</w:t>
      </w:r>
    </w:p>
    <w:p w14:paraId="4BC2EDE5">
      <w:pPr>
        <w:pageBreakBefore w:val="0"/>
        <w:widowControl w:val="0"/>
        <w:kinsoku/>
        <w:wordWrap/>
        <w:overflowPunct/>
        <w:topLinePunct w:val="0"/>
        <w:autoSpaceDE/>
        <w:autoSpaceDN/>
        <w:bidi w:val="0"/>
        <w:adjustRightInd/>
        <w:snapToGrid/>
        <w:spacing w:line="560" w:lineRule="exact"/>
        <w:ind w:firstLine="600" w:firstLineChars="200"/>
        <w:contextualSpacing/>
        <w:textAlignment w:val="auto"/>
        <w:rPr>
          <w:rFonts w:ascii="仿宋" w:hAnsi="仿宋" w:eastAsia="仿宋" w:cs="仿宋"/>
          <w:color w:val="auto"/>
          <w:sz w:val="30"/>
          <w:szCs w:val="30"/>
        </w:rPr>
      </w:pPr>
      <w:r>
        <w:rPr>
          <w:rFonts w:hint="eastAsia"/>
          <w:color w:val="auto"/>
        </w:rPr>
        <w:t>成本指标：</w:t>
      </w:r>
      <w:r>
        <w:rPr>
          <w:rFonts w:hint="eastAsia" w:ascii="仿宋" w:hAnsi="仿宋" w:eastAsia="仿宋" w:cs="仿宋"/>
          <w:color w:val="auto"/>
          <w:sz w:val="30"/>
          <w:szCs w:val="30"/>
        </w:rPr>
        <w:t>指标1：预算控制率≤1</w:t>
      </w:r>
      <w:r>
        <w:rPr>
          <w:rFonts w:ascii="仿宋" w:hAnsi="仿宋" w:eastAsia="仿宋" w:cs="仿宋"/>
          <w:color w:val="auto"/>
          <w:sz w:val="30"/>
          <w:szCs w:val="30"/>
        </w:rPr>
        <w:t>00</w:t>
      </w:r>
      <w:r>
        <w:rPr>
          <w:rFonts w:hint="eastAsia" w:ascii="仿宋" w:hAnsi="仿宋" w:eastAsia="仿宋" w:cs="仿宋"/>
          <w:color w:val="auto"/>
          <w:sz w:val="30"/>
          <w:szCs w:val="30"/>
        </w:rPr>
        <w:t>%，实际完成值100% ，指标完成率100%，无偏差。</w:t>
      </w:r>
    </w:p>
    <w:p w14:paraId="6C9031EA">
      <w:pPr>
        <w:pStyle w:val="3"/>
        <w:pageBreakBefore w:val="0"/>
        <w:widowControl w:val="0"/>
        <w:kinsoku/>
        <w:wordWrap/>
        <w:overflowPunct/>
        <w:topLinePunct w:val="0"/>
        <w:autoSpaceDE/>
        <w:autoSpaceDN/>
        <w:bidi w:val="0"/>
        <w:adjustRightInd/>
        <w:snapToGrid/>
        <w:spacing w:before="0" w:after="0" w:line="560" w:lineRule="exact"/>
        <w:textAlignment w:val="auto"/>
        <w:rPr>
          <w:rFonts w:ascii="仿宋_GB2312" w:eastAsia="仿宋_GB2312"/>
          <w:b w:val="0"/>
          <w:bCs w:val="0"/>
          <w:color w:val="auto"/>
        </w:rPr>
      </w:pPr>
      <w:bookmarkStart w:id="17" w:name="_Toc68703841"/>
      <w:r>
        <w:rPr>
          <w:rFonts w:hint="eastAsia" w:ascii="仿宋_GB2312" w:eastAsia="仿宋_GB2312"/>
          <w:b w:val="0"/>
          <w:bCs w:val="0"/>
          <w:color w:val="auto"/>
        </w:rPr>
        <w:t>（四）项目效益情况。</w:t>
      </w:r>
      <w:bookmarkEnd w:id="17"/>
    </w:p>
    <w:p w14:paraId="7CD0068B">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效益指标：</w:t>
      </w:r>
    </w:p>
    <w:p w14:paraId="46077DCE">
      <w:pPr>
        <w:pageBreakBefore w:val="0"/>
        <w:widowControl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lang w:val="en-US" w:eastAsia="zh-CN"/>
        </w:rPr>
        <w:t>1.</w:t>
      </w:r>
      <w:r>
        <w:rPr>
          <w:rFonts w:hint="eastAsia"/>
          <w:color w:val="auto"/>
        </w:rPr>
        <w:t>经济效益指标：指标</w:t>
      </w:r>
      <w:r>
        <w:rPr>
          <w:color w:val="auto"/>
        </w:rPr>
        <w:t>1</w:t>
      </w:r>
      <w:r>
        <w:rPr>
          <w:rFonts w:hint="eastAsia"/>
          <w:color w:val="auto"/>
          <w:lang w:eastAsia="zh-CN"/>
        </w:rPr>
        <w:t>：</w:t>
      </w:r>
      <w:r>
        <w:rPr>
          <w:rFonts w:hint="eastAsia"/>
          <w:color w:val="auto"/>
          <w:lang w:val="en-US" w:eastAsia="zh-CN"/>
        </w:rPr>
        <w:t>改善灌溉面积</w:t>
      </w:r>
      <w:r>
        <w:rPr>
          <w:rFonts w:hint="eastAsia"/>
          <w:color w:val="auto"/>
        </w:rPr>
        <w:t>，指标值：</w:t>
      </w:r>
      <w:r>
        <w:rPr>
          <w:rFonts w:hint="eastAsia"/>
          <w:color w:val="auto"/>
          <w:lang w:val="en-US" w:eastAsia="zh-CN"/>
        </w:rPr>
        <w:t>1.38万亩</w:t>
      </w:r>
      <w:r>
        <w:rPr>
          <w:rFonts w:hint="eastAsia"/>
          <w:color w:val="auto"/>
        </w:rPr>
        <w:t xml:space="preserve">，实际完成值 </w:t>
      </w:r>
      <w:r>
        <w:rPr>
          <w:rFonts w:hint="eastAsia"/>
          <w:color w:val="auto"/>
          <w:lang w:val="en-US" w:eastAsia="zh-CN"/>
        </w:rPr>
        <w:t>1.38万亩</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lang w:val="en-US" w:eastAsia="zh-CN"/>
        </w:rPr>
        <w:t>无偏差；</w:t>
      </w:r>
      <w:r>
        <w:rPr>
          <w:rFonts w:hint="eastAsia"/>
          <w:color w:val="auto"/>
        </w:rPr>
        <w:t>指标</w:t>
      </w:r>
      <w:r>
        <w:rPr>
          <w:rFonts w:hint="eastAsia"/>
          <w:color w:val="auto"/>
          <w:lang w:val="en-US" w:eastAsia="zh-CN"/>
        </w:rPr>
        <w:t>2</w:t>
      </w:r>
      <w:r>
        <w:rPr>
          <w:rFonts w:hint="eastAsia"/>
          <w:color w:val="auto"/>
          <w:lang w:eastAsia="zh-CN"/>
        </w:rPr>
        <w:t>：</w:t>
      </w:r>
      <w:r>
        <w:rPr>
          <w:rFonts w:hint="eastAsia"/>
          <w:color w:val="auto"/>
          <w:lang w:val="en-US" w:eastAsia="zh-CN"/>
        </w:rPr>
        <w:t>新增粮食综合生产能力</w:t>
      </w:r>
      <w:r>
        <w:rPr>
          <w:rFonts w:hint="eastAsia"/>
          <w:color w:val="auto"/>
        </w:rPr>
        <w:t>，指标值：</w:t>
      </w:r>
      <w:r>
        <w:rPr>
          <w:rFonts w:hint="eastAsia"/>
          <w:color w:val="auto"/>
          <w:lang w:val="en-US" w:eastAsia="zh-CN"/>
        </w:rPr>
        <w:t>2.59万公斤</w:t>
      </w:r>
      <w:r>
        <w:rPr>
          <w:rFonts w:hint="eastAsia"/>
          <w:color w:val="auto"/>
        </w:rPr>
        <w:t>，实际完成值2.59万公斤，指标完成率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lang w:val="en-US" w:eastAsia="zh-CN"/>
        </w:rPr>
        <w:t>无偏差</w:t>
      </w:r>
      <w:r>
        <w:rPr>
          <w:rFonts w:hint="eastAsia"/>
          <w:color w:val="auto"/>
        </w:rPr>
        <w:t>。</w:t>
      </w:r>
    </w:p>
    <w:p w14:paraId="031EA855">
      <w:pPr>
        <w:pageBreakBefore w:val="0"/>
        <w:widowControl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lang w:val="en-US" w:eastAsia="zh-CN"/>
        </w:rPr>
        <w:t>2.</w:t>
      </w:r>
      <w:r>
        <w:rPr>
          <w:rFonts w:hint="eastAsia"/>
          <w:color w:val="auto"/>
        </w:rPr>
        <w:t>生态效益指标：指标</w:t>
      </w:r>
      <w:r>
        <w:rPr>
          <w:color w:val="auto"/>
        </w:rPr>
        <w:t>1</w:t>
      </w:r>
      <w:r>
        <w:rPr>
          <w:rFonts w:hint="eastAsia"/>
          <w:color w:val="auto"/>
          <w:lang w:eastAsia="zh-CN"/>
        </w:rPr>
        <w:t>：</w:t>
      </w:r>
      <w:r>
        <w:rPr>
          <w:rFonts w:hint="eastAsia"/>
          <w:color w:val="auto"/>
          <w:lang w:val="en-US" w:eastAsia="zh-CN"/>
        </w:rPr>
        <w:t>新增年节水能力</w:t>
      </w:r>
      <w:r>
        <w:rPr>
          <w:rFonts w:hint="eastAsia"/>
          <w:color w:val="auto"/>
        </w:rPr>
        <w:t>，指标值</w:t>
      </w:r>
      <w:r>
        <w:rPr>
          <w:rFonts w:hint="eastAsia" w:ascii="Times New Roman" w:hAnsi="Times New Roman" w:cs="Times New Roman"/>
          <w:color w:val="auto"/>
          <w:lang w:val="en-US" w:eastAsia="zh-CN"/>
        </w:rPr>
        <w:t>：16.82万立方米，</w:t>
      </w:r>
      <w:r>
        <w:rPr>
          <w:rFonts w:hint="eastAsia"/>
          <w:color w:val="auto"/>
        </w:rPr>
        <w:t xml:space="preserve">实际完成值 </w:t>
      </w:r>
      <w:r>
        <w:rPr>
          <w:rFonts w:hint="eastAsia" w:ascii="Times New Roman" w:hAnsi="Times New Roman" w:cs="Times New Roman"/>
          <w:color w:val="auto"/>
          <w:lang w:val="en-US" w:eastAsia="zh-CN"/>
        </w:rPr>
        <w:t>16.82万立方米</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lang w:val="en-US" w:eastAsia="zh-CN"/>
        </w:rPr>
        <w:t>无偏差</w:t>
      </w:r>
      <w:r>
        <w:rPr>
          <w:rFonts w:hint="eastAsia"/>
          <w:color w:val="auto"/>
        </w:rPr>
        <w:t>。</w:t>
      </w:r>
    </w:p>
    <w:p w14:paraId="1516E7BF">
      <w:pPr>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ascii="仿宋" w:hAnsi="仿宋" w:eastAsia="仿宋" w:cs="仿宋"/>
          <w:color w:val="auto"/>
          <w:sz w:val="30"/>
          <w:szCs w:val="30"/>
        </w:rPr>
      </w:pPr>
      <w:r>
        <w:rPr>
          <w:rFonts w:hint="eastAsia" w:ascii="仿宋" w:hAnsi="仿宋" w:eastAsia="仿宋" w:cs="仿宋"/>
          <w:color w:val="auto"/>
          <w:sz w:val="30"/>
          <w:szCs w:val="30"/>
        </w:rPr>
        <w:t>满意度指标：指标1：受益群众满意度，指标值：≥90%，实际完成值9</w:t>
      </w:r>
      <w:r>
        <w:rPr>
          <w:rFonts w:hint="eastAsia" w:ascii="仿宋" w:hAnsi="仿宋" w:eastAsia="仿宋" w:cs="仿宋"/>
          <w:color w:val="auto"/>
          <w:sz w:val="30"/>
          <w:szCs w:val="30"/>
          <w:lang w:val="en-US" w:eastAsia="zh-CN"/>
        </w:rPr>
        <w:t>8</w:t>
      </w:r>
      <w:r>
        <w:rPr>
          <w:rFonts w:hint="eastAsia" w:ascii="仿宋" w:hAnsi="仿宋" w:eastAsia="仿宋" w:cs="仿宋"/>
          <w:color w:val="auto"/>
          <w:sz w:val="30"/>
          <w:szCs w:val="30"/>
        </w:rPr>
        <w:t>%，指标完成率100 %，无偏差。</w:t>
      </w:r>
    </w:p>
    <w:p w14:paraId="72561980">
      <w:pPr>
        <w:pStyle w:val="2"/>
        <w:pageBreakBefore w:val="0"/>
        <w:widowControl w:val="0"/>
        <w:kinsoku/>
        <w:wordWrap/>
        <w:overflowPunct/>
        <w:topLinePunct w:val="0"/>
        <w:autoSpaceDE/>
        <w:autoSpaceDN/>
        <w:bidi w:val="0"/>
        <w:adjustRightInd/>
        <w:snapToGrid/>
        <w:spacing w:before="0" w:after="0" w:line="560" w:lineRule="exact"/>
        <w:textAlignment w:val="auto"/>
        <w:rPr>
          <w:rFonts w:ascii="宋体" w:hAnsi="宋体" w:eastAsia="宋体"/>
          <w:color w:val="auto"/>
          <w:sz w:val="32"/>
          <w:szCs w:val="32"/>
        </w:rPr>
      </w:pPr>
      <w:bookmarkStart w:id="18" w:name="_Toc68703842"/>
      <w:r>
        <w:rPr>
          <w:rFonts w:hint="eastAsia" w:ascii="宋体" w:hAnsi="宋体" w:eastAsia="宋体"/>
          <w:color w:val="auto"/>
          <w:sz w:val="32"/>
          <w:szCs w:val="32"/>
        </w:rPr>
        <w:t>五、主要经验及做法、存在的问题及原因分析</w:t>
      </w:r>
      <w:bookmarkEnd w:id="18"/>
    </w:p>
    <w:p w14:paraId="1A6DB3BD">
      <w:pPr>
        <w:pStyle w:val="3"/>
        <w:pageBreakBefore w:val="0"/>
        <w:widowControl w:val="0"/>
        <w:kinsoku/>
        <w:wordWrap/>
        <w:overflowPunct/>
        <w:topLinePunct w:val="0"/>
        <w:autoSpaceDE/>
        <w:autoSpaceDN/>
        <w:bidi w:val="0"/>
        <w:adjustRightInd/>
        <w:snapToGrid/>
        <w:spacing w:before="0" w:after="0" w:line="560" w:lineRule="exact"/>
        <w:textAlignment w:val="auto"/>
        <w:rPr>
          <w:rFonts w:ascii="仿宋_GB2312" w:eastAsia="仿宋_GB2312"/>
          <w:b w:val="0"/>
          <w:bCs w:val="0"/>
          <w:color w:val="auto"/>
        </w:rPr>
      </w:pPr>
      <w:bookmarkStart w:id="19" w:name="_Toc68703843"/>
      <w:r>
        <w:rPr>
          <w:rFonts w:hint="eastAsia" w:ascii="仿宋_GB2312" w:eastAsia="仿宋_GB2312"/>
          <w:b w:val="0"/>
          <w:bCs w:val="0"/>
          <w:color w:val="auto"/>
        </w:rPr>
        <w:t>（一）主要经验及做法</w:t>
      </w:r>
      <w:bookmarkEnd w:id="19"/>
    </w:p>
    <w:p w14:paraId="168B4659">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仿宋" w:hAnsi="仿宋" w:eastAsia="仿宋" w:cs="仿宋"/>
          <w:color w:val="auto"/>
          <w:sz w:val="30"/>
          <w:szCs w:val="30"/>
          <w:lang w:val="en-US" w:eastAsia="zh-CN"/>
        </w:rPr>
      </w:pPr>
      <w:bookmarkStart w:id="20" w:name="_Toc68703844"/>
      <w:r>
        <w:rPr>
          <w:rFonts w:hint="default" w:ascii="仿宋" w:hAnsi="仿宋" w:eastAsia="仿宋" w:cs="仿宋"/>
          <w:color w:val="auto"/>
          <w:sz w:val="30"/>
          <w:szCs w:val="30"/>
          <w:lang w:val="en-US" w:eastAsia="zh-CN"/>
        </w:rPr>
        <w:t>项目资金严格按照项目批复及实施方案规定的用途使用，符合项目资金使用规定，同时建立健全项目资金审查审批程序和财务制度，严格执行国家法律、行政法规和财务规章制度，任何单位和个人不得侵占、挪用经费，切实做到专款专用，财务资料齐全并及时归档。</w:t>
      </w:r>
    </w:p>
    <w:p w14:paraId="6FC7E40E">
      <w:pPr>
        <w:pStyle w:val="3"/>
        <w:pageBreakBefore w:val="0"/>
        <w:widowControl w:val="0"/>
        <w:kinsoku/>
        <w:wordWrap/>
        <w:overflowPunct/>
        <w:topLinePunct w:val="0"/>
        <w:autoSpaceDE/>
        <w:autoSpaceDN/>
        <w:bidi w:val="0"/>
        <w:adjustRightInd/>
        <w:snapToGrid/>
        <w:spacing w:before="0" w:after="0" w:line="560" w:lineRule="exact"/>
        <w:textAlignment w:val="auto"/>
        <w:rPr>
          <w:rFonts w:ascii="仿宋_GB2312" w:eastAsia="仿宋_GB2312"/>
          <w:b w:val="0"/>
          <w:bCs w:val="0"/>
          <w:color w:val="auto"/>
        </w:rPr>
      </w:pPr>
      <w:r>
        <w:rPr>
          <w:rFonts w:hint="eastAsia" w:ascii="仿宋_GB2312" w:eastAsia="仿宋_GB2312"/>
          <w:b w:val="0"/>
          <w:bCs w:val="0"/>
          <w:color w:val="auto"/>
        </w:rPr>
        <w:t>（二）存在的问题及原因分析</w:t>
      </w:r>
      <w:bookmarkEnd w:id="20"/>
    </w:p>
    <w:p w14:paraId="1C787F1D">
      <w:pPr>
        <w:pStyle w:val="2"/>
        <w:pageBreakBefore w:val="0"/>
        <w:widowControl w:val="0"/>
        <w:numPr>
          <w:ilvl w:val="0"/>
          <w:numId w:val="0"/>
        </w:numPr>
        <w:kinsoku/>
        <w:wordWrap/>
        <w:overflowPunct/>
        <w:topLinePunct w:val="0"/>
        <w:autoSpaceDE/>
        <w:autoSpaceDN/>
        <w:bidi w:val="0"/>
        <w:adjustRightInd/>
        <w:snapToGrid/>
        <w:spacing w:before="0" w:after="0" w:line="560" w:lineRule="exact"/>
        <w:ind w:firstLine="600" w:firstLineChars="200"/>
        <w:textAlignment w:val="auto"/>
        <w:rPr>
          <w:rFonts w:hint="eastAsia" w:ascii="仿宋" w:hAnsi="仿宋" w:eastAsia="仿宋" w:cs="仿宋"/>
          <w:b w:val="0"/>
          <w:bCs w:val="0"/>
          <w:color w:val="auto"/>
          <w:kern w:val="2"/>
          <w:sz w:val="30"/>
          <w:szCs w:val="30"/>
          <w:lang w:val="en-US" w:eastAsia="zh-CN" w:bidi="ar-SA"/>
        </w:rPr>
      </w:pPr>
      <w:bookmarkStart w:id="21" w:name="_Toc68703845"/>
      <w:r>
        <w:rPr>
          <w:rFonts w:hint="eastAsia" w:ascii="仿宋" w:hAnsi="仿宋" w:eastAsia="仿宋" w:cs="仿宋"/>
          <w:b w:val="0"/>
          <w:bCs w:val="0"/>
          <w:color w:val="auto"/>
          <w:kern w:val="2"/>
          <w:sz w:val="30"/>
          <w:szCs w:val="30"/>
          <w:lang w:val="en-US" w:eastAsia="zh-CN" w:bidi="ar-SA"/>
        </w:rPr>
        <w:t>项目建设管理工作有加强进步空间，按照初步设计要求，从质量、进度、安全等方面严格把关，对工程设计和施工的各个环节和每道工序加强控制和监督。</w:t>
      </w:r>
    </w:p>
    <w:p w14:paraId="14296ACF">
      <w:pPr>
        <w:pStyle w:val="2"/>
        <w:pageBreakBefore w:val="0"/>
        <w:widowControl w:val="0"/>
        <w:numPr>
          <w:ilvl w:val="0"/>
          <w:numId w:val="2"/>
        </w:numPr>
        <w:kinsoku/>
        <w:wordWrap/>
        <w:overflowPunct/>
        <w:topLinePunct w:val="0"/>
        <w:autoSpaceDE/>
        <w:autoSpaceDN/>
        <w:bidi w:val="0"/>
        <w:adjustRightInd/>
        <w:snapToGrid/>
        <w:spacing w:before="0" w:after="0" w:line="560" w:lineRule="exact"/>
        <w:textAlignment w:val="auto"/>
        <w:rPr>
          <w:rFonts w:hint="eastAsia" w:ascii="宋体" w:hAnsi="宋体" w:eastAsia="宋体"/>
          <w:color w:val="auto"/>
          <w:sz w:val="32"/>
          <w:szCs w:val="32"/>
        </w:rPr>
      </w:pPr>
      <w:r>
        <w:rPr>
          <w:rFonts w:hint="eastAsia" w:ascii="宋体" w:hAnsi="宋体" w:eastAsia="宋体"/>
          <w:color w:val="auto"/>
          <w:sz w:val="32"/>
          <w:szCs w:val="32"/>
        </w:rPr>
        <w:t>有关建议</w:t>
      </w:r>
      <w:bookmarkEnd w:id="21"/>
    </w:p>
    <w:p w14:paraId="066BBAB9">
      <w:pPr>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default" w:ascii="仿宋" w:hAnsi="仿宋" w:eastAsia="仿宋" w:cs="仿宋"/>
          <w:b w:val="0"/>
          <w:bCs w:val="0"/>
          <w:color w:val="auto"/>
          <w:kern w:val="2"/>
          <w:sz w:val="30"/>
          <w:szCs w:val="30"/>
          <w:lang w:val="en-US" w:eastAsia="zh-CN" w:bidi="ar-SA"/>
        </w:rPr>
      </w:pPr>
      <w:r>
        <w:rPr>
          <w:rFonts w:hint="eastAsia" w:ascii="仿宋" w:hAnsi="仿宋" w:eastAsia="仿宋" w:cs="仿宋"/>
          <w:b w:val="0"/>
          <w:bCs w:val="0"/>
          <w:color w:val="auto"/>
          <w:kern w:val="2"/>
          <w:sz w:val="30"/>
          <w:szCs w:val="30"/>
          <w:lang w:val="en-US" w:eastAsia="zh-CN" w:bidi="ar-SA"/>
        </w:rPr>
        <w:t>1.</w:t>
      </w:r>
      <w:r>
        <w:rPr>
          <w:rFonts w:hint="default" w:ascii="仿宋" w:hAnsi="仿宋" w:eastAsia="仿宋" w:cs="仿宋"/>
          <w:b w:val="0"/>
          <w:bCs w:val="0"/>
          <w:color w:val="auto"/>
          <w:kern w:val="2"/>
          <w:sz w:val="30"/>
          <w:szCs w:val="30"/>
          <w:lang w:val="en-US" w:eastAsia="zh-CN" w:bidi="ar-SA"/>
        </w:rPr>
        <w:t>在水利项目立项时，要与项目实施单位部门职责范围相符，要与部门履职所需相适应，加强绩效评价管理制度和流程的建设，进一步深化、完善绩效管理体系，建立全过程的预算绩效管理机制，促进绩效管理工作向广度和深度延伸。</w:t>
      </w:r>
    </w:p>
    <w:p w14:paraId="0A9D7805">
      <w:pPr>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default" w:ascii="仿宋" w:hAnsi="仿宋" w:eastAsia="仿宋" w:cs="仿宋"/>
          <w:b w:val="0"/>
          <w:bCs w:val="0"/>
          <w:color w:val="auto"/>
          <w:kern w:val="2"/>
          <w:sz w:val="30"/>
          <w:szCs w:val="30"/>
          <w:lang w:val="en-US" w:eastAsia="zh-CN" w:bidi="ar-SA"/>
        </w:rPr>
      </w:pPr>
      <w:r>
        <w:rPr>
          <w:rFonts w:hint="default" w:ascii="仿宋" w:hAnsi="仿宋" w:eastAsia="仿宋" w:cs="仿宋"/>
          <w:b w:val="0"/>
          <w:bCs w:val="0"/>
          <w:color w:val="auto"/>
          <w:kern w:val="2"/>
          <w:sz w:val="30"/>
          <w:szCs w:val="30"/>
          <w:lang w:val="en-US" w:eastAsia="zh-CN" w:bidi="ar-SA"/>
        </w:rPr>
        <w:t>2、在编制预算时，加强相关财政财务规章学习，合理使用各项资金，确保了我单位预算管理的成效，全年预算支出整体受控,提高财政资金的使用效率。</w:t>
      </w:r>
    </w:p>
    <w:p w14:paraId="438C154B">
      <w:pPr>
        <w:pageBreakBefore w:val="0"/>
        <w:widowControl w:val="0"/>
        <w:numPr>
          <w:ilvl w:val="0"/>
          <w:numId w:val="0"/>
        </w:numPr>
        <w:kinsoku/>
        <w:wordWrap/>
        <w:overflowPunct/>
        <w:topLinePunct w:val="0"/>
        <w:autoSpaceDE/>
        <w:autoSpaceDN/>
        <w:bidi w:val="0"/>
        <w:adjustRightInd/>
        <w:snapToGrid/>
        <w:spacing w:line="560" w:lineRule="exact"/>
        <w:jc w:val="both"/>
        <w:textAlignment w:val="auto"/>
        <w:rPr>
          <w:color w:val="auto"/>
        </w:rPr>
      </w:pPr>
      <w:r>
        <w:rPr>
          <w:rFonts w:hint="default" w:ascii="仿宋" w:hAnsi="仿宋" w:eastAsia="仿宋" w:cs="仿宋"/>
          <w:b w:val="0"/>
          <w:bCs w:val="0"/>
          <w:color w:val="auto"/>
          <w:kern w:val="2"/>
          <w:sz w:val="30"/>
          <w:szCs w:val="30"/>
          <w:lang w:val="en-US" w:eastAsia="zh-CN" w:bidi="ar-SA"/>
        </w:rPr>
        <w:t>3、规范绩效评价管理资料的收集整理，确保相关信息完整、可靠，客观公正地反映项目资金实际使用和产生的绩效状况，为今后该项目实施方向及资金管理方式的改进提供指导。</w:t>
      </w:r>
    </w:p>
    <w:p w14:paraId="2842247B">
      <w:pPr>
        <w:pStyle w:val="2"/>
        <w:pageBreakBefore w:val="0"/>
        <w:widowControl w:val="0"/>
        <w:kinsoku/>
        <w:wordWrap/>
        <w:overflowPunct/>
        <w:topLinePunct w:val="0"/>
        <w:autoSpaceDE/>
        <w:autoSpaceDN/>
        <w:bidi w:val="0"/>
        <w:adjustRightInd/>
        <w:snapToGrid/>
        <w:spacing w:before="0" w:after="0" w:line="560" w:lineRule="exact"/>
        <w:textAlignment w:val="auto"/>
        <w:rPr>
          <w:rFonts w:ascii="宋体" w:hAnsi="宋体" w:eastAsia="宋体"/>
          <w:color w:val="auto"/>
          <w:sz w:val="32"/>
          <w:szCs w:val="32"/>
        </w:rPr>
      </w:pPr>
      <w:bookmarkStart w:id="22" w:name="_Toc68703846"/>
      <w:r>
        <w:rPr>
          <w:rFonts w:hint="eastAsia" w:ascii="宋体" w:hAnsi="宋体" w:eastAsia="宋体"/>
          <w:color w:val="auto"/>
          <w:sz w:val="32"/>
          <w:szCs w:val="32"/>
        </w:rPr>
        <w:t>七、其他需要说明的问题</w:t>
      </w:r>
      <w:bookmarkEnd w:id="22"/>
    </w:p>
    <w:p w14:paraId="7C10FCCB">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仿宋" w:eastAsia="仿宋_GB2312" w:cs="宋体"/>
          <w:color w:val="auto"/>
          <w:sz w:val="32"/>
          <w:szCs w:val="32"/>
        </w:rPr>
      </w:pPr>
      <w:r>
        <w:rPr>
          <w:rFonts w:hint="eastAsia" w:ascii="Times New Roman" w:hAnsi="Times New Roman" w:eastAsia="仿宋_GB2312"/>
          <w:color w:val="auto"/>
          <w:sz w:val="32"/>
          <w:szCs w:val="32"/>
        </w:rPr>
        <w:t xml:space="preserve">  </w:t>
      </w:r>
      <w:r>
        <w:rPr>
          <w:rFonts w:hint="eastAsia" w:ascii="仿宋_GB2312" w:hAnsi="仿宋" w:eastAsia="仿宋_GB2312" w:cs="宋体"/>
          <w:color w:val="auto"/>
          <w:sz w:val="32"/>
          <w:szCs w:val="32"/>
        </w:rPr>
        <w:t>本次预算绩效评价所采集的数据因为采集时间、数据来源等诸多因素的影响，可能会出现一定的偏差，进而对评价结果存在影响。</w:t>
      </w:r>
    </w:p>
    <w:p w14:paraId="4AD84B34">
      <w:pPr>
        <w:pageBreakBefore w:val="0"/>
        <w:widowControl w:val="0"/>
        <w:kinsoku/>
        <w:wordWrap/>
        <w:overflowPunct/>
        <w:topLinePunct w:val="0"/>
        <w:autoSpaceDE/>
        <w:autoSpaceDN/>
        <w:bidi w:val="0"/>
        <w:adjustRightInd/>
        <w:snapToGrid/>
        <w:spacing w:line="560" w:lineRule="exact"/>
        <w:textAlignment w:val="auto"/>
        <w:rPr>
          <w:color w:val="auto"/>
        </w:rPr>
      </w:pPr>
    </w:p>
    <w:p w14:paraId="4711A1CC">
      <w:pPr>
        <w:pageBreakBefore w:val="0"/>
        <w:widowControl w:val="0"/>
        <w:kinsoku/>
        <w:wordWrap/>
        <w:overflowPunct/>
        <w:topLinePunct w:val="0"/>
        <w:autoSpaceDE/>
        <w:autoSpaceDN/>
        <w:bidi w:val="0"/>
        <w:adjustRightInd/>
        <w:snapToGrid/>
        <w:spacing w:line="560" w:lineRule="exact"/>
        <w:textAlignment w:val="auto"/>
        <w:rPr>
          <w:color w:val="auto"/>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5A08C8"/>
    <w:multiLevelType w:val="singleLevel"/>
    <w:tmpl w:val="A15A08C8"/>
    <w:lvl w:ilvl="0" w:tentative="0">
      <w:start w:val="6"/>
      <w:numFmt w:val="chineseCounting"/>
      <w:suff w:val="nothing"/>
      <w:lvlText w:val="%1、"/>
      <w:lvlJc w:val="left"/>
      <w:rPr>
        <w:rFonts w:hint="eastAsia"/>
      </w:rPr>
    </w:lvl>
  </w:abstractNum>
  <w:abstractNum w:abstractNumId="1">
    <w:nsid w:val="1D89E5A7"/>
    <w:multiLevelType w:val="singleLevel"/>
    <w:tmpl w:val="1D89E5A7"/>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E5ZjY4MTZmMjdlZTdiNDk2YjE2YjM5MDdjZDkwNjQ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3281887"/>
    <w:rsid w:val="0CF2078F"/>
    <w:rsid w:val="15DA37C6"/>
    <w:rsid w:val="19F16090"/>
    <w:rsid w:val="1D40788B"/>
    <w:rsid w:val="1E8A73A4"/>
    <w:rsid w:val="200A7EAB"/>
    <w:rsid w:val="2732278A"/>
    <w:rsid w:val="2DAA6B9C"/>
    <w:rsid w:val="36AC4A4C"/>
    <w:rsid w:val="38190834"/>
    <w:rsid w:val="3EE17BD1"/>
    <w:rsid w:val="3F3020FF"/>
    <w:rsid w:val="4216560C"/>
    <w:rsid w:val="5EB965FC"/>
    <w:rsid w:val="5FAC26C0"/>
    <w:rsid w:val="622575EA"/>
    <w:rsid w:val="626A7D5A"/>
    <w:rsid w:val="66A8794F"/>
    <w:rsid w:val="69594684"/>
    <w:rsid w:val="6CA542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8"/>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5">
    <w:name w:val="Default Paragraph Font"/>
    <w:autoRedefine/>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qFormat/>
    <w:uiPriority w:val="0"/>
    <w:pPr>
      <w:spacing w:line="360" w:lineRule="auto"/>
      <w:ind w:firstLine="468"/>
    </w:pPr>
    <w:rPr>
      <w:rFonts w:ascii="宋体"/>
      <w:bCs/>
      <w:sz w:val="28"/>
    </w:rPr>
  </w:style>
  <w:style w:type="paragraph" w:styleId="5">
    <w:name w:val="Plain Text"/>
    <w:basedOn w:val="1"/>
    <w:autoRedefine/>
    <w:qFormat/>
    <w:uiPriority w:val="0"/>
    <w:rPr>
      <w:rFonts w:ascii="宋体" w:hAnsi="Courier New"/>
    </w:rPr>
  </w:style>
  <w:style w:type="paragraph" w:styleId="6">
    <w:name w:val="footer"/>
    <w:basedOn w:val="1"/>
    <w:link w:val="21"/>
    <w:autoRedefine/>
    <w:unhideWhenUsed/>
    <w:qFormat/>
    <w:uiPriority w:val="99"/>
    <w:pPr>
      <w:tabs>
        <w:tab w:val="center" w:pos="4153"/>
        <w:tab w:val="right" w:pos="8306"/>
      </w:tabs>
      <w:snapToGrid w:val="0"/>
      <w:jc w:val="left"/>
    </w:pPr>
    <w:rPr>
      <w:sz w:val="18"/>
      <w:szCs w:val="18"/>
    </w:rPr>
  </w:style>
  <w:style w:type="paragraph" w:styleId="7">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autoRedefine/>
    <w:qFormat/>
    <w:uiPriority w:val="0"/>
    <w:pPr>
      <w:snapToGrid w:val="0"/>
      <w:jc w:val="left"/>
    </w:pPr>
    <w:rPr>
      <w:sz w:val="18"/>
      <w:szCs w:val="18"/>
    </w:rPr>
  </w:style>
  <w:style w:type="paragraph" w:styleId="10">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Normal (Web)"/>
    <w:basedOn w:val="1"/>
    <w:qFormat/>
    <w:uiPriority w:val="0"/>
    <w:pPr>
      <w:spacing w:before="100" w:beforeAutospacing="1" w:after="100" w:afterAutospacing="1"/>
      <w:jc w:val="left"/>
    </w:pPr>
    <w:rPr>
      <w:kern w:val="0"/>
      <w:sz w:val="24"/>
    </w:rPr>
  </w:style>
  <w:style w:type="paragraph" w:styleId="12">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3">
    <w:name w:val="Body Text First Indent 2"/>
    <w:basedOn w:val="4"/>
    <w:qFormat/>
    <w:uiPriority w:val="0"/>
    <w:pPr>
      <w:spacing w:before="0" w:after="120" w:line="312" w:lineRule="auto"/>
      <w:ind w:left="420" w:leftChars="200" w:firstLine="420"/>
      <w:jc w:val="both"/>
    </w:pPr>
    <w:rPr>
      <w:rFonts w:eastAsia="宋体" w:cs="Times New Roman"/>
      <w:sz w:val="24"/>
    </w:rPr>
  </w:style>
  <w:style w:type="character" w:styleId="16">
    <w:name w:val="Hyperlink"/>
    <w:basedOn w:val="15"/>
    <w:autoRedefine/>
    <w:unhideWhenUsed/>
    <w:qFormat/>
    <w:uiPriority w:val="99"/>
    <w:rPr>
      <w:color w:val="0563C1" w:themeColor="hyperlink"/>
      <w:u w:val="single"/>
      <w14:textFill>
        <w14:solidFill>
          <w14:schemeClr w14:val="hlink"/>
        </w14:solidFill>
      </w14:textFill>
    </w:rPr>
  </w:style>
  <w:style w:type="character" w:customStyle="1" w:styleId="17">
    <w:name w:val="标题 1 字符"/>
    <w:basedOn w:val="15"/>
    <w:link w:val="2"/>
    <w:autoRedefine/>
    <w:qFormat/>
    <w:uiPriority w:val="9"/>
    <w:rPr>
      <w:rFonts w:ascii="Times New Roman" w:hAnsi="Times New Roman" w:eastAsia="仿宋_GB2312" w:cs="Times New Roman"/>
      <w:b/>
      <w:bCs/>
      <w:kern w:val="44"/>
      <w:sz w:val="44"/>
      <w:szCs w:val="44"/>
    </w:rPr>
  </w:style>
  <w:style w:type="character" w:customStyle="1" w:styleId="18">
    <w:name w:val="标题 2 字符"/>
    <w:basedOn w:val="15"/>
    <w:link w:val="3"/>
    <w:qFormat/>
    <w:uiPriority w:val="9"/>
    <w:rPr>
      <w:rFonts w:asciiTheme="majorHAnsi" w:hAnsiTheme="majorHAnsi" w:eastAsiaTheme="majorEastAsia" w:cstheme="majorBidi"/>
      <w:b/>
      <w:bCs/>
      <w:sz w:val="32"/>
      <w:szCs w:val="32"/>
    </w:rPr>
  </w:style>
  <w:style w:type="paragraph" w:customStyle="1" w:styleId="19">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0">
    <w:name w:val="页眉 字符"/>
    <w:basedOn w:val="15"/>
    <w:link w:val="7"/>
    <w:autoRedefine/>
    <w:qFormat/>
    <w:uiPriority w:val="99"/>
    <w:rPr>
      <w:rFonts w:ascii="Times New Roman" w:hAnsi="Times New Roman" w:eastAsia="仿宋_GB2312" w:cs="Times New Roman"/>
      <w:sz w:val="18"/>
      <w:szCs w:val="18"/>
    </w:rPr>
  </w:style>
  <w:style w:type="character" w:customStyle="1" w:styleId="21">
    <w:name w:val="页脚 字符"/>
    <w:basedOn w:val="15"/>
    <w:link w:val="6"/>
    <w:qFormat/>
    <w:uiPriority w:val="99"/>
    <w:rPr>
      <w:rFonts w:ascii="Times New Roman" w:hAnsi="Times New Roman" w:eastAsia="仿宋_GB2312" w:cs="Times New Roman"/>
      <w:sz w:val="18"/>
      <w:szCs w:val="18"/>
    </w:rPr>
  </w:style>
  <w:style w:type="character" w:customStyle="1" w:styleId="22">
    <w:name w:val="UserStyle_1"/>
    <w:basedOn w:val="23"/>
    <w:link w:val="25"/>
    <w:autoRedefine/>
    <w:qFormat/>
    <w:uiPriority w:val="0"/>
    <w:rPr>
      <w:rFonts w:ascii="宋体" w:hAnsi="Courier New" w:eastAsia="宋体"/>
      <w:kern w:val="2"/>
      <w:sz w:val="21"/>
      <w:szCs w:val="20"/>
      <w:lang w:val="en-US" w:eastAsia="zh-CN" w:bidi="ar-SA"/>
    </w:rPr>
  </w:style>
  <w:style w:type="character" w:customStyle="1" w:styleId="23">
    <w:name w:val="NormalCharacter"/>
    <w:link w:val="24"/>
    <w:autoRedefine/>
    <w:semiHidden/>
    <w:qFormat/>
    <w:uiPriority w:val="0"/>
    <w:rPr>
      <w:rFonts w:ascii="Times New Roman" w:hAnsi="Times New Roman" w:eastAsia="仿宋_GB2312"/>
      <w:kern w:val="2"/>
      <w:sz w:val="24"/>
      <w:szCs w:val="24"/>
      <w:lang w:val="en-US" w:eastAsia="zh-CN" w:bidi="ar-SA"/>
    </w:rPr>
  </w:style>
  <w:style w:type="paragraph" w:customStyle="1" w:styleId="24">
    <w:name w:val="UserStyle_0"/>
    <w:basedOn w:val="1"/>
    <w:link w:val="23"/>
    <w:autoRedefine/>
    <w:qFormat/>
    <w:uiPriority w:val="0"/>
    <w:pPr>
      <w:snapToGrid w:val="0"/>
      <w:spacing w:line="360" w:lineRule="auto"/>
      <w:ind w:firstLine="200" w:firstLineChars="200"/>
      <w:jc w:val="both"/>
      <w:textAlignment w:val="baseline"/>
    </w:pPr>
    <w:rPr>
      <w:rFonts w:ascii="Times New Roman" w:hAnsi="Times New Roman" w:eastAsia="仿宋_GB2312"/>
      <w:kern w:val="2"/>
      <w:sz w:val="24"/>
      <w:szCs w:val="24"/>
      <w:lang w:val="en-US" w:eastAsia="zh-CN" w:bidi="ar-SA"/>
    </w:rPr>
  </w:style>
  <w:style w:type="paragraph" w:customStyle="1" w:styleId="25">
    <w:name w:val="PlainText"/>
    <w:basedOn w:val="1"/>
    <w:link w:val="22"/>
    <w:autoRedefine/>
    <w:qFormat/>
    <w:uiPriority w:val="0"/>
    <w:pPr>
      <w:jc w:val="both"/>
      <w:textAlignment w:val="baseline"/>
    </w:pPr>
    <w:rPr>
      <w:rFonts w:ascii="宋体" w:hAnsi="Courier New" w:eastAsia="宋体"/>
      <w:kern w:val="2"/>
      <w:sz w:val="21"/>
      <w:szCs w:val="20"/>
      <w:lang w:val="en-US" w:eastAsia="zh-CN" w:bidi="ar-SA"/>
    </w:rPr>
  </w:style>
  <w:style w:type="paragraph" w:customStyle="1" w:styleId="26">
    <w:name w:val="Heading1"/>
    <w:basedOn w:val="1"/>
    <w:next w:val="1"/>
    <w:autoRedefine/>
    <w:qFormat/>
    <w:uiPriority w:val="0"/>
    <w:pPr>
      <w:keepNext/>
      <w:keepLines/>
      <w:spacing w:before="20" w:after="20" w:line="600" w:lineRule="exact"/>
      <w:jc w:val="both"/>
    </w:pPr>
    <w:rPr>
      <w:rFonts w:ascii="Times New Roman" w:hAnsi="Times New Roman" w:eastAsia="黑体"/>
      <w:color w:val="000000"/>
      <w:kern w:val="44"/>
      <w:sz w:val="36"/>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7530</Words>
  <Characters>7911</Characters>
  <Lines>52</Lines>
  <Paragraphs>14</Paragraphs>
  <TotalTime>15</TotalTime>
  <ScaleCrop>false</ScaleCrop>
  <LinksUpToDate>false</LinksUpToDate>
  <CharactersWithSpaces>8007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U</cp:lastModifiedBy>
  <dcterms:modified xsi:type="dcterms:W3CDTF">2024-11-14T09:16:58Z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2BD91B64D5B844D28D22BBE3256D4E8E_13</vt:lpwstr>
  </property>
</Properties>
</file>