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bookmarkStart w:id="23" w:name="_GoBack"/>
      <w:bookmarkEnd w:id="23"/>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项目名称：残疾人两项补贴支出资金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实施单位（公章）：焉耆回族自治县民政局</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主管部门（公章）：焉耆回族自治县民政局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项目负责人（签章）：岳志鹏</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rPr>
      </w:pPr>
      <w:r>
        <w:rPr>
          <w:rFonts w:hint="eastAsia" w:ascii="仿宋_GB2312"/>
        </w:rPr>
        <w:t>1、项目背景</w:t>
      </w:r>
    </w:p>
    <w:p>
      <w:pPr>
        <w:spacing w:line="360" w:lineRule="auto"/>
        <w:ind w:firstLine="600" w:firstLineChars="200"/>
        <w:rPr>
          <w:rFonts w:hint="eastAsia" w:ascii="仿宋_GB2312" w:eastAsia="仿宋_GB2312"/>
          <w:highlight w:val="none"/>
          <w:lang w:eastAsia="zh-CN"/>
        </w:rPr>
      </w:pPr>
      <w:r>
        <w:rPr>
          <w:rFonts w:hint="eastAsia" w:ascii="仿宋_GB2312"/>
          <w:highlight w:val="none"/>
          <w:lang w:eastAsia="zh-CN"/>
        </w:rPr>
        <w:t>根据自治区《关于提高全区困难残疾人生活补贴和重度残疾人护理补贴标准的通知》(新民发[2021]88号)精神，</w:t>
      </w:r>
      <w:r>
        <w:rPr>
          <w:rFonts w:hint="eastAsia" w:ascii="仿宋_GB2312"/>
          <w:highlight w:val="none"/>
          <w:lang w:val="en-US" w:eastAsia="zh-CN"/>
        </w:rPr>
        <w:t>发放残疾人两项补贴</w:t>
      </w:r>
      <w:r>
        <w:rPr>
          <w:rFonts w:hint="eastAsia" w:ascii="仿宋_GB2312"/>
          <w:highlight w:val="none"/>
          <w:lang w:eastAsia="zh-CN"/>
        </w:rPr>
        <w:t>，</w:t>
      </w:r>
      <w:r>
        <w:rPr>
          <w:rFonts w:hint="eastAsia" w:ascii="仿宋_GB2312"/>
          <w:highlight w:val="none"/>
          <w:lang w:val="en-US" w:eastAsia="zh-CN"/>
        </w:rPr>
        <w:t>进一步</w:t>
      </w:r>
      <w:r>
        <w:rPr>
          <w:rFonts w:hint="eastAsia" w:ascii="仿宋_GB2312"/>
          <w:highlight w:val="none"/>
          <w:lang w:eastAsia="zh-CN"/>
        </w:rPr>
        <w:t>改善残疾人生活品质，推动残疾人两项补贴制度高质量发展。</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ascii="仿宋_GB2312"/>
          <w:color w:val="auto"/>
        </w:rPr>
      </w:pPr>
      <w:r>
        <w:rPr>
          <w:rFonts w:hint="eastAsia" w:ascii="仿宋_GB2312"/>
        </w:rPr>
        <w:t>主要内容：</w:t>
      </w:r>
      <w:r>
        <w:rPr>
          <w:rFonts w:hint="eastAsia" w:ascii="仿宋_GB2312"/>
          <w:color w:val="auto"/>
        </w:rPr>
        <w:t>根据《关于建立困难残疾人生活补贴和重度残疾人护理补贴标准动态调整机制的指导意见》（民发【2019】67号）和《关于提高全区困难残疾人生活补贴和重度残疾人护理补贴标准通知》（新民发【2021】88号）文件精神，从2021年7月1日起困难残疾人生活补贴发放标准每人每月提高10元，为每人每月110元，重度残疾人护理补贴发放标准每人每月提高10元，为每人每月110元。全县1-12月享受困难残疾人生活补助</w:t>
      </w:r>
      <w:r>
        <w:rPr>
          <w:rFonts w:hint="eastAsia" w:ascii="仿宋_GB2312"/>
          <w:color w:val="auto"/>
          <w:lang w:val="en-US" w:eastAsia="zh-CN"/>
        </w:rPr>
        <w:t>617</w:t>
      </w:r>
      <w:r>
        <w:rPr>
          <w:rFonts w:hint="eastAsia" w:ascii="仿宋_GB2312"/>
          <w:color w:val="auto"/>
        </w:rPr>
        <w:t>人；1-12月享受重度残疾人护理补助 1</w:t>
      </w:r>
      <w:r>
        <w:rPr>
          <w:rFonts w:hint="eastAsia" w:ascii="仿宋_GB2312"/>
          <w:color w:val="auto"/>
          <w:lang w:val="en-US" w:eastAsia="zh-CN"/>
        </w:rPr>
        <w:t>101</w:t>
      </w:r>
      <w:r>
        <w:rPr>
          <w:rFonts w:hint="eastAsia" w:ascii="仿宋_GB2312"/>
          <w:color w:val="auto"/>
        </w:rPr>
        <w:t>人，共计发放</w:t>
      </w:r>
      <w:r>
        <w:rPr>
          <w:rFonts w:hint="eastAsia" w:ascii="仿宋_GB2312"/>
          <w:color w:val="auto"/>
          <w:lang w:val="en-US" w:eastAsia="zh-CN"/>
        </w:rPr>
        <w:t>206.61</w:t>
      </w:r>
      <w:r>
        <w:rPr>
          <w:rFonts w:hint="eastAsia" w:ascii="仿宋_GB2312"/>
          <w:color w:val="auto"/>
        </w:rPr>
        <w:t>万元。</w:t>
      </w:r>
    </w:p>
    <w:p>
      <w:pPr>
        <w:spacing w:line="360" w:lineRule="auto"/>
        <w:ind w:firstLine="600" w:firstLineChars="200"/>
        <w:rPr>
          <w:rFonts w:ascii="仿宋_GB2312"/>
          <w:color w:val="FF0000"/>
        </w:rPr>
      </w:pPr>
      <w:r>
        <w:rPr>
          <w:rFonts w:hint="eastAsia" w:ascii="仿宋_GB2312"/>
        </w:rPr>
        <w:t>实施情况：</w:t>
      </w:r>
      <w:r>
        <w:rPr>
          <w:rFonts w:hint="eastAsia" w:ascii="仿宋_GB2312"/>
          <w:color w:val="auto"/>
        </w:rPr>
        <w:t>困难残疾人生活补贴发放标准每人每月110元，重度残疾人护理补贴发放标准每人每月110元。全县1-12月享受困难残疾人生活补助</w:t>
      </w:r>
      <w:r>
        <w:rPr>
          <w:rFonts w:hint="eastAsia" w:ascii="仿宋_GB2312"/>
          <w:color w:val="auto"/>
          <w:lang w:val="en-US" w:eastAsia="zh-CN"/>
        </w:rPr>
        <w:t>617</w:t>
      </w:r>
      <w:r>
        <w:rPr>
          <w:rFonts w:hint="eastAsia" w:ascii="仿宋_GB2312"/>
          <w:color w:val="auto"/>
        </w:rPr>
        <w:t>人；1-12月享受重度残疾人护理补助 1</w:t>
      </w:r>
      <w:r>
        <w:rPr>
          <w:rFonts w:hint="eastAsia" w:ascii="仿宋_GB2312"/>
          <w:color w:val="auto"/>
          <w:lang w:val="en-US" w:eastAsia="zh-CN"/>
        </w:rPr>
        <w:t>101</w:t>
      </w:r>
      <w:r>
        <w:rPr>
          <w:rFonts w:hint="eastAsia" w:ascii="仿宋_GB2312"/>
          <w:color w:val="auto"/>
        </w:rPr>
        <w:t>人，共计发放</w:t>
      </w:r>
      <w:r>
        <w:rPr>
          <w:rFonts w:hint="eastAsia" w:ascii="仿宋_GB2312"/>
          <w:color w:val="auto"/>
          <w:lang w:val="en-US" w:eastAsia="zh-CN"/>
        </w:rPr>
        <w:t>206.61</w:t>
      </w:r>
      <w:r>
        <w:rPr>
          <w:rFonts w:hint="eastAsia" w:ascii="仿宋_GB2312"/>
          <w:color w:val="auto"/>
        </w:rPr>
        <w:t>万元。</w:t>
      </w:r>
    </w:p>
    <w:p>
      <w:pPr>
        <w:spacing w:line="360" w:lineRule="auto"/>
        <w:ind w:firstLine="600" w:firstLineChars="200"/>
        <w:rPr>
          <w:rFonts w:ascii="仿宋_GB2312"/>
          <w:color w:val="auto"/>
        </w:rPr>
      </w:pPr>
      <w:r>
        <w:rPr>
          <w:rFonts w:ascii="仿宋_GB2312"/>
          <w:color w:val="auto"/>
        </w:rPr>
        <w:t>4</w:t>
      </w:r>
      <w:r>
        <w:rPr>
          <w:rFonts w:hint="eastAsia" w:ascii="仿宋_GB2312"/>
          <w:color w:val="auto"/>
        </w:rPr>
        <w:t>、资金投入和使用情况</w:t>
      </w:r>
    </w:p>
    <w:p>
      <w:pPr>
        <w:spacing w:line="360" w:lineRule="auto"/>
        <w:ind w:firstLine="600" w:firstLineChars="200"/>
        <w:rPr>
          <w:color w:val="auto"/>
        </w:rPr>
      </w:pPr>
      <w:r>
        <w:rPr>
          <w:rFonts w:hint="eastAsia"/>
          <w:color w:val="auto"/>
          <w:highlight w:val="none"/>
        </w:rPr>
        <w:t>资金投入情况：该项目年初预算数</w:t>
      </w:r>
      <w:r>
        <w:rPr>
          <w:rFonts w:hint="eastAsia"/>
          <w:color w:val="auto"/>
          <w:highlight w:val="none"/>
          <w:lang w:val="en-US" w:eastAsia="zh-CN"/>
        </w:rPr>
        <w:t>210</w:t>
      </w:r>
      <w:r>
        <w:rPr>
          <w:rFonts w:hint="eastAsia"/>
          <w:color w:val="auto"/>
          <w:highlight w:val="none"/>
        </w:rPr>
        <w:t>万元，全年预算数</w:t>
      </w:r>
      <w:r>
        <w:rPr>
          <w:rFonts w:hint="eastAsia"/>
          <w:color w:val="auto"/>
          <w:highlight w:val="none"/>
          <w:lang w:val="en-US" w:eastAsia="zh-CN"/>
        </w:rPr>
        <w:t>206.61</w:t>
      </w:r>
      <w:r>
        <w:rPr>
          <w:rFonts w:hint="eastAsia"/>
          <w:color w:val="auto"/>
          <w:highlight w:val="none"/>
        </w:rPr>
        <w:t>万元，实际总投入</w:t>
      </w:r>
      <w:r>
        <w:rPr>
          <w:rFonts w:hint="eastAsia"/>
          <w:color w:val="auto"/>
          <w:highlight w:val="none"/>
          <w:lang w:val="en-US" w:eastAsia="zh-CN"/>
        </w:rPr>
        <w:t>206.61</w:t>
      </w:r>
      <w:r>
        <w:rPr>
          <w:rFonts w:hint="eastAsia"/>
          <w:color w:val="auto"/>
          <w:highlight w:val="none"/>
        </w:rPr>
        <w:t>万元，该项目资金已全部落实到位，资金</w:t>
      </w:r>
      <w:r>
        <w:rPr>
          <w:rFonts w:hint="eastAsia"/>
          <w:color w:val="auto"/>
        </w:rPr>
        <w:t>来源为</w:t>
      </w:r>
      <w:r>
        <w:rPr>
          <w:rFonts w:hint="eastAsia"/>
          <w:color w:val="auto"/>
          <w:lang w:eastAsia="zh-CN"/>
        </w:rPr>
        <w:t>：</w:t>
      </w:r>
      <w:r>
        <w:rPr>
          <w:rFonts w:hint="eastAsia"/>
          <w:color w:val="auto"/>
          <w:lang w:val="en-US" w:eastAsia="zh-CN"/>
        </w:rPr>
        <w:t>本级预算安排</w:t>
      </w:r>
      <w:r>
        <w:rPr>
          <w:rFonts w:hint="eastAsia"/>
          <w:color w:val="auto"/>
        </w:rPr>
        <w:t>。</w:t>
      </w:r>
    </w:p>
    <w:p>
      <w:pPr>
        <w:spacing w:line="360" w:lineRule="auto"/>
        <w:ind w:firstLine="600" w:firstLineChars="200"/>
        <w:rPr>
          <w:color w:val="auto"/>
          <w:highlight w:val="none"/>
        </w:rPr>
      </w:pPr>
      <w:r>
        <w:rPr>
          <w:rFonts w:hint="eastAsia"/>
          <w:color w:val="auto"/>
        </w:rPr>
        <w:t>资金使用情</w:t>
      </w:r>
      <w:r>
        <w:rPr>
          <w:rFonts w:hint="eastAsia"/>
          <w:color w:val="auto"/>
          <w:highlight w:val="none"/>
        </w:rPr>
        <w:t>况：该项目年初预算数</w:t>
      </w:r>
      <w:r>
        <w:rPr>
          <w:rFonts w:hint="eastAsia"/>
          <w:color w:val="auto"/>
          <w:highlight w:val="none"/>
          <w:lang w:val="en-US" w:eastAsia="zh-CN"/>
        </w:rPr>
        <w:t>210</w:t>
      </w:r>
      <w:r>
        <w:rPr>
          <w:rFonts w:hint="eastAsia"/>
          <w:color w:val="auto"/>
          <w:highlight w:val="none"/>
        </w:rPr>
        <w:t>万元，全年预算数</w:t>
      </w:r>
      <w:r>
        <w:rPr>
          <w:rFonts w:hint="eastAsia"/>
          <w:color w:val="auto"/>
          <w:highlight w:val="none"/>
          <w:lang w:val="en-US" w:eastAsia="zh-CN"/>
        </w:rPr>
        <w:t>206.61</w:t>
      </w:r>
      <w:r>
        <w:rPr>
          <w:rFonts w:hint="eastAsia"/>
          <w:color w:val="auto"/>
          <w:highlight w:val="none"/>
        </w:rPr>
        <w:t>万元，全年执行数</w:t>
      </w:r>
      <w:r>
        <w:rPr>
          <w:rFonts w:hint="eastAsia"/>
          <w:color w:val="auto"/>
          <w:highlight w:val="none"/>
          <w:lang w:val="en-US" w:eastAsia="zh-CN"/>
        </w:rPr>
        <w:t>206.61</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%，用于：困难残疾人生活补贴标准</w:t>
      </w:r>
      <w:r>
        <w:rPr>
          <w:rFonts w:hint="eastAsia"/>
          <w:color w:val="auto"/>
          <w:highlight w:val="none"/>
          <w:lang w:val="en-US" w:eastAsia="zh-CN"/>
        </w:rPr>
        <w:t>共计发放73.38</w:t>
      </w:r>
      <w:r>
        <w:rPr>
          <w:rFonts w:hint="eastAsia"/>
          <w:color w:val="auto"/>
          <w:highlight w:val="none"/>
        </w:rPr>
        <w:t>万元</w:t>
      </w:r>
      <w:r>
        <w:rPr>
          <w:rFonts w:hint="eastAsia"/>
          <w:color w:val="auto"/>
          <w:highlight w:val="none"/>
          <w:lang w:eastAsia="zh-CN"/>
        </w:rPr>
        <w:t>，重度残疾人护理补贴</w:t>
      </w:r>
      <w:r>
        <w:rPr>
          <w:rFonts w:hint="eastAsia"/>
          <w:color w:val="auto"/>
          <w:highlight w:val="none"/>
          <w:lang w:val="en-US" w:eastAsia="zh-CN"/>
        </w:rPr>
        <w:t>共计发放133.23万元</w:t>
      </w:r>
      <w:r>
        <w:rPr>
          <w:rFonts w:hint="eastAsia"/>
          <w:color w:val="auto"/>
          <w:highlight w:val="none"/>
        </w:rPr>
        <w:t>。</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r>
        <w:rPr>
          <w:rFonts w:hint="eastAsia"/>
        </w:rPr>
        <w:t>1、总体目标：</w:t>
      </w:r>
      <w:r>
        <w:rPr>
          <w:rFonts w:hint="eastAsia"/>
          <w:color w:val="auto"/>
        </w:rPr>
        <w:t>增进残疾人福祉，改善残疾人生活品质，发放困难残疾人生活补贴617人，困难残疾人生活补贴发放12次，重度残疾人护理补贴发放1101人，重度残疾人护理补贴发放12次。</w:t>
      </w:r>
    </w:p>
    <w:p>
      <w:pPr>
        <w:spacing w:line="360" w:lineRule="auto"/>
        <w:ind w:firstLine="600" w:firstLineChars="200"/>
        <w:rPr>
          <w:highlight w:val="none"/>
        </w:rPr>
      </w:pPr>
      <w:r>
        <w:t>2</w:t>
      </w:r>
      <w:r>
        <w:rPr>
          <w:rFonts w:hint="eastAsia"/>
        </w:rPr>
        <w:t>、阶段性目标：</w:t>
      </w:r>
      <w:r>
        <w:rPr>
          <w:rFonts w:hint="eastAsia"/>
          <w:color w:val="auto"/>
          <w:highlight w:val="none"/>
        </w:rPr>
        <w:t>第一阶段先制定工作方案，收集相关信息进行台账记录；第二阶段筛选出符合条件的人数；第三阶段根据要求对符合条件的情况，按时按标准进行补助。</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rPr>
          <w:color w:val="auto"/>
        </w:rPr>
      </w:pPr>
      <w:r>
        <w:rPr>
          <w:rFonts w:hint="eastAsia"/>
          <w:color w:val="auto"/>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残疾人两项补贴支出资金项目</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rPr>
          <w:color w:val="auto"/>
        </w:rPr>
      </w:pPr>
      <w:r>
        <w:rPr>
          <w:rFonts w:hint="eastAsia"/>
          <w:color w:val="auto"/>
        </w:rPr>
        <w:t>2、绩效评价对象：</w:t>
      </w:r>
    </w:p>
    <w:p>
      <w:pPr>
        <w:spacing w:line="360" w:lineRule="auto"/>
        <w:ind w:firstLine="600" w:firstLineChars="200"/>
        <w:rPr>
          <w:color w:val="auto"/>
          <w:highlight w:val="yellow"/>
        </w:rPr>
      </w:pPr>
      <w:r>
        <w:rPr>
          <w:rFonts w:hint="eastAsia"/>
          <w:color w:val="auto"/>
          <w:highlight w:val="none"/>
        </w:rPr>
        <w:t>残疾人两项补贴支出资金</w:t>
      </w:r>
    </w:p>
    <w:p>
      <w:pPr>
        <w:spacing w:line="360" w:lineRule="auto"/>
        <w:ind w:firstLine="600" w:firstLineChars="200"/>
        <w:rPr>
          <w:color w:val="auto"/>
        </w:rPr>
      </w:pPr>
      <w:r>
        <w:rPr>
          <w:rFonts w:hint="eastAsia"/>
          <w:color w:val="auto"/>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残疾人两项补贴支出资金评价，评价核心为专项资金的支出完成情况和效果。</w:t>
      </w:r>
    </w:p>
    <w:p>
      <w:pPr>
        <w:spacing w:line="360" w:lineRule="auto"/>
      </w:pP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1）科学公正。年初我单位下发的中央财政困难群众救助补助资金项目经费工作项目经费工作补助经费项目，进行工作分工、任务分配，资金落实，完成时限提出具体要求，科学合理设置绩效目标，遵守《会计法》、《预算法》、《行政单位财务规则》等法律和有关财政财务规章，对项目绩效进行客观、公正的反映。</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2）统筹兼顾。按阶段梳理项目资金使用情况，根据项目实际存档资料，评价人员与项目执行科室的管理人员进行沟通，深入了解项目实施情况，落实责任，相互配合，提高工作效率，规范和高效地开展工作。定期开展自评、部门评价和财政评价。</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（3）激励约束。绩效评价结果应与预算安排、政策调整、改进管理实质性挂钩，并作为改进管理、完善政策的重要依据，加强对专项资金的绩效管理，确保专款专用，提高专项资金使用效益。</w:t>
      </w:r>
    </w:p>
    <w:p>
      <w:pPr>
        <w:spacing w:line="600" w:lineRule="exact"/>
        <w:ind w:firstLine="640"/>
        <w:rPr>
          <w:highlight w:val="none"/>
        </w:rPr>
      </w:pPr>
      <w:r>
        <w:rPr>
          <w:rFonts w:hint="eastAsia" w:ascii="仿宋_GB2312"/>
          <w:bCs/>
          <w:color w:val="auto"/>
          <w:sz w:val="32"/>
          <w:szCs w:val="32"/>
          <w:highlight w:val="none"/>
        </w:rPr>
        <w:t>（4）公开透明。定期开展自评、部门评价和财政评价，将根评价结果据《政府信息公开条例》规定，拟在焉耆县政府政务信息公开网站进行公开，广泛接受人民群众监督，接受社会各界监督，让公众全面了解政府绩效评价过程和评价结果。</w:t>
      </w: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残疾人两项补贴支出资金项目支出绩效评价指标体系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spacing w:line="360" w:lineRule="auto"/>
        <w:ind w:firstLine="640" w:firstLineChars="200"/>
        <w:rPr>
          <w:bCs/>
          <w:color w:val="auto"/>
          <w:sz w:val="32"/>
          <w:szCs w:val="32"/>
        </w:rPr>
      </w:pPr>
      <w:r>
        <w:rPr>
          <w:rFonts w:hint="eastAsia"/>
          <w:bCs/>
          <w:color w:val="auto"/>
          <w:sz w:val="32"/>
          <w:szCs w:val="32"/>
        </w:rPr>
        <w:t>本次项目支出绩效自评采用因素分析法方法，原因是：因素分析法能结合我单位实际，组织相关人员根据项目绩效报表指标内容，对所有可能影响项目实际执行情况的内外因素进行分析，从而对项目内容进行核实和考评。</w:t>
      </w:r>
    </w:p>
    <w:p>
      <w:pPr>
        <w:spacing w:line="360" w:lineRule="auto"/>
      </w:pPr>
    </w:p>
    <w:p>
      <w:pPr>
        <w:spacing w:line="360" w:lineRule="auto"/>
      </w:pPr>
      <w:r>
        <w:rPr>
          <w:rFonts w:hint="eastAsia"/>
        </w:rPr>
        <w:t>4、评价标准</w:t>
      </w:r>
    </w:p>
    <w:p>
      <w:pPr>
        <w:spacing w:line="360" w:lineRule="auto"/>
        <w:ind w:firstLine="640" w:firstLineChars="200"/>
        <w:rPr>
          <w:rFonts w:hint="eastAsia"/>
          <w:bCs/>
          <w:color w:val="auto"/>
          <w:sz w:val="32"/>
          <w:szCs w:val="32"/>
        </w:rPr>
      </w:pPr>
      <w:r>
        <w:rPr>
          <w:rFonts w:hint="eastAsia"/>
          <w:bCs/>
          <w:color w:val="auto"/>
          <w:sz w:val="32"/>
          <w:szCs w:val="32"/>
        </w:rPr>
        <w:t>本次项目支出绩效自评采用</w:t>
      </w:r>
      <w:r>
        <w:rPr>
          <w:rFonts w:hint="eastAsia"/>
          <w:bCs/>
          <w:color w:val="auto"/>
          <w:sz w:val="32"/>
          <w:szCs w:val="32"/>
          <w:lang w:val="en-US" w:eastAsia="zh-CN"/>
        </w:rPr>
        <w:t>计划</w:t>
      </w:r>
      <w:r>
        <w:rPr>
          <w:rFonts w:hint="eastAsia"/>
          <w:bCs/>
          <w:color w:val="auto"/>
          <w:sz w:val="32"/>
          <w:szCs w:val="32"/>
        </w:rPr>
        <w:t>标准，原因是：该项目设置年初绩效目标申报表时参照了自治区、自治州公布的补助标准制定的三级指标，并根据该项目本年度计划实施情况确定三级指标值。采用计划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8"/>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FF0000"/>
        </w:rPr>
      </w:pPr>
      <w:r>
        <w:rPr>
          <w:rFonts w:hint="eastAsia"/>
          <w:color w:val="auto"/>
          <w:highlight w:val="none"/>
        </w:rPr>
        <w:t>本项目严格按照残疾人两项补贴支出资金绩效评价原则，采用因素分析评价方法，坚持</w:t>
      </w:r>
      <w:r>
        <w:rPr>
          <w:rFonts w:hint="eastAsia"/>
          <w:color w:val="auto"/>
          <w:highlight w:val="none"/>
          <w:lang w:val="en-US" w:eastAsia="zh-CN"/>
        </w:rPr>
        <w:t>计划标准</w:t>
      </w:r>
      <w:r>
        <w:rPr>
          <w:rFonts w:hint="eastAsia"/>
          <w:color w:val="auto"/>
          <w:highlight w:val="none"/>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残疾人两项补贴支出资金项目评价得分情况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rPr>
        <w:t>（</w:t>
      </w:r>
      <w:r>
        <w:rPr>
          <w:rFonts w:hint="eastAsia" w:ascii="仿宋_GB2312" w:eastAsia="仿宋_GB2312"/>
          <w:b w:val="0"/>
          <w:bCs w:val="0"/>
          <w:color w:val="auto"/>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auto"/>
        </w:rPr>
      </w:pPr>
    </w:p>
    <w:p>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rFonts w:hint="eastAsia" w:eastAsia="仿宋_GB2312"/>
          <w:color w:val="auto"/>
          <w:lang w:eastAsia="zh-CN"/>
        </w:rPr>
      </w:pPr>
      <w:r>
        <w:rPr>
          <w:rFonts w:hint="eastAsia"/>
          <w:color w:val="auto"/>
        </w:rPr>
        <w:t>项目立项依据</w:t>
      </w:r>
      <w:r>
        <w:rPr>
          <w:rFonts w:hint="eastAsia"/>
          <w:color w:val="auto"/>
          <w:lang w:eastAsia="zh-CN"/>
        </w:rPr>
        <w:t>：根据《关于建立困难残疾人生活补贴和重度残疾人护理补贴标准动态调整机制的指导意见》（民发【2019】67号）和《关于提高全区困难残疾人生活补贴和重度残疾人护理补贴标准通知》（新民发【2021】88号）文件精神，</w:t>
      </w:r>
      <w:r>
        <w:rPr>
          <w:rFonts w:hint="eastAsia"/>
          <w:color w:val="auto"/>
        </w:rPr>
        <w:t>项目立项符合国家法律法规、国民经济发展规划和相关政策</w:t>
      </w:r>
      <w:r>
        <w:rPr>
          <w:rFonts w:hint="eastAsia"/>
          <w:color w:val="auto"/>
          <w:lang w:eastAsia="zh-CN"/>
        </w:rPr>
        <w:t>；</w:t>
      </w:r>
      <w:r>
        <w:rPr>
          <w:rFonts w:hint="eastAsia"/>
          <w:color w:val="auto"/>
        </w:rPr>
        <w:t>项目立项符合行业发展规划和政策要求</w:t>
      </w:r>
      <w:r>
        <w:rPr>
          <w:rFonts w:hint="eastAsia"/>
          <w:color w:val="auto"/>
          <w:lang w:eastAsia="zh-CN"/>
        </w:rPr>
        <w:t>；</w:t>
      </w:r>
      <w:r>
        <w:rPr>
          <w:rFonts w:hint="eastAsia"/>
          <w:color w:val="auto"/>
        </w:rPr>
        <w:t>项目立项与部门职责范围相符，属于部门履职所需</w:t>
      </w:r>
      <w:r>
        <w:rPr>
          <w:rFonts w:hint="eastAsia"/>
          <w:color w:val="auto"/>
          <w:lang w:eastAsia="zh-CN"/>
        </w:rPr>
        <w:t>；</w:t>
      </w:r>
      <w:r>
        <w:rPr>
          <w:rFonts w:hint="eastAsia"/>
          <w:color w:val="auto"/>
        </w:rPr>
        <w:t>项目属于公共财政支持范围，是否符合中央、地方事权支出责任划分原则</w:t>
      </w:r>
      <w:r>
        <w:rPr>
          <w:rFonts w:hint="eastAsia"/>
          <w:color w:val="auto"/>
          <w:lang w:eastAsia="zh-CN"/>
        </w:rPr>
        <w:t>；</w:t>
      </w:r>
      <w:r>
        <w:rPr>
          <w:rFonts w:hint="eastAsia"/>
          <w:color w:val="auto"/>
        </w:rPr>
        <w:t>项目</w:t>
      </w:r>
      <w:r>
        <w:rPr>
          <w:rFonts w:hint="eastAsia"/>
          <w:color w:val="auto"/>
          <w:lang w:val="en-US" w:eastAsia="zh-CN"/>
        </w:rPr>
        <w:t>没有</w:t>
      </w:r>
      <w:r>
        <w:rPr>
          <w:rFonts w:hint="eastAsia"/>
          <w:color w:val="auto"/>
        </w:rPr>
        <w:t>与相关部门同类项目或部门内部相关项目重复。</w:t>
      </w:r>
    </w:p>
    <w:p>
      <w:pPr>
        <w:spacing w:line="360" w:lineRule="auto"/>
      </w:pPr>
      <w:r>
        <w:rPr>
          <w:rFonts w:hint="eastAsia"/>
        </w:rPr>
        <w:t>2、立项程序规范性</w:t>
      </w:r>
    </w:p>
    <w:p>
      <w:pPr>
        <w:spacing w:line="360" w:lineRule="auto"/>
        <w:ind w:firstLine="600" w:firstLineChars="200"/>
        <w:rPr>
          <w:rFonts w:hint="eastAsia" w:eastAsia="仿宋_GB2312"/>
          <w:color w:val="auto"/>
          <w:lang w:eastAsia="zh-CN"/>
        </w:rPr>
      </w:pP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spacing w:line="360" w:lineRule="auto"/>
      </w:pPr>
      <w:r>
        <w:rPr>
          <w:rFonts w:hint="eastAsia"/>
        </w:rPr>
        <w:t>3、绩效目标合理性</w:t>
      </w:r>
    </w:p>
    <w:p>
      <w:pPr>
        <w:spacing w:line="360" w:lineRule="auto"/>
        <w:ind w:firstLine="600" w:firstLineChars="200"/>
        <w:rPr>
          <w:color w:val="auto"/>
        </w:rPr>
      </w:pPr>
      <w:r>
        <w:rPr>
          <w:rFonts w:hint="eastAsia"/>
          <w:color w:val="auto"/>
        </w:rPr>
        <w:t>残疾人两项补贴支出资金项目设立了项目绩效目标，与项目绩效目标与实际工作内容具有相关性，项目的预期产出效益和效果也均能符合正常的业绩水平，并且与预算确定的项目投资额或资金量相匹配。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11</w:t>
      </w:r>
      <w:r>
        <w:rPr>
          <w:rFonts w:hint="eastAsia"/>
          <w:color w:val="auto"/>
        </w:rPr>
        <w:t>条，其中量化指标条数共</w:t>
      </w:r>
      <w:r>
        <w:rPr>
          <w:rFonts w:hint="eastAsia"/>
          <w:color w:val="auto"/>
          <w:lang w:val="en-US" w:eastAsia="zh-CN"/>
        </w:rPr>
        <w:t>10</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rPr>
          <w:color w:val="auto"/>
        </w:rPr>
      </w:pPr>
      <w:r>
        <w:rPr>
          <w:rFonts w:hint="eastAsia"/>
          <w:color w:val="auto"/>
        </w:rPr>
        <w:t>预算资金分配依据充分；资金分配额度合理，与项目单位实际相适应。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highlight w:val="none"/>
          <w:lang w:eastAsia="zh-CN"/>
        </w:rPr>
      </w:pPr>
      <w:r>
        <w:rPr>
          <w:rFonts w:hint="eastAsia"/>
          <w:color w:val="auto"/>
          <w:highlight w:val="none"/>
        </w:rPr>
        <w:t>实际到位资金</w:t>
      </w:r>
      <w:r>
        <w:rPr>
          <w:rFonts w:hint="eastAsia"/>
          <w:color w:val="auto"/>
          <w:highlight w:val="none"/>
          <w:lang w:val="en-US" w:eastAsia="zh-CN"/>
        </w:rPr>
        <w:t>206.61</w:t>
      </w:r>
      <w:r>
        <w:rPr>
          <w:rFonts w:hint="eastAsia"/>
          <w:color w:val="auto"/>
          <w:highlight w:val="none"/>
        </w:rPr>
        <w:t>万元，预算资金</w:t>
      </w:r>
      <w:r>
        <w:rPr>
          <w:rFonts w:hint="eastAsia"/>
          <w:color w:val="auto"/>
          <w:highlight w:val="none"/>
          <w:lang w:val="en-US" w:eastAsia="zh-CN"/>
        </w:rPr>
        <w:t>206.61</w:t>
      </w:r>
      <w:r>
        <w:rPr>
          <w:rFonts w:hint="eastAsia"/>
          <w:color w:val="auto"/>
          <w:highlight w:val="none"/>
        </w:rPr>
        <w:t>万元，资金到位率</w:t>
      </w:r>
      <w:r>
        <w:rPr>
          <w:color w:val="auto"/>
          <w:highlight w:val="none"/>
        </w:rPr>
        <w:t>100</w:t>
      </w:r>
      <w:r>
        <w:rPr>
          <w:rFonts w:hint="eastAsia"/>
          <w:color w:val="auto"/>
          <w:highlight w:val="none"/>
        </w:rPr>
        <w:t>%</w:t>
      </w:r>
      <w:r>
        <w:rPr>
          <w:rFonts w:hint="eastAsia"/>
          <w:color w:val="auto"/>
          <w:highlight w:val="none"/>
          <w:lang w:eastAsia="zh-CN"/>
        </w:rPr>
        <w:t>。</w:t>
      </w:r>
    </w:p>
    <w:p>
      <w:pPr>
        <w:spacing w:line="360" w:lineRule="auto"/>
        <w:rPr>
          <w:color w:val="auto"/>
          <w:highlight w:val="none"/>
        </w:rPr>
      </w:pPr>
      <w:r>
        <w:rPr>
          <w:rFonts w:hint="eastAsia"/>
          <w:color w:val="auto"/>
          <w:highlight w:val="none"/>
        </w:rPr>
        <w:t>2、预算执行率</w:t>
      </w:r>
    </w:p>
    <w:p>
      <w:pPr>
        <w:spacing w:line="360" w:lineRule="auto"/>
        <w:ind w:firstLine="600" w:firstLineChars="200"/>
        <w:rPr>
          <w:rFonts w:hint="eastAsia" w:eastAsia="仿宋_GB2312"/>
          <w:color w:val="auto"/>
          <w:highlight w:val="none"/>
          <w:lang w:eastAsia="zh-CN"/>
        </w:rPr>
      </w:pPr>
      <w:r>
        <w:rPr>
          <w:rFonts w:hint="eastAsia"/>
          <w:color w:val="auto"/>
          <w:highlight w:val="none"/>
        </w:rPr>
        <w:t>年初预算数</w:t>
      </w:r>
      <w:r>
        <w:rPr>
          <w:rFonts w:hint="eastAsia"/>
          <w:color w:val="auto"/>
          <w:highlight w:val="none"/>
          <w:lang w:val="en-US" w:eastAsia="zh-CN"/>
        </w:rPr>
        <w:t>210</w:t>
      </w:r>
      <w:r>
        <w:rPr>
          <w:rFonts w:hint="eastAsia"/>
          <w:color w:val="auto"/>
          <w:highlight w:val="none"/>
        </w:rPr>
        <w:t>万元，全年预算数</w:t>
      </w:r>
      <w:r>
        <w:rPr>
          <w:rFonts w:hint="eastAsia"/>
          <w:color w:val="auto"/>
          <w:highlight w:val="none"/>
          <w:lang w:val="en-US" w:eastAsia="zh-CN"/>
        </w:rPr>
        <w:t>206.61</w:t>
      </w:r>
      <w:r>
        <w:rPr>
          <w:rFonts w:hint="eastAsia"/>
          <w:color w:val="auto"/>
          <w:highlight w:val="none"/>
        </w:rPr>
        <w:t xml:space="preserve">万元，全年执行数 </w:t>
      </w:r>
      <w:r>
        <w:rPr>
          <w:color w:val="auto"/>
          <w:highlight w:val="none"/>
        </w:rPr>
        <w:t xml:space="preserve">    </w:t>
      </w:r>
      <w:r>
        <w:rPr>
          <w:rFonts w:hint="eastAsia"/>
          <w:color w:val="auto"/>
          <w:highlight w:val="none"/>
          <w:lang w:val="en-US" w:eastAsia="zh-CN"/>
        </w:rPr>
        <w:t>206.61</w:t>
      </w:r>
      <w:r>
        <w:rPr>
          <w:rFonts w:hint="eastAsia"/>
          <w:color w:val="auto"/>
          <w:highlight w:val="none"/>
        </w:rPr>
        <w:t>万元，预算执行率为</w:t>
      </w:r>
      <w:r>
        <w:rPr>
          <w:color w:val="auto"/>
          <w:highlight w:val="none"/>
        </w:rPr>
        <w:t>100</w:t>
      </w:r>
      <w:r>
        <w:rPr>
          <w:rFonts w:hint="eastAsia"/>
          <w:color w:val="auto"/>
          <w:highlight w:val="none"/>
        </w:rPr>
        <w:t>%</w:t>
      </w:r>
      <w:r>
        <w:rPr>
          <w:rFonts w:hint="eastAsia"/>
          <w:color w:val="auto"/>
          <w:highlight w:val="none"/>
          <w:lang w:eastAsia="zh-CN"/>
        </w:rPr>
        <w:t>。</w:t>
      </w:r>
    </w:p>
    <w:p>
      <w:pPr>
        <w:spacing w:line="360" w:lineRule="auto"/>
      </w:pPr>
      <w:r>
        <w:rPr>
          <w:rFonts w:hint="eastAsia"/>
        </w:rPr>
        <w:t>3、资金使用合规性</w:t>
      </w:r>
    </w:p>
    <w:p>
      <w:pPr>
        <w:spacing w:line="360" w:lineRule="auto"/>
        <w:ind w:firstLine="600" w:firstLineChars="200"/>
        <w:rPr>
          <w:color w:val="auto"/>
        </w:rPr>
      </w:pPr>
      <w:r>
        <w:rPr>
          <w:rFonts w:hint="eastAsia"/>
          <w:color w:val="auto"/>
          <w:lang w:val="en-US" w:eastAsia="zh-CN"/>
        </w:rPr>
        <w:t>项目</w:t>
      </w:r>
      <w:r>
        <w:rPr>
          <w:rFonts w:hint="eastAsia"/>
          <w:color w:val="auto"/>
        </w:rPr>
        <w:t>符合国家财经法规和财务管理制度以及有关专项资金管理办法的规定；资金拨付有完整的审批程序和手续；</w:t>
      </w:r>
      <w:r>
        <w:rPr>
          <w:rFonts w:hint="eastAsia"/>
          <w:color w:val="auto"/>
          <w:lang w:val="en-US" w:eastAsia="zh-CN"/>
        </w:rPr>
        <w:t>项目</w:t>
      </w:r>
      <w:r>
        <w:rPr>
          <w:rFonts w:hint="eastAsia"/>
          <w:color w:val="auto"/>
        </w:rPr>
        <w:t>使用符合项目预算批复或合同规定的用途；不存在截留、挤占、挪用、虚列支出等情况。</w:t>
      </w:r>
    </w:p>
    <w:p>
      <w:pPr>
        <w:spacing w:line="360" w:lineRule="auto"/>
      </w:pPr>
      <w:r>
        <w:rPr>
          <w:rFonts w:hint="eastAsia"/>
        </w:rPr>
        <w:t>4、管理制度健全性</w:t>
      </w:r>
    </w:p>
    <w:p>
      <w:pPr>
        <w:spacing w:line="360" w:lineRule="auto"/>
        <w:ind w:firstLine="600" w:firstLineChars="200"/>
        <w:rPr>
          <w:color w:val="auto"/>
          <w:highlight w:val="none"/>
        </w:rPr>
      </w:pPr>
      <w:r>
        <w:rPr>
          <w:rFonts w:hint="eastAsia"/>
          <w:color w:val="auto"/>
          <w:highlight w:val="none"/>
        </w:rPr>
        <w:t>具有相应的财务和业务管理制度；财务和业务管理制度合法、合规、完整。</w:t>
      </w:r>
    </w:p>
    <w:p>
      <w:pPr>
        <w:spacing w:line="360" w:lineRule="auto"/>
      </w:pPr>
      <w:r>
        <w:rPr>
          <w:rFonts w:hint="eastAsia"/>
        </w:rPr>
        <w:t>5、制度执行有效性</w:t>
      </w:r>
    </w:p>
    <w:p>
      <w:pPr>
        <w:spacing w:line="360" w:lineRule="auto"/>
        <w:ind w:firstLine="600" w:firstLineChars="200"/>
        <w:rPr>
          <w:color w:val="auto"/>
        </w:rPr>
      </w:pPr>
      <w:r>
        <w:rPr>
          <w:rFonts w:hint="eastAsia"/>
          <w:color w:val="auto"/>
        </w:rPr>
        <w:t>在</w:t>
      </w:r>
      <w:r>
        <w:rPr>
          <w:rFonts w:hint="eastAsia"/>
          <w:color w:val="auto"/>
          <w:lang w:val="en-US" w:eastAsia="zh-CN"/>
        </w:rPr>
        <w:t>项目实施</w:t>
      </w:r>
      <w:r>
        <w:rPr>
          <w:rFonts w:hint="eastAsia"/>
          <w:color w:val="auto"/>
        </w:rPr>
        <w:t>执行过程当中严格遵守相关法律法规和相关管理规定；项目调整及支出调整手续完备；项目合同书、验收报告、技术鉴定等资料齐全并及时归档；项目实施的人员条件、场地设备、信息支撑等落实到位。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ascii="仿宋_GB2312" w:eastAsia="仿宋_GB2312"/>
          <w:b w:val="0"/>
          <w:bCs w:val="0"/>
          <w:color w:val="auto"/>
        </w:rPr>
      </w:pPr>
      <w:bookmarkStart w:id="14" w:name="_Toc68703840"/>
      <w:r>
        <w:rPr>
          <w:rFonts w:hint="eastAsia" w:ascii="仿宋_GB2312" w:eastAsia="仿宋_GB2312"/>
          <w:b w:val="0"/>
          <w:bCs w:val="0"/>
          <w:color w:val="auto"/>
        </w:rPr>
        <w:t>（三）项目产出情况。</w:t>
      </w:r>
      <w:bookmarkEnd w:id="14"/>
    </w:p>
    <w:p>
      <w:pPr>
        <w:numPr>
          <w:ilvl w:val="0"/>
          <w:numId w:val="1"/>
        </w:numPr>
        <w:spacing w:line="360" w:lineRule="auto"/>
        <w:ind w:firstLine="600" w:firstLineChars="200"/>
        <w:rPr>
          <w:color w:val="auto"/>
        </w:rPr>
      </w:pPr>
      <w:r>
        <w:rPr>
          <w:rFonts w:hint="eastAsia"/>
          <w:color w:val="auto"/>
        </w:rPr>
        <w:t>产出数量指标：</w:t>
      </w:r>
    </w:p>
    <w:p>
      <w:pPr>
        <w:numPr>
          <w:ilvl w:val="0"/>
          <w:numId w:val="0"/>
        </w:numPr>
        <w:spacing w:line="360" w:lineRule="auto"/>
        <w:ind w:firstLine="600" w:firstLineChars="200"/>
        <w:rPr>
          <w:rFonts w:hint="eastAsia" w:eastAsia="仿宋_GB2312"/>
          <w:color w:val="auto"/>
          <w:lang w:eastAsia="zh-CN"/>
        </w:rPr>
      </w:pPr>
      <w:r>
        <w:rPr>
          <w:rFonts w:hint="eastAsia"/>
          <w:color w:val="auto"/>
        </w:rPr>
        <w:t>指标1：困难残疾人生活补贴人数，指标值：520人，实际完成值617人，指标完成率</w:t>
      </w:r>
      <w:r>
        <w:rPr>
          <w:rFonts w:hint="eastAsia"/>
          <w:color w:val="auto"/>
          <w:lang w:val="en-US" w:eastAsia="zh-CN"/>
        </w:rPr>
        <w:t>118.65</w:t>
      </w:r>
      <w:r>
        <w:rPr>
          <w:rFonts w:hint="eastAsia"/>
          <w:color w:val="auto"/>
        </w:rPr>
        <w:t>%</w:t>
      </w:r>
      <w:r>
        <w:rPr>
          <w:rFonts w:hint="eastAsia"/>
          <w:color w:val="auto"/>
          <w:lang w:eastAsia="zh-CN"/>
        </w:rPr>
        <w:t>，</w:t>
      </w:r>
      <w:r>
        <w:rPr>
          <w:rFonts w:hint="eastAsia"/>
          <w:color w:val="auto"/>
        </w:rPr>
        <w:t>偏差原因：2023年1月至2023年12月期间新增困难残疾人</w:t>
      </w:r>
      <w:r>
        <w:rPr>
          <w:rFonts w:hint="eastAsia"/>
          <w:color w:val="auto"/>
          <w:lang w:eastAsia="zh-CN"/>
        </w:rPr>
        <w:t>；</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指标2：困难残疾人生活补贴发放次数，指标值：12次，</w:t>
      </w:r>
      <w:r>
        <w:rPr>
          <w:rFonts w:hint="eastAsia"/>
          <w:color w:val="auto"/>
        </w:rPr>
        <w:t>实际完成值</w:t>
      </w:r>
      <w:r>
        <w:rPr>
          <w:rFonts w:hint="eastAsia"/>
          <w:color w:val="auto"/>
          <w:lang w:val="en-US" w:eastAsia="zh-CN"/>
        </w:rPr>
        <w:t>12次，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无；</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指标3：重度残疾人护理补贴发放人数，指标值：1071人，实际完成值1101人，指标完成率102.8%，偏差原因：2023年1月至2023年12月期间新增重度残疾人；</w:t>
      </w:r>
    </w:p>
    <w:p>
      <w:pPr>
        <w:numPr>
          <w:ilvl w:val="0"/>
          <w:numId w:val="0"/>
        </w:numPr>
        <w:spacing w:line="360" w:lineRule="auto"/>
        <w:ind w:firstLine="600" w:firstLineChars="200"/>
        <w:rPr>
          <w:color w:val="auto"/>
        </w:rPr>
      </w:pPr>
      <w:r>
        <w:rPr>
          <w:rFonts w:hint="eastAsia"/>
          <w:color w:val="auto"/>
          <w:lang w:val="en-US" w:eastAsia="zh-CN"/>
        </w:rPr>
        <w:t>指标4：重度残疾人护理补贴发放次数，指标值：12次，实际完成值12次，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无。</w:t>
      </w:r>
    </w:p>
    <w:p>
      <w:pPr>
        <w:numPr>
          <w:ilvl w:val="0"/>
          <w:numId w:val="1"/>
        </w:numPr>
        <w:spacing w:line="360" w:lineRule="auto"/>
        <w:ind w:left="0" w:leftChars="0" w:firstLine="600" w:firstLineChars="200"/>
        <w:rPr>
          <w:rFonts w:hint="eastAsia"/>
          <w:color w:val="auto"/>
        </w:rPr>
      </w:pPr>
      <w:r>
        <w:rPr>
          <w:rFonts w:hint="eastAsia"/>
          <w:color w:val="auto"/>
        </w:rPr>
        <w:t>质量指标：</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指标1：</w:t>
      </w:r>
      <w:r>
        <w:rPr>
          <w:rFonts w:hint="eastAsia"/>
          <w:color w:val="auto"/>
        </w:rPr>
        <w:t>困难残疾人生活补贴发放覆盖率，</w:t>
      </w:r>
      <w:bookmarkStart w:id="15" w:name="_Hlk98607777"/>
      <w:r>
        <w:rPr>
          <w:rFonts w:hint="eastAsia"/>
          <w:color w:val="auto"/>
        </w:rPr>
        <w:t>指标值：&gt;=95%，实际完成值</w:t>
      </w:r>
      <w:r>
        <w:rPr>
          <w:rFonts w:hint="eastAsia"/>
          <w:color w:val="auto"/>
          <w:lang w:val="en-US" w:eastAsia="zh-CN"/>
        </w:rPr>
        <w:t>95</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r>
        <w:rPr>
          <w:color w:val="auto"/>
        </w:rPr>
        <w:t xml:space="preserve"> </w:t>
      </w:r>
      <w:r>
        <w:rPr>
          <w:rFonts w:hint="eastAsia"/>
          <w:color w:val="auto"/>
        </w:rPr>
        <w:t>，偏差原因：</w:t>
      </w:r>
      <w:r>
        <w:rPr>
          <w:rFonts w:hint="eastAsia"/>
          <w:color w:val="auto"/>
          <w:lang w:val="en-US" w:eastAsia="zh-CN"/>
        </w:rPr>
        <w:t>无</w:t>
      </w:r>
      <w:bookmarkEnd w:id="15"/>
      <w:bookmarkEnd w:id="16"/>
      <w:r>
        <w:rPr>
          <w:rFonts w:hint="eastAsia"/>
          <w:color w:val="auto"/>
          <w:lang w:val="en-US" w:eastAsia="zh-CN"/>
        </w:rPr>
        <w:t>；</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指标2：</w:t>
      </w:r>
      <w:r>
        <w:rPr>
          <w:rFonts w:hint="eastAsia"/>
          <w:color w:val="auto"/>
        </w:rPr>
        <w:t>重度残疾人护理补贴发放覆盖率，指标值：&gt;=95%，实际完成值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w:t>
      </w:r>
      <w:r>
        <w:rPr>
          <w:color w:val="auto"/>
        </w:rPr>
        <w:t xml:space="preserve"> </w:t>
      </w:r>
      <w:r>
        <w:rPr>
          <w:rFonts w:hint="eastAsia"/>
          <w:color w:val="auto"/>
        </w:rPr>
        <w:t>，偏差原因：</w:t>
      </w:r>
      <w:r>
        <w:rPr>
          <w:rFonts w:hint="eastAsia"/>
          <w:color w:val="auto"/>
          <w:lang w:val="en-US" w:eastAsia="zh-CN"/>
        </w:rPr>
        <w:t>无。</w:t>
      </w:r>
    </w:p>
    <w:p>
      <w:pPr>
        <w:numPr>
          <w:ilvl w:val="0"/>
          <w:numId w:val="2"/>
        </w:numPr>
        <w:spacing w:line="360" w:lineRule="auto"/>
        <w:ind w:firstLine="600" w:firstLineChars="200"/>
        <w:rPr>
          <w:rFonts w:hint="eastAsia"/>
          <w:color w:val="auto"/>
        </w:rPr>
      </w:pPr>
      <w:r>
        <w:rPr>
          <w:rFonts w:hint="eastAsia"/>
          <w:color w:val="auto"/>
        </w:rPr>
        <w:t>时效指标：</w:t>
      </w:r>
    </w:p>
    <w:p>
      <w:pPr>
        <w:numPr>
          <w:ilvl w:val="0"/>
          <w:numId w:val="0"/>
        </w:numPr>
        <w:spacing w:line="360" w:lineRule="auto"/>
        <w:ind w:firstLine="600" w:firstLineChars="200"/>
        <w:rPr>
          <w:rFonts w:hint="eastAsia"/>
          <w:color w:val="auto"/>
          <w:lang w:eastAsia="zh-CN"/>
        </w:rPr>
      </w:pPr>
      <w:r>
        <w:rPr>
          <w:rFonts w:hint="eastAsia"/>
          <w:color w:val="auto"/>
          <w:lang w:val="en-US" w:eastAsia="zh-CN"/>
        </w:rPr>
        <w:t>指标1：</w:t>
      </w:r>
      <w:r>
        <w:rPr>
          <w:rFonts w:hint="eastAsia"/>
          <w:color w:val="auto"/>
        </w:rPr>
        <w:t>残疾人两项补贴发放及时率</w:t>
      </w:r>
      <w:r>
        <w:rPr>
          <w:rFonts w:hint="eastAsia"/>
          <w:color w:val="auto"/>
          <w:lang w:eastAsia="zh-CN"/>
        </w:rPr>
        <w:t>，</w:t>
      </w:r>
      <w:r>
        <w:rPr>
          <w:rFonts w:hint="eastAsia"/>
          <w:color w:val="auto"/>
        </w:rPr>
        <w:t>指标值</w:t>
      </w:r>
      <w:r>
        <w:rPr>
          <w:rFonts w:hint="eastAsia"/>
          <w:color w:val="auto"/>
          <w:lang w:eastAsia="zh-CN"/>
        </w:rPr>
        <w:t>：</w:t>
      </w:r>
      <w:r>
        <w:rPr>
          <w:rFonts w:hint="eastAsia"/>
          <w:color w:val="auto"/>
        </w:rPr>
        <w:t>&gt;=95%，完成值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val="en-US" w:eastAsia="zh-CN"/>
        </w:rPr>
        <w:t>无</w:t>
      </w:r>
      <w:r>
        <w:rPr>
          <w:rFonts w:hint="eastAsia"/>
          <w:color w:val="auto"/>
          <w:lang w:eastAsia="zh-CN"/>
        </w:rPr>
        <w:t>。</w:t>
      </w:r>
    </w:p>
    <w:p>
      <w:pPr>
        <w:numPr>
          <w:ilvl w:val="0"/>
          <w:numId w:val="2"/>
        </w:numPr>
        <w:spacing w:line="360" w:lineRule="auto"/>
        <w:ind w:left="0" w:leftChars="0" w:firstLine="600" w:firstLineChars="200"/>
        <w:rPr>
          <w:rFonts w:hint="eastAsia"/>
          <w:color w:val="auto"/>
        </w:rPr>
      </w:pPr>
      <w:r>
        <w:rPr>
          <w:rFonts w:hint="eastAsia"/>
          <w:color w:val="auto"/>
        </w:rPr>
        <w:t>成本指标：</w:t>
      </w:r>
    </w:p>
    <w:p>
      <w:pPr>
        <w:numPr>
          <w:ilvl w:val="0"/>
          <w:numId w:val="0"/>
        </w:numPr>
        <w:spacing w:line="360" w:lineRule="auto"/>
        <w:ind w:firstLine="600" w:firstLineChars="200"/>
        <w:rPr>
          <w:rFonts w:hint="eastAsia"/>
          <w:color w:val="auto"/>
        </w:rPr>
      </w:pPr>
      <w:r>
        <w:rPr>
          <w:rFonts w:hint="eastAsia"/>
          <w:color w:val="auto"/>
          <w:lang w:val="en-US" w:eastAsia="zh-CN"/>
        </w:rPr>
        <w:t>指标1：经济成本指标：</w:t>
      </w:r>
      <w:r>
        <w:rPr>
          <w:rFonts w:hint="eastAsia"/>
          <w:color w:val="auto"/>
        </w:rPr>
        <w:t>困难残疾人生活补贴标准</w:t>
      </w:r>
      <w:r>
        <w:rPr>
          <w:rFonts w:hint="eastAsia"/>
          <w:color w:val="auto"/>
          <w:lang w:eastAsia="zh-CN"/>
        </w:rPr>
        <w:t>，</w:t>
      </w:r>
      <w:r>
        <w:rPr>
          <w:rFonts w:hint="eastAsia"/>
          <w:color w:val="auto"/>
        </w:rPr>
        <w:t>指标值：</w:t>
      </w:r>
      <w:r>
        <w:rPr>
          <w:rFonts w:hint="eastAsia"/>
          <w:color w:val="auto"/>
          <w:lang w:val="en-US" w:eastAsia="zh-CN"/>
        </w:rPr>
        <w:t>110元</w:t>
      </w:r>
      <w:r>
        <w:rPr>
          <w:rFonts w:hint="eastAsia"/>
          <w:color w:val="auto"/>
        </w:rPr>
        <w:t>，实际完成值</w:t>
      </w:r>
      <w:r>
        <w:rPr>
          <w:rFonts w:hint="eastAsia"/>
          <w:color w:val="auto"/>
          <w:lang w:val="en-US" w:eastAsia="zh-CN"/>
        </w:rPr>
        <w:t>110元</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r>
        <w:rPr>
          <w:rFonts w:hint="eastAsia"/>
          <w:color w:val="auto"/>
        </w:rPr>
        <w:t>；</w:t>
      </w:r>
    </w:p>
    <w:p>
      <w:pPr>
        <w:numPr>
          <w:ilvl w:val="0"/>
          <w:numId w:val="0"/>
        </w:numPr>
        <w:spacing w:line="360" w:lineRule="auto"/>
        <w:ind w:firstLine="600" w:firstLineChars="200"/>
        <w:rPr>
          <w:color w:val="auto"/>
        </w:rPr>
      </w:pPr>
      <w:r>
        <w:rPr>
          <w:rFonts w:hint="eastAsia"/>
          <w:color w:val="auto"/>
          <w:lang w:val="en-US" w:eastAsia="zh-CN"/>
        </w:rPr>
        <w:t>指标2：经济成本指标：</w:t>
      </w:r>
      <w:r>
        <w:rPr>
          <w:rFonts w:hint="eastAsia"/>
          <w:color w:val="auto"/>
        </w:rPr>
        <w:t>重度残疾人护理补贴标准：指标值：</w:t>
      </w:r>
      <w:r>
        <w:rPr>
          <w:rFonts w:hint="eastAsia"/>
          <w:color w:val="auto"/>
          <w:lang w:val="en-US" w:eastAsia="zh-CN"/>
        </w:rPr>
        <w:t>110元</w:t>
      </w:r>
      <w:r>
        <w:rPr>
          <w:rFonts w:hint="eastAsia"/>
          <w:color w:val="auto"/>
        </w:rPr>
        <w:t>，实际完成值</w:t>
      </w:r>
      <w:r>
        <w:rPr>
          <w:rFonts w:hint="eastAsia"/>
          <w:color w:val="auto"/>
          <w:lang w:val="en-US" w:eastAsia="zh-CN"/>
        </w:rPr>
        <w:t>110元</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r>
        <w:rPr>
          <w:rFonts w:hint="eastAsia"/>
          <w:color w:val="auto"/>
        </w:rPr>
        <w:t>；</w:t>
      </w:r>
    </w:p>
    <w:p>
      <w:pPr>
        <w:pStyle w:val="4"/>
        <w:spacing w:line="360" w:lineRule="auto"/>
        <w:rPr>
          <w:rFonts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效益指标：社会效益指标</w:t>
      </w:r>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指标1：提高残疾人生活保障，指标值：有所提高，实际完成值：达成目标，指标完成率：100%；</w:t>
      </w:r>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满意度指标：</w:t>
      </w:r>
    </w:p>
    <w:p>
      <w:pPr>
        <w:spacing w:line="360" w:lineRule="auto"/>
        <w:ind w:firstLine="600" w:firstLineChars="200"/>
        <w:rPr>
          <w:rFonts w:hint="default"/>
          <w:color w:val="auto"/>
          <w:highlight w:val="none"/>
          <w:lang w:val="en-US" w:eastAsia="zh-CN"/>
        </w:rPr>
      </w:pPr>
      <w:r>
        <w:rPr>
          <w:rFonts w:hint="eastAsia"/>
          <w:color w:val="auto"/>
          <w:highlight w:val="none"/>
          <w:lang w:val="en-US" w:eastAsia="zh-CN"/>
        </w:rPr>
        <w:t>指标1：受益残疾人满意度，指标值：&gt;=90%，实际完成值：100%，指标完成率：111%</w:t>
      </w:r>
      <w:r>
        <w:rPr>
          <w:rFonts w:hint="eastAsia"/>
          <w:color w:val="auto"/>
          <w:highlight w:val="none"/>
          <w:lang w:val="en-US" w:eastAsia="zh-CN"/>
        </w:rPr>
        <w:tab/>
      </w:r>
      <w:r>
        <w:rPr>
          <w:rFonts w:hint="eastAsia"/>
          <w:color w:val="auto"/>
          <w:highlight w:val="none"/>
          <w:lang w:val="en-US" w:eastAsia="zh-CN"/>
        </w:rPr>
        <w:t>，偏差原因：受益残疾人满意度高。</w:t>
      </w:r>
    </w:p>
    <w:p>
      <w:pPr>
        <w:spacing w:line="360" w:lineRule="auto"/>
        <w:ind w:firstLine="600" w:firstLineChars="200"/>
        <w:rPr>
          <w:rFonts w:hint="default"/>
          <w:color w:val="auto"/>
          <w:highlight w:val="none"/>
          <w:lang w:val="en-US" w:eastAsia="zh-CN"/>
        </w:rPr>
      </w:pPr>
    </w:p>
    <w:p>
      <w:pPr>
        <w:pStyle w:val="3"/>
        <w:spacing w:line="360" w:lineRule="auto"/>
        <w:rPr>
          <w:rFonts w:ascii="宋体" w:hAnsi="宋体" w:eastAsia="宋体"/>
          <w:color w:val="auto"/>
          <w:sz w:val="32"/>
          <w:szCs w:val="32"/>
        </w:rPr>
      </w:pPr>
      <w:bookmarkStart w:id="18" w:name="_Toc68703842"/>
      <w:r>
        <w:rPr>
          <w:rFonts w:hint="eastAsia" w:ascii="宋体" w:hAnsi="宋体" w:eastAsia="宋体"/>
          <w:color w:val="auto"/>
          <w:sz w:val="32"/>
          <w:szCs w:val="32"/>
        </w:rPr>
        <w:t>五、主要经验及做法、存在的问题及原因分析</w:t>
      </w:r>
      <w:bookmarkEnd w:id="18"/>
    </w:p>
    <w:p>
      <w:pPr>
        <w:pStyle w:val="4"/>
        <w:spacing w:line="360" w:lineRule="auto"/>
        <w:rPr>
          <w:rFonts w:ascii="仿宋_GB2312" w:eastAsia="仿宋_GB2312"/>
          <w:b w:val="0"/>
          <w:bCs w:val="0"/>
          <w:color w:val="auto"/>
          <w:highlight w:val="none"/>
        </w:rPr>
      </w:pPr>
      <w:bookmarkStart w:id="19" w:name="_Toc68703843"/>
      <w:r>
        <w:rPr>
          <w:rFonts w:hint="eastAsia" w:ascii="仿宋_GB2312" w:eastAsia="仿宋_GB2312"/>
          <w:b w:val="0"/>
          <w:bCs w:val="0"/>
          <w:color w:val="auto"/>
        </w:rPr>
        <w:t>（一</w:t>
      </w:r>
      <w:r>
        <w:rPr>
          <w:rFonts w:hint="eastAsia" w:ascii="仿宋_GB2312" w:eastAsia="仿宋_GB2312"/>
          <w:b w:val="0"/>
          <w:bCs w:val="0"/>
          <w:color w:val="auto"/>
          <w:highlight w:val="none"/>
        </w:rPr>
        <w:t>）主要经验及做法</w:t>
      </w:r>
      <w:bookmarkEnd w:id="19"/>
    </w:p>
    <w:p>
      <w:pPr>
        <w:ind w:firstLine="600" w:firstLineChars="200"/>
        <w:rPr>
          <w:color w:val="auto"/>
          <w:highlight w:val="none"/>
        </w:rPr>
      </w:pPr>
      <w:bookmarkStart w:id="20" w:name="_Toc68703844"/>
      <w:r>
        <w:rPr>
          <w:rFonts w:hint="eastAsia"/>
          <w:color w:val="auto"/>
          <w:highlight w:val="none"/>
        </w:rPr>
        <w:t>项目实施过程中，我单位加强科室配合，监管有力，及时按年初预算进度支付经费，为项目实施做好资金保障。项目执行科室提出项目资金的使用计划，较为规范地组织实施，有条不紊开展相关工作，并做好资料收集整理工作。时进行协调和提出整改措施，通过年初制定的目标和整体效益，依据相关文件精神，项目合理有序的开展，圆满完成了补助经费的发放。</w:t>
      </w:r>
    </w:p>
    <w:p>
      <w:pPr>
        <w:pStyle w:val="4"/>
        <w:spacing w:line="360" w:lineRule="auto"/>
        <w:rPr>
          <w:rFonts w:ascii="仿宋_GB2312" w:eastAsia="仿宋_GB2312"/>
          <w:b w:val="0"/>
          <w:bCs w:val="0"/>
          <w:color w:val="auto"/>
          <w:highlight w:val="none"/>
        </w:rPr>
      </w:pPr>
      <w:r>
        <w:rPr>
          <w:rFonts w:hint="eastAsia" w:ascii="仿宋_GB2312" w:eastAsia="仿宋_GB2312"/>
          <w:b w:val="0"/>
          <w:bCs w:val="0"/>
          <w:color w:val="auto"/>
        </w:rPr>
        <w:t>（</w:t>
      </w:r>
      <w:r>
        <w:rPr>
          <w:rFonts w:hint="eastAsia" w:ascii="仿宋_GB2312" w:eastAsia="仿宋_GB2312"/>
          <w:b w:val="0"/>
          <w:bCs w:val="0"/>
          <w:color w:val="auto"/>
          <w:highlight w:val="none"/>
        </w:rPr>
        <w:t>二）存在的问题及原因分析</w:t>
      </w:r>
      <w:bookmarkEnd w:id="20"/>
    </w:p>
    <w:p>
      <w:pPr>
        <w:ind w:firstLine="600" w:firstLineChars="200"/>
        <w:rPr>
          <w:rFonts w:hint="eastAsia"/>
          <w:color w:val="auto"/>
          <w:highlight w:val="none"/>
        </w:rPr>
      </w:pPr>
      <w:r>
        <w:rPr>
          <w:rFonts w:hint="eastAsia"/>
          <w:color w:val="auto"/>
          <w:highlight w:val="none"/>
          <w:lang w:val="en-US" w:eastAsia="zh-CN"/>
        </w:rPr>
        <w:t>存在的问题：</w:t>
      </w:r>
      <w:r>
        <w:rPr>
          <w:rFonts w:hint="eastAsia"/>
          <w:color w:val="auto"/>
          <w:highlight w:val="none"/>
        </w:rPr>
        <w:t>相关绩效管理方面专业知识的系统性学习有待加强。</w:t>
      </w:r>
    </w:p>
    <w:p>
      <w:pPr>
        <w:ind w:firstLine="600" w:firstLineChars="200"/>
        <w:rPr>
          <w:color w:val="auto"/>
          <w:highlight w:val="none"/>
        </w:rPr>
      </w:pPr>
      <w:r>
        <w:rPr>
          <w:rFonts w:hint="eastAsia"/>
          <w:color w:val="auto"/>
          <w:highlight w:val="none"/>
          <w:lang w:val="en-US" w:eastAsia="zh-CN"/>
        </w:rPr>
        <w:t>原因分析：</w:t>
      </w:r>
      <w:r>
        <w:rPr>
          <w:rFonts w:hint="eastAsia"/>
          <w:color w:val="auto"/>
          <w:highlight w:val="none"/>
        </w:rPr>
        <w:t>各项指标的设置要进一步优化、完善，在绩效自评过程中，自评价工作还存在自我审定的局限性，影响评价质量。</w:t>
      </w:r>
    </w:p>
    <w:p>
      <w:pPr>
        <w:pStyle w:val="3"/>
        <w:numPr>
          <w:ilvl w:val="0"/>
          <w:numId w:val="0"/>
        </w:numPr>
        <w:spacing w:line="360" w:lineRule="auto"/>
        <w:rPr>
          <w:color w:val="auto"/>
          <w:highlight w:val="none"/>
        </w:rPr>
      </w:pPr>
      <w:bookmarkStart w:id="21" w:name="_Toc68703845"/>
      <w:r>
        <w:rPr>
          <w:rFonts w:hint="eastAsia" w:ascii="宋体" w:hAnsi="宋体" w:eastAsia="宋体"/>
          <w:color w:val="auto"/>
          <w:sz w:val="32"/>
          <w:szCs w:val="32"/>
          <w:highlight w:val="none"/>
          <w:lang w:val="en-US" w:eastAsia="zh-CN"/>
        </w:rPr>
        <w:t>六、</w:t>
      </w:r>
      <w:r>
        <w:rPr>
          <w:rFonts w:hint="eastAsia" w:ascii="宋体" w:hAnsi="宋体" w:eastAsia="宋体"/>
          <w:color w:val="auto"/>
          <w:sz w:val="32"/>
          <w:szCs w:val="32"/>
          <w:highlight w:val="none"/>
        </w:rPr>
        <w:t>有关建议</w:t>
      </w:r>
      <w:bookmarkEnd w:id="21"/>
    </w:p>
    <w:p>
      <w:pPr>
        <w:ind w:firstLine="600" w:firstLineChars="200"/>
        <w:rPr>
          <w:rFonts w:hint="eastAsia" w:eastAsia="仿宋_GB2312"/>
          <w:color w:val="auto"/>
          <w:highlight w:val="none"/>
          <w:lang w:eastAsia="zh-CN"/>
        </w:rPr>
      </w:pPr>
      <w:r>
        <w:rPr>
          <w:rFonts w:hint="eastAsia"/>
          <w:color w:val="auto"/>
          <w:highlight w:val="none"/>
        </w:rPr>
        <w:t>进一步强化单位绩效管理理念，将被动转为主动实践，切实加强组织领导，进一步统一认识，充实业务知识，最终实现提高绩效管理工作效率及质量的目标，深入推进评价工作，提升单位整体绩效管理水平。</w:t>
      </w:r>
    </w:p>
    <w:p>
      <w:pPr>
        <w:pStyle w:val="3"/>
        <w:spacing w:line="360" w:lineRule="auto"/>
        <w:rPr>
          <w:rFonts w:ascii="宋体" w:hAnsi="宋体" w:eastAsia="宋体"/>
          <w:color w:val="auto"/>
          <w:sz w:val="32"/>
          <w:szCs w:val="32"/>
        </w:rPr>
      </w:pPr>
      <w:bookmarkStart w:id="22" w:name="_Toc68703846"/>
      <w:r>
        <w:rPr>
          <w:rFonts w:hint="eastAsia" w:ascii="宋体" w:hAnsi="宋体" w:eastAsia="宋体"/>
          <w:color w:val="auto"/>
          <w:sz w:val="32"/>
          <w:szCs w:val="32"/>
        </w:rPr>
        <w:t>七、其他需要说明的问题</w:t>
      </w:r>
      <w:bookmarkEnd w:id="22"/>
    </w:p>
    <w:p>
      <w:pPr>
        <w:spacing w:line="560" w:lineRule="exact"/>
        <w:ind w:firstLine="640" w:firstLineChars="200"/>
        <w:jc w:val="left"/>
        <w:rPr>
          <w:color w:val="auto"/>
        </w:rPr>
      </w:pPr>
      <w:r>
        <w:rPr>
          <w:rFonts w:hint="eastAsia" w:ascii="Times New Roman" w:hAnsi="Times New Roman" w:eastAsia="仿宋_GB2312"/>
          <w:color w:val="auto"/>
          <w:sz w:val="32"/>
          <w:szCs w:val="32"/>
        </w:rPr>
        <w:t xml:space="preserve">  </w:t>
      </w:r>
      <w:r>
        <w:rPr>
          <w:rFonts w:hint="eastAsia" w:ascii="仿宋_GB2312" w:hAnsi="仿宋" w:eastAsia="仿宋_GB2312" w:cs="宋体"/>
          <w:color w:val="auto"/>
          <w:sz w:val="32"/>
          <w:szCs w:val="32"/>
        </w:rPr>
        <w:t>本次预算绩效评价所采集的数据因为采集时间、数据来源等诸多因素的影响，可能会出现一定的偏差，进而对评价结果存在影响。</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B659AA"/>
    <w:multiLevelType w:val="singleLevel"/>
    <w:tmpl w:val="85B659AA"/>
    <w:lvl w:ilvl="0" w:tentative="0">
      <w:start w:val="1"/>
      <w:numFmt w:val="decimal"/>
      <w:suff w:val="nothing"/>
      <w:lvlText w:val="%1、"/>
      <w:lvlJc w:val="left"/>
    </w:lvl>
  </w:abstractNum>
  <w:abstractNum w:abstractNumId="1">
    <w:nsid w:val="B87270B4"/>
    <w:multiLevelType w:val="singleLevel"/>
    <w:tmpl w:val="B87270B4"/>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2YjQ1NzJhYTM2MWU2ZDBlOWNjODBmMTI2MmZj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2C03A09"/>
    <w:rsid w:val="15DA37C6"/>
    <w:rsid w:val="2732278A"/>
    <w:rsid w:val="29B10033"/>
    <w:rsid w:val="32EE3FA6"/>
    <w:rsid w:val="36CE2720"/>
    <w:rsid w:val="3F3020FF"/>
    <w:rsid w:val="5237029B"/>
    <w:rsid w:val="550F6C80"/>
    <w:rsid w:val="552116DF"/>
    <w:rsid w:val="5D076944"/>
    <w:rsid w:val="622575EA"/>
    <w:rsid w:val="6EA217C2"/>
    <w:rsid w:val="7AFB3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qFormat/>
    <w:uiPriority w:val="99"/>
    <w:rPr>
      <w:rFonts w:ascii="Times New Roman" w:hAnsi="Times New Roman" w:eastAsia="仿宋_GB2312" w:cs="Times New Roman"/>
      <w:sz w:val="18"/>
      <w:szCs w:val="18"/>
    </w:rPr>
  </w:style>
  <w:style w:type="character" w:customStyle="1" w:styleId="17">
    <w:name w:val="页脚 字符"/>
    <w:basedOn w:val="11"/>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17</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2024-05-17T10:02:42Z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C10A60A6D9144BF185A63F71A217C929_12</vt:lpwstr>
  </property>
</Properties>
</file>