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项目名称：2023年</w:t>
      </w:r>
      <w:r>
        <w:rPr>
          <w:rFonts w:hint="eastAsia" w:ascii="宋体" w:hAnsi="宋体" w:eastAsia="宋体" w:cs="仿宋_GB2312"/>
          <w:b/>
          <w:bCs/>
          <w:color w:val="000000"/>
          <w:kern w:val="0"/>
          <w:sz w:val="32"/>
          <w:szCs w:val="32"/>
          <w:lang w:eastAsia="zh-CN"/>
        </w:rPr>
        <w:t>查汗采开</w:t>
      </w:r>
      <w:r>
        <w:rPr>
          <w:rFonts w:hint="eastAsia" w:ascii="宋体" w:hAnsi="宋体" w:eastAsia="宋体" w:cs="仿宋_GB2312"/>
          <w:b/>
          <w:bCs/>
          <w:color w:val="000000"/>
          <w:kern w:val="0"/>
          <w:sz w:val="32"/>
          <w:szCs w:val="32"/>
        </w:rPr>
        <w:t xml:space="preserve">乡卫生院村医补助及养老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焉耆县查汗采开</w:t>
      </w:r>
      <w:r>
        <w:rPr>
          <w:rFonts w:hint="eastAsia" w:ascii="宋体" w:hAnsi="宋体" w:eastAsia="宋体" w:cs="仿宋_GB2312"/>
          <w:b/>
          <w:bCs/>
          <w:color w:val="000000"/>
          <w:kern w:val="0"/>
          <w:sz w:val="32"/>
          <w:szCs w:val="32"/>
        </w:rPr>
        <w:t>乡</w:t>
      </w:r>
      <w:r>
        <w:rPr>
          <w:rFonts w:hint="eastAsia" w:ascii="宋体" w:hAnsi="宋体" w:eastAsia="宋体" w:cs="仿宋_GB2312"/>
          <w:b/>
          <w:bCs/>
          <w:color w:val="000000"/>
          <w:kern w:val="0"/>
          <w:sz w:val="32"/>
          <w:szCs w:val="32"/>
          <w:lang w:eastAsia="zh-CN"/>
        </w:rPr>
        <w:t>卫生院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焉耆县卫生健康委员会</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杨文娟</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rPr>
          <w:rFonts w:hint="eastAsia" w:ascii="仿宋_GB2312"/>
        </w:rPr>
      </w:pPr>
      <w:r>
        <w:rPr>
          <w:rFonts w:hint="eastAsia" w:ascii="仿宋_GB2312"/>
        </w:rPr>
        <w:t>项目背景</w:t>
      </w:r>
    </w:p>
    <w:p>
      <w:pPr>
        <w:spacing w:line="360" w:lineRule="auto"/>
        <w:ind w:firstLine="600" w:firstLineChars="200"/>
        <w:rPr>
          <w:rFonts w:hint="default" w:ascii="仿宋_GB2312"/>
          <w:lang w:val="en-US" w:eastAsia="zh-CN"/>
        </w:rPr>
      </w:pPr>
      <w:r>
        <w:rPr>
          <w:rFonts w:hint="eastAsia" w:ascii="仿宋_GB2312"/>
          <w:lang w:eastAsia="zh-CN"/>
        </w:rPr>
        <w:t>为进一步加强我县村医队伍建设，根据新政发【</w:t>
      </w:r>
      <w:r>
        <w:rPr>
          <w:rFonts w:hint="eastAsia" w:ascii="仿宋_GB2312"/>
          <w:lang w:val="en-US" w:eastAsia="zh-CN"/>
        </w:rPr>
        <w:t>2012】87号文，</w:t>
      </w:r>
      <w:r>
        <w:rPr>
          <w:rFonts w:hint="eastAsia" w:ascii="仿宋_GB2312"/>
          <w:lang w:eastAsia="zh-CN"/>
        </w:rPr>
        <w:t>关于乡村医生补助标准包括基本补助，标准和绩效补助标准，自</w:t>
      </w:r>
      <w:r>
        <w:rPr>
          <w:rFonts w:hint="eastAsia" w:ascii="仿宋_GB2312"/>
          <w:lang w:val="en-US" w:eastAsia="zh-CN"/>
        </w:rPr>
        <w:t>2012年1月起自治区再次提高乡村医生财政补助标准，补助资金由自治区各级财政共同承担，取得乡村医生证书并在岗的乡村医生按照每人每月800元给于补助，取得执业助理医师证书并在岗的乡村医生按照每人每月1200元给于补助，以及巴政办发【2016】61号文，关于定向委培生，取得执业助理医师证书并在岗的乡村医生按照每人每月1600元给于补助。根据新政办发【2012】87号文，对取得乡村医生证书或执业助理医师资格，并与卫生院签订劳动合同的在岗乡村医生符合标准后，给于每月缴纳职工养老保险。</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default"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2023年查汗采开乡卫生院为5名乡村医生发放12次工资及缴纳养老保险工作。</w:t>
      </w:r>
    </w:p>
    <w:p>
      <w:pPr>
        <w:spacing w:line="360" w:lineRule="auto"/>
        <w:ind w:firstLine="600" w:firstLineChars="200"/>
        <w:rPr>
          <w:rFonts w:hint="eastAsia" w:ascii="仿宋_GB2312"/>
          <w:highlight w:val="none"/>
        </w:rPr>
      </w:pPr>
      <w:r>
        <w:rPr>
          <w:rFonts w:hint="eastAsia" w:ascii="仿宋_GB2312"/>
          <w:highlight w:val="none"/>
        </w:rPr>
        <w:t>实施情况：已完成本单位</w:t>
      </w:r>
      <w:r>
        <w:rPr>
          <w:rFonts w:hint="eastAsia" w:ascii="仿宋_GB2312"/>
          <w:highlight w:val="none"/>
          <w:lang w:val="en-US" w:eastAsia="zh-CN"/>
        </w:rPr>
        <w:t>为5名乡村医生发放12次工资及缴纳养老保险工作，合计11.11</w:t>
      </w:r>
      <w:r>
        <w:rPr>
          <w:rFonts w:hint="eastAsia" w:ascii="仿宋_GB2312"/>
          <w:highlight w:val="none"/>
        </w:rPr>
        <w:t>万元，工资发放覆盖率已达到100%，办公质量得到了提升。</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rFonts w:hint="eastAsia" w:eastAsia="仿宋_GB2312"/>
          <w:color w:val="auto"/>
          <w:lang w:val="en-US" w:eastAsia="zh-CN"/>
        </w:rPr>
      </w:pPr>
      <w:r>
        <w:rPr>
          <w:rFonts w:hint="eastAsia"/>
        </w:rPr>
        <w:t>资金投入情况：</w:t>
      </w:r>
      <w:r>
        <w:rPr>
          <w:rFonts w:hint="eastAsia"/>
          <w:color w:val="auto"/>
        </w:rPr>
        <w:t>该项目年初预算数</w:t>
      </w:r>
      <w:r>
        <w:rPr>
          <w:rFonts w:hint="eastAsia"/>
          <w:color w:val="auto"/>
          <w:lang w:val="en-US" w:eastAsia="zh-CN"/>
        </w:rPr>
        <w:t>0</w:t>
      </w:r>
      <w:r>
        <w:rPr>
          <w:rFonts w:hint="eastAsia"/>
          <w:color w:val="auto"/>
        </w:rPr>
        <w:t>万元，</w:t>
      </w:r>
      <w:r>
        <w:rPr>
          <w:rFonts w:hint="eastAsia"/>
          <w:color w:val="auto"/>
          <w:lang w:eastAsia="zh-CN"/>
        </w:rPr>
        <w:t>年中追加资金</w:t>
      </w:r>
      <w:r>
        <w:rPr>
          <w:rFonts w:hint="eastAsia"/>
          <w:color w:val="auto"/>
          <w:lang w:val="en-US" w:eastAsia="zh-CN"/>
        </w:rPr>
        <w:t>11.11万元，</w:t>
      </w:r>
      <w:r>
        <w:rPr>
          <w:rFonts w:hint="eastAsia"/>
          <w:color w:val="auto"/>
        </w:rPr>
        <w:t>预算数</w:t>
      </w:r>
      <w:r>
        <w:rPr>
          <w:rFonts w:hint="eastAsia"/>
          <w:color w:val="auto"/>
          <w:lang w:val="en-US" w:eastAsia="zh-CN"/>
        </w:rPr>
        <w:t>11.11</w:t>
      </w:r>
      <w:r>
        <w:rPr>
          <w:rFonts w:hint="eastAsia"/>
          <w:color w:val="auto"/>
        </w:rPr>
        <w:t>万元，</w:t>
      </w:r>
      <w:r>
        <w:rPr>
          <w:rFonts w:hint="eastAsia"/>
          <w:color w:val="000000" w:themeColor="text1"/>
          <w14:textFill>
            <w14:solidFill>
              <w14:schemeClr w14:val="tx1"/>
            </w14:solidFill>
          </w14:textFill>
        </w:rPr>
        <w:t>实际总投入</w:t>
      </w:r>
      <w:r>
        <w:rPr>
          <w:rFonts w:hint="eastAsia"/>
          <w:color w:val="000000" w:themeColor="text1"/>
          <w:lang w:val="en-US" w:eastAsia="zh-CN"/>
          <w14:textFill>
            <w14:solidFill>
              <w14:schemeClr w14:val="tx1"/>
            </w14:solidFill>
          </w14:textFill>
        </w:rPr>
        <w:t>11.11</w:t>
      </w:r>
      <w:r>
        <w:rPr>
          <w:rFonts w:hint="eastAsia"/>
          <w:color w:val="000000" w:themeColor="text1"/>
          <w14:textFill>
            <w14:solidFill>
              <w14:schemeClr w14:val="tx1"/>
            </w14:solidFill>
          </w14:textFill>
        </w:rPr>
        <w:t>万元，该项目资金已全部落实到位，</w:t>
      </w:r>
      <w:r>
        <w:rPr>
          <w:rFonts w:hint="eastAsia"/>
          <w:color w:val="auto"/>
        </w:rPr>
        <w:t>为</w:t>
      </w:r>
      <w:r>
        <w:rPr>
          <w:rFonts w:hint="eastAsia"/>
          <w:color w:val="auto"/>
          <w:lang w:eastAsia="zh-CN"/>
        </w:rPr>
        <w:t>本级安排</w:t>
      </w:r>
      <w:r>
        <w:rPr>
          <w:rFonts w:hint="eastAsia"/>
          <w:color w:val="auto"/>
          <w:lang w:val="en-US" w:eastAsia="zh-CN"/>
        </w:rPr>
        <w:t>11.11万元。</w:t>
      </w:r>
    </w:p>
    <w:p>
      <w:pPr>
        <w:spacing w:line="360" w:lineRule="auto"/>
        <w:ind w:firstLine="600" w:firstLineChars="200"/>
        <w:rPr>
          <w:color w:val="FF0000"/>
        </w:rPr>
      </w:pPr>
      <w:r>
        <w:rPr>
          <w:rFonts w:hint="eastAsia"/>
        </w:rPr>
        <w:t>资金使用情况：</w:t>
      </w:r>
      <w:r>
        <w:rPr>
          <w:rFonts w:hint="eastAsia" w:ascii="仿宋" w:hAnsi="仿宋" w:eastAsia="仿宋" w:cs="仿宋"/>
          <w:color w:val="auto"/>
        </w:rPr>
        <w:t>该项目年初预算数</w:t>
      </w:r>
      <w:r>
        <w:rPr>
          <w:rFonts w:hint="eastAsia" w:ascii="仿宋" w:hAnsi="仿宋" w:eastAsia="仿宋" w:cs="仿宋"/>
          <w:color w:val="auto"/>
          <w:lang w:val="en-US" w:eastAsia="zh-CN"/>
        </w:rPr>
        <w:t>0</w:t>
      </w:r>
      <w:r>
        <w:rPr>
          <w:rFonts w:hint="eastAsia" w:ascii="仿宋" w:hAnsi="仿宋" w:eastAsia="仿宋" w:cs="仿宋"/>
          <w:color w:val="auto"/>
        </w:rPr>
        <w:t>万元，年</w:t>
      </w:r>
      <w:r>
        <w:rPr>
          <w:rFonts w:hint="eastAsia" w:ascii="仿宋" w:hAnsi="仿宋" w:eastAsia="仿宋" w:cs="仿宋"/>
          <w:color w:val="auto"/>
          <w:lang w:eastAsia="zh-CN"/>
        </w:rPr>
        <w:t>中追加</w:t>
      </w:r>
      <w:r>
        <w:rPr>
          <w:rFonts w:hint="eastAsia" w:ascii="仿宋" w:hAnsi="仿宋" w:eastAsia="仿宋" w:cs="仿宋"/>
          <w:color w:val="auto"/>
        </w:rPr>
        <w:t>数</w:t>
      </w:r>
      <w:r>
        <w:rPr>
          <w:rFonts w:hint="eastAsia" w:ascii="仿宋" w:hAnsi="仿宋" w:eastAsia="仿宋" w:cs="仿宋"/>
          <w:color w:val="auto"/>
          <w:lang w:val="en-US" w:eastAsia="zh-CN"/>
        </w:rPr>
        <w:t>11.11</w:t>
      </w:r>
      <w:r>
        <w:rPr>
          <w:rFonts w:hint="eastAsia" w:ascii="仿宋" w:hAnsi="仿宋" w:eastAsia="仿宋" w:cs="仿宋"/>
          <w:color w:val="auto"/>
        </w:rPr>
        <w:t>万元，全年执行数</w:t>
      </w:r>
      <w:r>
        <w:rPr>
          <w:rFonts w:hint="eastAsia" w:ascii="仿宋" w:hAnsi="仿宋" w:eastAsia="仿宋" w:cs="仿宋"/>
          <w:color w:val="auto"/>
          <w:lang w:val="en-US" w:eastAsia="zh-CN"/>
        </w:rPr>
        <w:t>11.11</w:t>
      </w:r>
      <w:r>
        <w:rPr>
          <w:rFonts w:hint="eastAsia" w:ascii="仿宋" w:hAnsi="仿宋" w:eastAsia="仿宋" w:cs="仿宋"/>
          <w:color w:val="auto"/>
        </w:rPr>
        <w:t>万元，预算执行率为</w:t>
      </w:r>
      <w:r>
        <w:rPr>
          <w:rFonts w:hint="eastAsia" w:ascii="仿宋" w:hAnsi="仿宋" w:eastAsia="仿宋" w:cs="仿宋"/>
          <w:color w:val="auto"/>
          <w:lang w:val="en-US" w:eastAsia="zh-CN"/>
        </w:rPr>
        <w:t>100</w:t>
      </w:r>
      <w:r>
        <w:rPr>
          <w:rFonts w:hint="eastAsia" w:ascii="仿宋" w:hAnsi="仿宋" w:eastAsia="仿宋" w:cs="仿宋"/>
          <w:color w:val="auto"/>
        </w:rPr>
        <w:t>%</w:t>
      </w:r>
      <w:r>
        <w:rPr>
          <w:rFonts w:hint="eastAsia" w:ascii="仿宋" w:hAnsi="仿宋" w:eastAsia="仿宋" w:cs="仿宋"/>
          <w:color w:val="auto"/>
          <w:lang w:eastAsia="zh-CN"/>
        </w:rPr>
        <w:t>。</w:t>
      </w:r>
      <w:r>
        <w:rPr>
          <w:rFonts w:hint="eastAsia" w:ascii="仿宋" w:hAnsi="仿宋" w:eastAsia="仿宋" w:cs="仿宋"/>
          <w:color w:val="auto"/>
        </w:rPr>
        <w:t>用于：</w:t>
      </w:r>
      <w:r>
        <w:rPr>
          <w:rFonts w:hint="eastAsia" w:ascii="仿宋" w:hAnsi="仿宋" w:eastAsia="仿宋" w:cs="仿宋"/>
          <w:color w:val="auto"/>
          <w:lang w:eastAsia="zh-CN"/>
        </w:rPr>
        <w:t>本单位乡</w:t>
      </w:r>
      <w:r>
        <w:rPr>
          <w:rFonts w:hint="eastAsia" w:ascii="仿宋_GB2312"/>
          <w:highlight w:val="none"/>
          <w:lang w:val="en-US" w:eastAsia="zh-CN"/>
        </w:rPr>
        <w:t>为5名乡村医生发放12次工资及缴纳养老保险工作,合计</w:t>
      </w:r>
      <w:r>
        <w:rPr>
          <w:rFonts w:hint="eastAsia" w:ascii="仿宋" w:hAnsi="仿宋" w:eastAsia="仿宋" w:cs="仿宋"/>
          <w:color w:val="auto"/>
          <w:lang w:val="en-US" w:eastAsia="zh-CN"/>
        </w:rPr>
        <w:t>11.11万元。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r>
        <w:rPr>
          <w:rFonts w:hint="eastAsia"/>
        </w:rPr>
        <w:t>1、总体目标：</w:t>
      </w:r>
      <w:r>
        <w:rPr>
          <w:rFonts w:hint="eastAsia"/>
          <w:lang w:val="en-US" w:eastAsia="zh-CN"/>
        </w:rPr>
        <w:t>计划开展</w:t>
      </w:r>
      <w:r>
        <w:rPr>
          <w:rFonts w:hint="eastAsia" w:ascii="仿宋_GB2312"/>
          <w:highlight w:val="none"/>
          <w:lang w:val="en-US" w:eastAsia="zh-CN"/>
        </w:rPr>
        <w:t>为5名乡村医生发放12次工资及缴纳养老保险工作</w:t>
      </w:r>
      <w:r>
        <w:rPr>
          <w:rFonts w:hint="eastAsia"/>
        </w:rPr>
        <w:t>。</w:t>
      </w:r>
    </w:p>
    <w:p>
      <w:pPr>
        <w:numPr>
          <w:ilvl w:val="0"/>
          <w:numId w:val="0"/>
        </w:numPr>
        <w:spacing w:line="360" w:lineRule="auto"/>
        <w:ind w:firstLine="600" w:firstLineChars="200"/>
        <w:rPr>
          <w:rFonts w:hint="eastAsia"/>
          <w:lang w:val="en-US" w:eastAsia="zh-CN"/>
        </w:rPr>
      </w:pPr>
      <w:r>
        <w:t>2</w:t>
      </w:r>
      <w:r>
        <w:rPr>
          <w:rFonts w:hint="eastAsia"/>
        </w:rPr>
        <w:t>、阶段性目标：</w:t>
      </w:r>
      <w:r>
        <w:rPr>
          <w:rFonts w:hint="eastAsia"/>
          <w:lang w:val="en-US" w:eastAsia="zh-CN"/>
        </w:rPr>
        <w:t>2023年1月起至12月对本单位5名乡村医生进行考核，考核合格后给于发放工资。有2名持有乡村医生证书的享有财政补助工资标准800元及缴纳养老保险732元，有2名持有执业助理医师证书的乡村医生享有财政补助工资标准1200元及缴纳养老保险732元。</w:t>
      </w:r>
      <w:bookmarkStart w:id="3" w:name="_Toc68703830"/>
      <w:r>
        <w:rPr>
          <w:rFonts w:hint="eastAsia"/>
          <w:lang w:val="en-US" w:eastAsia="zh-CN"/>
        </w:rPr>
        <w:t>有1名持有执业医师证书的乡村医生享有财政补助工资标准1600元及缴纳养老保险732元。</w:t>
      </w:r>
    </w:p>
    <w:p>
      <w:pPr>
        <w:numPr>
          <w:ilvl w:val="0"/>
          <w:numId w:val="0"/>
        </w:numPr>
        <w:spacing w:line="360" w:lineRule="auto"/>
        <w:rPr>
          <w:rFonts w:ascii="宋体" w:hAnsi="宋体" w:eastAsia="宋体"/>
          <w:sz w:val="32"/>
          <w:szCs w:val="32"/>
        </w:rPr>
      </w:pPr>
      <w:r>
        <w:rPr>
          <w:rFonts w:hint="eastAsia" w:ascii="宋体" w:hAnsi="宋体" w:eastAsia="宋体"/>
          <w:b/>
          <w:bCs/>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通过绩效评价，客观地评判项目的管理绩效，了解和掌握</w:t>
      </w:r>
      <w:r>
        <w:rPr>
          <w:rFonts w:hint="eastAsia" w:ascii="仿宋_GB2312"/>
          <w:color w:val="000000" w:themeColor="text1"/>
          <w:lang w:val="en-US" w:eastAsia="zh-CN"/>
          <w14:textFill>
            <w14:solidFill>
              <w14:schemeClr w14:val="tx1"/>
            </w14:solidFill>
          </w14:textFill>
        </w:rPr>
        <w:t>2023年查汗采开乡卫生院发放村医补助工资及缴纳养老保险</w:t>
      </w:r>
      <w:r>
        <w:rPr>
          <w:rFonts w:hint="eastAsia" w:ascii="仿宋_GB2312"/>
          <w:bCs/>
          <w:color w:val="000000" w:themeColor="text1"/>
          <w:sz w:val="32"/>
          <w:szCs w:val="32"/>
          <w14:textFill>
            <w14:solidFill>
              <w14:schemeClr w14:val="tx1"/>
            </w14:solidFill>
          </w14:textFill>
        </w:rPr>
        <w:t>的具体情况，评价该项目资金安排的科学性、合理性、规范性和资金的使用成效，及时总结项目管理经验，完善项目管理办法，提高项目管理水平和资金使用效益。促使我</w:t>
      </w:r>
      <w:r>
        <w:rPr>
          <w:rFonts w:hint="eastAsia" w:ascii="仿宋_GB2312"/>
          <w:bCs/>
          <w:color w:val="000000" w:themeColor="text1"/>
          <w:sz w:val="32"/>
          <w:szCs w:val="32"/>
          <w:lang w:val="en-US" w:eastAsia="zh-CN"/>
          <w14:textFill>
            <w14:solidFill>
              <w14:schemeClr w14:val="tx1"/>
            </w14:solidFill>
          </w14:textFill>
        </w:rPr>
        <w:t>单位</w:t>
      </w:r>
      <w:r>
        <w:rPr>
          <w:rFonts w:hint="eastAsia" w:ascii="仿宋_GB2312"/>
          <w:bCs/>
          <w:color w:val="000000" w:themeColor="text1"/>
          <w:sz w:val="32"/>
          <w:szCs w:val="32"/>
          <w14:textFill>
            <w14:solidFill>
              <w14:schemeClr w14:val="tx1"/>
            </w14:solidFill>
          </w14:textFill>
        </w:rPr>
        <w:t>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rPr>
          <w:rFonts w:hint="default" w:ascii="仿宋_GB2312"/>
          <w:lang w:val="en-US" w:eastAsia="zh-CN"/>
        </w:rPr>
      </w:pPr>
      <w:r>
        <w:rPr>
          <w:rFonts w:hint="eastAsia"/>
        </w:rPr>
        <w:t>2、绩效评价对象：</w:t>
      </w:r>
      <w:r>
        <w:rPr>
          <w:rFonts w:hint="eastAsia" w:ascii="仿宋_GB2312"/>
          <w:color w:val="000000" w:themeColor="text1"/>
          <w:lang w:val="en-US" w:eastAsia="zh-CN"/>
          <w14:textFill>
            <w14:solidFill>
              <w14:schemeClr w14:val="tx1"/>
            </w14:solidFill>
          </w14:textFill>
        </w:rPr>
        <w:t>查汗采开乡</w:t>
      </w:r>
      <w:r>
        <w:rPr>
          <w:rFonts w:hint="eastAsia" w:ascii="仿宋_GB2312"/>
          <w:lang w:val="en-US" w:eastAsia="zh-CN"/>
        </w:rPr>
        <w:t>卫生院发放村医补助及缴纳养老保险项目</w:t>
      </w:r>
    </w:p>
    <w:p>
      <w:pPr>
        <w:spacing w:line="360" w:lineRule="auto"/>
        <w:ind w:firstLine="600" w:firstLineChars="200"/>
      </w:pPr>
      <w:r>
        <w:rPr>
          <w:rFonts w:hint="eastAsia"/>
        </w:rPr>
        <w:t>3、绩效评价范围：</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eastAsia" w:ascii="仿宋_GB2312"/>
          <w:color w:val="000000" w:themeColor="text1"/>
          <w:lang w:val="en-US" w:eastAsia="zh-CN"/>
          <w14:textFill>
            <w14:solidFill>
              <w14:schemeClr w14:val="tx1"/>
            </w14:solidFill>
          </w14:textFill>
        </w:rPr>
        <w:t>2023年查汗采开乡卫生院村医补助及养老保险</w:t>
      </w:r>
      <w:r>
        <w:rPr>
          <w:rFonts w:hint="eastAsia"/>
          <w:color w:val="000000" w:themeColor="text1"/>
          <w14:textFill>
            <w14:solidFill>
              <w14:schemeClr w14:val="tx1"/>
            </w14:solidFill>
          </w14:textFill>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（一）科学公正。</w:t>
      </w:r>
      <w:r>
        <w:rPr>
          <w:rFonts w:hint="eastAsia" w:ascii="仿宋" w:hAnsi="仿宋" w:eastAsia="仿宋" w:cs="仿宋"/>
          <w:b w:val="0"/>
          <w:bCs w:val="0"/>
          <w:kern w:val="0"/>
          <w:sz w:val="30"/>
          <w:szCs w:val="30"/>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乡村医生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（二）统筹兼顾。</w:t>
      </w:r>
      <w:r>
        <w:rPr>
          <w:rFonts w:hint="eastAsia" w:ascii="仿宋" w:hAnsi="仿宋" w:eastAsia="仿宋" w:cs="仿宋"/>
          <w:b w:val="0"/>
          <w:bCs w:val="0"/>
          <w:kern w:val="0"/>
          <w:sz w:val="30"/>
          <w:szCs w:val="30"/>
          <w:lang w:val="en-US" w:eastAsia="zh-CN"/>
        </w:rPr>
        <w:t>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（三）激励约束。</w:t>
      </w:r>
      <w:r>
        <w:rPr>
          <w:rFonts w:hint="eastAsia" w:ascii="仿宋" w:hAnsi="仿宋" w:eastAsia="仿宋" w:cs="仿宋"/>
          <w:b w:val="0"/>
          <w:bCs w:val="0"/>
          <w:kern w:val="0"/>
          <w:sz w:val="30"/>
          <w:szCs w:val="30"/>
          <w:lang w:val="en-US" w:eastAsia="zh-CN"/>
        </w:rPr>
        <w:t>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（四）公开透明。</w:t>
      </w:r>
      <w:r>
        <w:rPr>
          <w:rFonts w:hint="eastAsia" w:ascii="仿宋" w:hAnsi="仿宋" w:eastAsia="仿宋" w:cs="仿宋"/>
          <w:b w:val="0"/>
          <w:bCs w:val="0"/>
          <w:kern w:val="0"/>
          <w:sz w:val="30"/>
          <w:szCs w:val="30"/>
          <w:lang w:val="en-US" w:eastAsia="zh-CN"/>
        </w:rPr>
        <w:t>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40"/>
        <w:rPr>
          <w:rFonts w:ascii="仿宋_GB2312"/>
          <w:bCs/>
          <w:color w:val="000000" w:themeColor="text1"/>
          <w:sz w:val="32"/>
          <w:szCs w:val="32"/>
          <w14:textFill>
            <w14:solidFill>
              <w14:schemeClr w14:val="tx1"/>
            </w14:solidFill>
          </w14:textFill>
        </w:rPr>
      </w:pPr>
    </w:p>
    <w:p>
      <w:pPr>
        <w:spacing w:line="360" w:lineRule="auto"/>
        <w:rPr>
          <w:rFonts w:hint="eastAsia" w:ascii="Times New Roman" w:hAnsi="Times New Roman" w:eastAsia="仿宋_GB2312" w:cs="Times New Roman"/>
          <w:b w:val="0"/>
          <w:bCs w:val="0"/>
          <w:sz w:val="30"/>
          <w:szCs w:val="24"/>
          <w:lang w:val="en-US" w:eastAsia="zh-CN"/>
        </w:rPr>
      </w:pPr>
      <w:r>
        <w:rPr>
          <w:rFonts w:hint="eastAsia"/>
        </w:rPr>
        <w:t>2、评价指标体系（附表说明）</w:t>
      </w:r>
    </w:p>
    <w:p>
      <w:pPr>
        <w:pStyle w:val="4"/>
        <w:spacing w:before="0" w:after="0" w:line="240" w:lineRule="auto"/>
        <w:jc w:val="both"/>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2023年查汗采开乡卫生院村医补助及缴纳养老保险</w:t>
      </w:r>
      <w:r>
        <w:rPr>
          <w:rFonts w:hint="eastAsia" w:ascii="Times New Roman" w:hAnsi="Times New Roman" w:eastAsia="仿宋_GB2312" w:cs="Times New Roman"/>
          <w:b w:val="0"/>
          <w:bCs w:val="0"/>
          <w:sz w:val="30"/>
          <w:szCs w:val="24"/>
        </w:rPr>
        <w:t>项目支出绩效评价指标体系</w:t>
      </w:r>
    </w:p>
    <w:tbl>
      <w:tblPr>
        <w:tblStyle w:val="14"/>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45"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70"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b w:val="0"/>
                <w:bCs w:val="0"/>
                <w:lang w:val="en-US" w:eastAsia="zh-CN"/>
              </w:rPr>
              <w:t>5</w:t>
            </w:r>
          </w:p>
        </w:tc>
        <w:tc>
          <w:tcPr>
            <w:tcW w:w="874" w:type="dxa"/>
            <w:shd w:val="clear" w:color="000000" w:fill="FFFFFF"/>
            <w:vAlign w:val="top"/>
          </w:tcPr>
          <w:p>
            <w:pPr>
              <w:spacing w:line="600" w:lineRule="auto"/>
              <w:jc w:val="cente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ascii="仿宋" w:hAnsi="仿宋" w:eastAsia="仿宋" w:cs="仿宋"/>
          <w:b w:val="0"/>
          <w:bCs w:val="0"/>
          <w:kern w:val="0"/>
          <w:sz w:val="30"/>
          <w:szCs w:val="30"/>
          <w:lang w:val="en-US" w:eastAsia="zh-CN"/>
        </w:rPr>
        <w:t>本次项目支出绩效自评采用因素分析法，原因是：</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val="en-US" w:eastAsia="zh-CN"/>
        </w:rPr>
        <w:t>需要考虑内外部因素产生的影响及量化社会效益进行分析评价，因此选择因素分析法能更好的对</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项目项目</w:t>
      </w:r>
      <w:r>
        <w:rPr>
          <w:rFonts w:hint="eastAsia" w:ascii="仿宋" w:hAnsi="仿宋" w:eastAsia="仿宋" w:cs="仿宋"/>
          <w:b w:val="0"/>
          <w:bCs w:val="0"/>
          <w:kern w:val="0"/>
          <w:sz w:val="30"/>
          <w:szCs w:val="30"/>
          <w:lang w:val="en-US" w:eastAsia="zh-CN"/>
        </w:rPr>
        <w:t>的资金进行评价。</w:t>
      </w:r>
    </w:p>
    <w:p>
      <w:pPr>
        <w:spacing w:line="360" w:lineRule="auto"/>
      </w:pPr>
      <w:r>
        <w:rPr>
          <w:rFonts w:hint="eastAsia"/>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bookmarkStart w:id="6" w:name="_Toc68703833"/>
      <w:r>
        <w:rPr>
          <w:rFonts w:hint="eastAsia" w:ascii="仿宋" w:hAnsi="仿宋" w:eastAsia="仿宋" w:cs="仿宋"/>
          <w:b w:val="0"/>
          <w:bCs w:val="0"/>
          <w:kern w:val="0"/>
          <w:sz w:val="30"/>
          <w:szCs w:val="30"/>
        </w:rPr>
        <w:t>本次评价主要采用了计划标准和行业标准。该项目设置年初绩效目标申报表时</w:t>
      </w:r>
      <w:r>
        <w:rPr>
          <w:rFonts w:hint="eastAsia" w:ascii="仿宋" w:hAnsi="仿宋" w:eastAsia="仿宋" w:cs="仿宋"/>
          <w:b w:val="0"/>
          <w:bCs w:val="0"/>
          <w:kern w:val="0"/>
          <w:sz w:val="30"/>
          <w:szCs w:val="30"/>
          <w:lang w:eastAsia="zh-CN"/>
        </w:rPr>
        <w:t>结合本辖区实际情况和本部门年初工作计划，</w:t>
      </w:r>
      <w:r>
        <w:rPr>
          <w:rFonts w:hint="eastAsia" w:ascii="仿宋" w:hAnsi="仿宋" w:eastAsia="仿宋" w:cs="仿宋"/>
          <w:b w:val="0"/>
          <w:bCs w:val="0"/>
          <w:kern w:val="0"/>
          <w:sz w:val="30"/>
          <w:szCs w:val="30"/>
        </w:rPr>
        <w:t>参照国家公布的</w:t>
      </w:r>
      <w:r>
        <w:rPr>
          <w:rFonts w:hint="eastAsia" w:ascii="仿宋" w:hAnsi="仿宋" w:eastAsia="仿宋" w:cs="仿宋"/>
          <w:b w:val="0"/>
          <w:bCs w:val="0"/>
          <w:kern w:val="0"/>
          <w:sz w:val="30"/>
          <w:szCs w:val="30"/>
          <w:lang w:eastAsia="zh-CN"/>
        </w:rPr>
        <w:t>卫生</w:t>
      </w:r>
      <w:r>
        <w:rPr>
          <w:rFonts w:hint="eastAsia" w:ascii="仿宋" w:hAnsi="仿宋" w:eastAsia="仿宋" w:cs="仿宋"/>
          <w:b w:val="0"/>
          <w:bCs w:val="0"/>
          <w:kern w:val="0"/>
          <w:sz w:val="30"/>
          <w:szCs w:val="30"/>
        </w:rPr>
        <w:t>行业指标数据制定的标准</w:t>
      </w:r>
      <w:r>
        <w:rPr>
          <w:rFonts w:hint="eastAsia" w:ascii="仿宋" w:hAnsi="仿宋" w:eastAsia="仿宋" w:cs="仿宋"/>
          <w:b w:val="0"/>
          <w:bCs w:val="0"/>
          <w:kern w:val="0"/>
          <w:sz w:val="30"/>
          <w:szCs w:val="30"/>
          <w:lang w:eastAsia="zh-CN"/>
        </w:rPr>
        <w:t>确定三级指标</w:t>
      </w:r>
      <w:r>
        <w:rPr>
          <w:rFonts w:hint="eastAsia" w:ascii="仿宋" w:hAnsi="仿宋" w:eastAsia="仿宋" w:cs="仿宋"/>
          <w:b w:val="0"/>
          <w:bCs w:val="0"/>
          <w:kern w:val="0"/>
          <w:sz w:val="30"/>
          <w:szCs w:val="30"/>
        </w:rPr>
        <w:t>。采用行业标准，可提高预算编制和预算额度测算准确率，使评价结果更加科学真实。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1.</w:t>
      </w:r>
      <w:r>
        <w:rPr>
          <w:rFonts w:hint="eastAsia" w:eastAsia="仿宋_GB2312"/>
          <w:bCs/>
          <w:color w:val="000000" w:themeColor="text1"/>
          <w:sz w:val="32"/>
          <w:szCs w:val="32"/>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2.</w:t>
      </w:r>
      <w:r>
        <w:rPr>
          <w:rFonts w:hint="eastAsia" w:eastAsia="仿宋_GB2312"/>
          <w:bCs/>
          <w:color w:val="000000" w:themeColor="text1"/>
          <w:sz w:val="32"/>
          <w:szCs w:val="32"/>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pPr>
      <w:r>
        <w:rPr>
          <w:rFonts w:hint="eastAsia" w:eastAsia="仿宋_GB2312"/>
          <w:bCs/>
          <w:color w:val="000000" w:themeColor="text1"/>
          <w:sz w:val="32"/>
          <w:szCs w:val="32"/>
          <w:lang w:val="en-US" w:eastAsia="zh-CN"/>
          <w14:textFill>
            <w14:solidFill>
              <w14:schemeClr w14:val="tx1"/>
            </w14:solidFill>
          </w14:textFill>
        </w:rPr>
        <w:t>3.</w:t>
      </w:r>
      <w:r>
        <w:rPr>
          <w:rFonts w:hint="eastAsia" w:eastAsia="仿宋_GB2312"/>
          <w:bCs/>
          <w:color w:val="000000" w:themeColor="text1"/>
          <w:sz w:val="32"/>
          <w:szCs w:val="32"/>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项目严格按照科学公正、统筹兼顾、激励约束、公开透明绩效评价原则，采用因素分析法评价方法，坚持计划标准和行业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000000" w:themeColor="text1"/>
          <w14:textFill>
            <w14:solidFill>
              <w14:schemeClr w14:val="tx1"/>
            </w14:solidFill>
          </w14:textFill>
        </w:rPr>
      </w:pPr>
      <w:r>
        <w:rPr>
          <w:rFonts w:hint="eastAsia" w:ascii="Times New Roman" w:hAnsi="Times New Roman" w:eastAsia="仿宋_GB2312" w:cs="Times New Roman"/>
          <w:b w:val="0"/>
          <w:bCs w:val="0"/>
          <w:sz w:val="30"/>
          <w:szCs w:val="24"/>
          <w:lang w:val="en-US" w:eastAsia="zh-CN"/>
        </w:rPr>
        <w:t>2023年</w:t>
      </w:r>
      <w:r>
        <w:rPr>
          <w:rFonts w:hint="eastAsia" w:cs="Times New Roman"/>
          <w:b w:val="0"/>
          <w:bCs w:val="0"/>
          <w:sz w:val="30"/>
          <w:szCs w:val="24"/>
          <w:lang w:val="en-US" w:eastAsia="zh-CN"/>
        </w:rPr>
        <w:t>查汗采开</w:t>
      </w:r>
      <w:r>
        <w:rPr>
          <w:rFonts w:hint="eastAsia" w:ascii="Times New Roman" w:hAnsi="Times New Roman" w:eastAsia="仿宋_GB2312" w:cs="Times New Roman"/>
          <w:b w:val="0"/>
          <w:bCs w:val="0"/>
          <w:sz w:val="30"/>
          <w:szCs w:val="24"/>
          <w:lang w:val="en-US" w:eastAsia="zh-CN"/>
        </w:rPr>
        <w:t>乡卫生院村医补助及</w:t>
      </w:r>
      <w:r>
        <w:rPr>
          <w:rFonts w:hint="eastAsia" w:cs="Times New Roman"/>
          <w:b w:val="0"/>
          <w:bCs w:val="0"/>
          <w:sz w:val="30"/>
          <w:szCs w:val="24"/>
          <w:lang w:val="en-US" w:eastAsia="zh-CN"/>
        </w:rPr>
        <w:t>缴纳</w:t>
      </w:r>
      <w:r>
        <w:rPr>
          <w:rFonts w:hint="eastAsia" w:ascii="Times New Roman" w:hAnsi="Times New Roman" w:eastAsia="仿宋_GB2312" w:cs="Times New Roman"/>
          <w:b w:val="0"/>
          <w:bCs w:val="0"/>
          <w:sz w:val="30"/>
          <w:szCs w:val="24"/>
          <w:lang w:val="en-US" w:eastAsia="zh-CN"/>
        </w:rPr>
        <w:t>养老</w:t>
      </w:r>
      <w:r>
        <w:rPr>
          <w:rFonts w:hint="eastAsia" w:cs="Times New Roman"/>
          <w:b w:val="0"/>
          <w:bCs w:val="0"/>
          <w:sz w:val="30"/>
          <w:szCs w:val="24"/>
          <w:lang w:val="en-US" w:eastAsia="zh-CN"/>
        </w:rPr>
        <w:t>保险</w:t>
      </w:r>
      <w:r>
        <w:rPr>
          <w:rFonts w:hint="eastAsia"/>
          <w:color w:val="000000" w:themeColor="text1"/>
          <w14:textFill>
            <w14:solidFill>
              <w14:schemeClr w14:val="tx1"/>
            </w14:solidFill>
          </w14:textFill>
        </w:rPr>
        <w:t>项目评价得分情况</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bookmarkStart w:id="10" w:name="_Toc68703837"/>
      <w:r>
        <w:rPr>
          <w:rFonts w:hint="eastAsia" w:ascii="仿宋" w:hAnsi="仿宋" w:eastAsia="仿宋" w:cs="仿宋"/>
          <w:b w:val="0"/>
          <w:bCs w:val="0"/>
          <w:kern w:val="0"/>
          <w:sz w:val="30"/>
          <w:szCs w:val="30"/>
        </w:rPr>
        <w:t>本项目的项目决策20分，得分20分；项目过程20分，得分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分；产出40分，得分40分，</w:t>
      </w:r>
      <w:r>
        <w:rPr>
          <w:rFonts w:hint="eastAsia" w:ascii="仿宋" w:hAnsi="仿宋" w:eastAsia="仿宋" w:cs="仿宋"/>
          <w:b w:val="0"/>
          <w:bCs w:val="0"/>
          <w:kern w:val="0"/>
          <w:sz w:val="30"/>
          <w:szCs w:val="30"/>
          <w:lang w:eastAsia="zh-CN"/>
        </w:rPr>
        <w:t>产出</w:t>
      </w:r>
      <w:r>
        <w:rPr>
          <w:rFonts w:hint="eastAsia" w:ascii="仿宋" w:hAnsi="仿宋" w:eastAsia="仿宋" w:cs="仿宋"/>
          <w:b w:val="0"/>
          <w:bCs w:val="0"/>
          <w:kern w:val="0"/>
          <w:sz w:val="30"/>
          <w:szCs w:val="30"/>
        </w:rPr>
        <w:t>均达到了预期要求，项目决策20分，得分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分。最终得分为</w:t>
      </w:r>
      <w:r>
        <w:rPr>
          <w:rFonts w:hint="eastAsia" w:ascii="仿宋" w:hAnsi="仿宋" w:eastAsia="仿宋" w:cs="仿宋"/>
          <w:b w:val="0"/>
          <w:bCs w:val="0"/>
          <w:kern w:val="0"/>
          <w:sz w:val="30"/>
          <w:szCs w:val="30"/>
          <w:lang w:val="en-US" w:eastAsia="zh-CN"/>
        </w:rPr>
        <w:t>100</w:t>
      </w:r>
      <w:r>
        <w:rPr>
          <w:rFonts w:hint="eastAsia" w:ascii="仿宋" w:hAnsi="仿宋" w:eastAsia="仿宋" w:cs="仿宋"/>
          <w:b w:val="0"/>
          <w:bCs w:val="0"/>
          <w:kern w:val="0"/>
          <w:sz w:val="30"/>
          <w:szCs w:val="30"/>
        </w:rPr>
        <w:t>分。</w:t>
      </w:r>
    </w:p>
    <w:p>
      <w:pPr>
        <w:pStyle w:val="3"/>
        <w:spacing w:line="360" w:lineRule="auto"/>
        <w:rPr>
          <w:rFonts w:ascii="宋体" w:hAnsi="宋体" w:eastAsia="宋体"/>
          <w:sz w:val="32"/>
          <w:szCs w:val="32"/>
        </w:rPr>
      </w:pPr>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kern w:val="0"/>
          <w:sz w:val="30"/>
          <w:szCs w:val="30"/>
        </w:rPr>
      </w:pPr>
      <w:r>
        <w:rPr>
          <w:rFonts w:hint="eastAsia" w:ascii="仿宋" w:hAnsi="仿宋" w:eastAsia="仿宋" w:cs="仿宋"/>
          <w:b w:val="0"/>
          <w:bCs w:val="0"/>
          <w:color w:val="auto"/>
          <w:kern w:val="0"/>
          <w:sz w:val="30"/>
          <w:szCs w:val="30"/>
          <w:lang w:eastAsia="zh-CN"/>
        </w:rPr>
        <w:t>该项目依据</w:t>
      </w:r>
      <w:r>
        <w:rPr>
          <w:rFonts w:hint="eastAsia" w:ascii="仿宋_GB2312"/>
          <w:lang w:eastAsia="zh-CN"/>
        </w:rPr>
        <w:t>新政发【</w:t>
      </w:r>
      <w:r>
        <w:rPr>
          <w:rFonts w:hint="eastAsia" w:ascii="仿宋_GB2312"/>
          <w:lang w:val="en-US" w:eastAsia="zh-CN"/>
        </w:rPr>
        <w:t>2012】87号文、巴政办发【2016】61号文</w:t>
      </w:r>
      <w:r>
        <w:rPr>
          <w:rFonts w:hint="eastAsia" w:ascii="仿宋" w:hAnsi="仿宋" w:eastAsia="仿宋" w:cs="仿宋"/>
          <w:b w:val="0"/>
          <w:bCs w:val="0"/>
          <w:color w:val="auto"/>
          <w:kern w:val="0"/>
          <w:sz w:val="30"/>
          <w:szCs w:val="30"/>
          <w:lang w:val="en-US" w:eastAsia="zh-CN"/>
        </w:rPr>
        <w:t>《关于进一步加强乡村医生队伍建设的</w:t>
      </w:r>
      <w:r>
        <w:rPr>
          <w:rFonts w:hint="eastAsia" w:ascii="仿宋" w:hAnsi="仿宋" w:eastAsia="仿宋" w:cs="仿宋"/>
          <w:b w:val="0"/>
          <w:bCs w:val="0"/>
          <w:color w:val="auto"/>
          <w:kern w:val="0"/>
          <w:sz w:val="30"/>
          <w:szCs w:val="30"/>
          <w:lang w:eastAsia="zh-CN"/>
        </w:rPr>
        <w:t>实施方案》</w:t>
      </w:r>
      <w:r>
        <w:rPr>
          <w:rFonts w:hint="eastAsia" w:ascii="仿宋_GB2312"/>
          <w:lang w:val="en-US" w:eastAsia="zh-CN"/>
        </w:rPr>
        <w:t>，</w:t>
      </w:r>
      <w:r>
        <w:rPr>
          <w:rFonts w:hint="eastAsia" w:ascii="仿宋" w:hAnsi="仿宋" w:eastAsia="仿宋" w:cs="仿宋"/>
          <w:b w:val="0"/>
          <w:bCs w:val="0"/>
          <w:color w:val="auto"/>
          <w:kern w:val="0"/>
          <w:sz w:val="30"/>
          <w:szCs w:val="30"/>
          <w:lang w:eastAsia="zh-CN"/>
        </w:rPr>
        <w:t>制定了《焉耆县乡村医生补助资金项目》实施方案，</w:t>
      </w:r>
      <w:r>
        <w:rPr>
          <w:rFonts w:hint="eastAsia" w:ascii="仿宋" w:hAnsi="仿宋" w:eastAsia="仿宋" w:cs="仿宋"/>
          <w:b w:val="0"/>
          <w:bCs w:val="0"/>
          <w:kern w:val="2"/>
          <w:sz w:val="30"/>
          <w:szCs w:val="24"/>
          <w:lang w:val="en-US" w:eastAsia="zh-CN" w:bidi="ar-SA"/>
        </w:rPr>
        <w:t xml:space="preserve"> 结合我单位辖区村卫生室实际村医人数及工作量考核标准发放项目补助资金</w:t>
      </w:r>
      <w:r>
        <w:rPr>
          <w:rFonts w:hint="eastAsia" w:ascii="仿宋" w:hAnsi="仿宋" w:eastAsia="仿宋" w:cs="仿宋"/>
          <w:sz w:val="30"/>
        </w:rPr>
        <w:t>。</w:t>
      </w:r>
      <w:r>
        <w:rPr>
          <w:rFonts w:hint="eastAsia" w:ascii="仿宋" w:hAnsi="仿宋" w:eastAsia="仿宋" w:cs="仿宋"/>
          <w:sz w:val="30"/>
          <w:lang w:eastAsia="zh-CN"/>
        </w:rPr>
        <w:t>该</w:t>
      </w:r>
      <w:r>
        <w:rPr>
          <w:rFonts w:hint="eastAsia" w:ascii="仿宋" w:hAnsi="仿宋" w:eastAsia="仿宋" w:cs="仿宋"/>
          <w:b w:val="0"/>
          <w:bCs w:val="0"/>
          <w:color w:val="auto"/>
          <w:kern w:val="0"/>
          <w:sz w:val="30"/>
          <w:szCs w:val="30"/>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w:t>
      </w:r>
      <w:r>
        <w:rPr>
          <w:rFonts w:hint="eastAsia" w:ascii="仿宋" w:hAnsi="仿宋" w:eastAsia="仿宋" w:cs="仿宋"/>
          <w:b w:val="0"/>
          <w:bCs w:val="0"/>
          <w:color w:val="auto"/>
          <w:kern w:val="0"/>
          <w:sz w:val="30"/>
          <w:szCs w:val="30"/>
          <w:lang w:eastAsia="zh-CN"/>
        </w:rPr>
        <w:t>不</w:t>
      </w:r>
      <w:r>
        <w:rPr>
          <w:rFonts w:hint="eastAsia" w:ascii="仿宋" w:hAnsi="仿宋" w:eastAsia="仿宋" w:cs="仿宋"/>
          <w:b w:val="0"/>
          <w:bCs w:val="0"/>
          <w:color w:val="auto"/>
          <w:kern w:val="0"/>
          <w:sz w:val="30"/>
          <w:szCs w:val="30"/>
        </w:rPr>
        <w:t>重复。</w:t>
      </w:r>
    </w:p>
    <w:p>
      <w:pPr>
        <w:spacing w:line="360" w:lineRule="auto"/>
      </w:pPr>
      <w:r>
        <w:rPr>
          <w:rFonts w:hint="eastAsia"/>
        </w:rPr>
        <w:t>2、立项程序规范性</w:t>
      </w:r>
    </w:p>
    <w:p>
      <w:pPr>
        <w:spacing w:line="360" w:lineRule="auto"/>
        <w:ind w:firstLine="600" w:firstLineChars="200"/>
        <w:outlineLvl w:val="2"/>
        <w:rPr>
          <w:rFonts w:hint="eastAsia"/>
          <w:lang w:eastAsia="zh-CN"/>
        </w:rPr>
      </w:pPr>
      <w:r>
        <w:rPr>
          <w:rFonts w:hint="eastAsia"/>
        </w:rPr>
        <w:t>项目按照规定的程序申请设立；</w:t>
      </w:r>
      <w:r>
        <w:rPr>
          <w:rFonts w:hint="eastAsia"/>
          <w:lang w:val="en-US" w:eastAsia="zh-CN"/>
        </w:rPr>
        <w:t>预算批复等项目资料符合相关要求，</w:t>
      </w:r>
      <w:r>
        <w:rPr>
          <w:rFonts w:hint="eastAsia"/>
        </w:rPr>
        <w:t>事前已经过必要的可行性研究、专家论证、风险评估、绩效评估、集体决策</w:t>
      </w:r>
      <w:r>
        <w:rPr>
          <w:rFonts w:hint="eastAsia"/>
          <w:lang w:eastAsia="zh-CN"/>
        </w:rPr>
        <w:t>。</w:t>
      </w:r>
    </w:p>
    <w:p>
      <w:pPr>
        <w:spacing w:line="360" w:lineRule="auto"/>
      </w:pPr>
      <w:r>
        <w:rPr>
          <w:rFonts w:hint="eastAsia"/>
        </w:rPr>
        <w:t>3、绩效目标合理性</w:t>
      </w:r>
    </w:p>
    <w:p>
      <w:pPr>
        <w:spacing w:line="360" w:lineRule="auto"/>
        <w:ind w:firstLine="600" w:firstLineChars="200"/>
        <w:outlineLvl w:val="2"/>
        <w:rPr>
          <w:rFonts w:hint="eastAsia"/>
        </w:rPr>
      </w:pPr>
      <w:r>
        <w:rPr>
          <w:rFonts w:hint="eastAsia"/>
          <w:lang w:val="en-US" w:eastAsia="zh-CN"/>
        </w:rPr>
        <w:t>2023</w:t>
      </w:r>
      <w:r>
        <w:rPr>
          <w:rFonts w:hint="eastAsia"/>
        </w:rPr>
        <w:t>项目设立了项目绩效目标，与</w:t>
      </w:r>
      <w:r>
        <w:rPr>
          <w:rFonts w:hint="eastAsia"/>
          <w:lang w:eastAsia="zh-CN"/>
        </w:rPr>
        <w:t>《焉耆县</w:t>
      </w:r>
      <w:r>
        <w:rPr>
          <w:rFonts w:hint="eastAsia" w:ascii="仿宋_GB2312"/>
          <w:color w:val="000000" w:themeColor="text1"/>
          <w:lang w:val="en-US" w:eastAsia="zh-CN"/>
          <w14:textFill>
            <w14:solidFill>
              <w14:schemeClr w14:val="tx1"/>
            </w14:solidFill>
          </w14:textFill>
        </w:rPr>
        <w:t>查汗采开</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lang w:eastAsia="zh-CN"/>
        </w:rPr>
        <w:t>实施方案》</w:t>
      </w:r>
      <w:r>
        <w:rPr>
          <w:rFonts w:hint="eastAsia"/>
        </w:rPr>
        <w:t>具有相关性，项目的预期产出效益和效果也均能符合正常的业绩水平，并且与预算确定的项目投资额或资金量相匹配。</w:t>
      </w:r>
    </w:p>
    <w:p>
      <w:pPr>
        <w:spacing w:line="360" w:lineRule="auto"/>
        <w:ind w:firstLine="600" w:firstLineChars="200"/>
        <w:rPr>
          <w:color w:val="FF0000"/>
        </w:rPr>
      </w:pPr>
    </w:p>
    <w:p>
      <w:pPr>
        <w:spacing w:line="360" w:lineRule="auto"/>
      </w:pPr>
      <w:r>
        <w:rPr>
          <w:rFonts w:hint="eastAsia"/>
        </w:rPr>
        <w:t>4、绩效指标明确性</w:t>
      </w:r>
    </w:p>
    <w:p>
      <w:pPr>
        <w:spacing w:line="360" w:lineRule="auto"/>
        <w:ind w:firstLine="900" w:firstLineChars="300"/>
        <w:rPr>
          <w:rFonts w:hint="eastAsia" w:ascii="仿宋" w:hAnsi="仿宋" w:eastAsia="仿宋" w:cs="仿宋"/>
        </w:rPr>
      </w:pPr>
      <w:bookmarkStart w:id="12" w:name="_Hlk68699917"/>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 xml:space="preserve"> 年项目将项目绩效目标细化分解为具体的绩效指标，一级指标共</w:t>
      </w:r>
      <w:r>
        <w:rPr>
          <w:rFonts w:hint="eastAsia" w:ascii="仿宋" w:hAnsi="仿宋" w:eastAsia="仿宋" w:cs="仿宋"/>
          <w:lang w:val="en-US" w:eastAsia="zh-CN"/>
        </w:rPr>
        <w:t>4</w:t>
      </w:r>
      <w:r>
        <w:rPr>
          <w:rFonts w:hint="eastAsia" w:ascii="仿宋" w:hAnsi="仿宋" w:eastAsia="仿宋" w:cs="仿宋"/>
        </w:rPr>
        <w:t>条，二级指标共6条，三级指标共</w:t>
      </w:r>
      <w:r>
        <w:rPr>
          <w:rFonts w:hint="eastAsia" w:ascii="仿宋" w:hAnsi="仿宋" w:eastAsia="仿宋" w:cs="仿宋"/>
          <w:lang w:val="en-US" w:eastAsia="zh-CN"/>
        </w:rPr>
        <w:t>7</w:t>
      </w:r>
      <w:r>
        <w:rPr>
          <w:rFonts w:hint="eastAsia" w:ascii="仿宋" w:hAnsi="仿宋" w:eastAsia="仿宋" w:cs="仿宋"/>
        </w:rPr>
        <w:t>条，其中量化指标条数共</w:t>
      </w:r>
      <w:r>
        <w:rPr>
          <w:rFonts w:hint="eastAsia" w:ascii="仿宋" w:hAnsi="仿宋" w:eastAsia="仿宋" w:cs="仿宋"/>
          <w:lang w:val="en-US" w:eastAsia="zh-CN"/>
        </w:rPr>
        <w:t>4</w:t>
      </w:r>
      <w:r>
        <w:rPr>
          <w:rFonts w:hint="eastAsia" w:ascii="仿宋" w:hAnsi="仿宋" w:eastAsia="仿宋" w:cs="仿宋"/>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outlineLvl w:val="2"/>
        <w:rPr>
          <w:rFonts w:hint="eastAsia" w:ascii="仿宋" w:hAnsi="仿宋" w:eastAsia="仿宋" w:cs="仿宋"/>
        </w:rPr>
      </w:pPr>
      <w:r>
        <w:rPr>
          <w:rFonts w:hint="eastAsia" w:ascii="仿宋" w:hAnsi="仿宋" w:eastAsia="仿宋" w:cs="仿宋"/>
        </w:rPr>
        <w:t>预算编制经过科学论证</w:t>
      </w:r>
      <w:r>
        <w:rPr>
          <w:rFonts w:hint="eastAsia" w:ascii="仿宋" w:hAnsi="仿宋" w:eastAsia="仿宋" w:cs="仿宋"/>
          <w:lang w:eastAsia="zh-CN"/>
        </w:rPr>
        <w:t>，</w:t>
      </w:r>
      <w:r>
        <w:rPr>
          <w:rFonts w:hint="eastAsia" w:ascii="仿宋" w:hAnsi="仿宋" w:eastAsia="仿宋" w:cs="仿宋"/>
        </w:rPr>
        <w:t>预算内容与项目内容匹配</w:t>
      </w:r>
      <w:r>
        <w:rPr>
          <w:rFonts w:hint="eastAsia" w:ascii="仿宋" w:hAnsi="仿宋" w:eastAsia="仿宋" w:cs="仿宋"/>
          <w:lang w:eastAsia="zh-CN"/>
        </w:rPr>
        <w:t>，</w:t>
      </w:r>
      <w:r>
        <w:rPr>
          <w:rFonts w:hint="eastAsia" w:ascii="仿宋" w:hAnsi="仿宋" w:eastAsia="仿宋" w:cs="仿宋"/>
        </w:rPr>
        <w:t>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outlineLvl w:val="2"/>
        <w:rPr>
          <w:rFonts w:hint="eastAsia" w:ascii="仿宋" w:hAnsi="仿宋" w:eastAsia="仿宋" w:cs="仿宋"/>
        </w:rPr>
      </w:pPr>
      <w:bookmarkStart w:id="13" w:name="_Toc68703839"/>
      <w:r>
        <w:rPr>
          <w:rFonts w:hint="eastAsia" w:ascii="仿宋" w:hAnsi="仿宋" w:eastAsia="仿宋" w:cs="仿宋"/>
        </w:rPr>
        <w:t>预算资金分配依据充分</w:t>
      </w:r>
      <w:r>
        <w:rPr>
          <w:rFonts w:hint="eastAsia" w:ascii="仿宋" w:hAnsi="仿宋" w:eastAsia="仿宋" w:cs="仿宋"/>
          <w:lang w:eastAsia="zh-CN"/>
        </w:rPr>
        <w:t>，</w:t>
      </w:r>
      <w:r>
        <w:rPr>
          <w:rFonts w:hint="eastAsia" w:ascii="仿宋" w:hAnsi="仿宋" w:eastAsia="仿宋" w:cs="仿宋"/>
          <w:lang w:val="en-US" w:eastAsia="zh-CN"/>
        </w:rPr>
        <w:t>根据项目设置目标需求，6.72</w:t>
      </w:r>
      <w:r>
        <w:rPr>
          <w:rFonts w:hint="eastAsia" w:ascii="仿宋" w:hAnsi="仿宋" w:eastAsia="仿宋" w:cs="仿宋"/>
          <w:lang w:eastAsia="zh-CN"/>
        </w:rPr>
        <w:t>万元用于发放</w:t>
      </w:r>
      <w:r>
        <w:rPr>
          <w:rFonts w:hint="eastAsia" w:ascii="仿宋" w:hAnsi="仿宋" w:eastAsia="仿宋" w:cs="仿宋"/>
          <w:lang w:val="en-US" w:eastAsia="zh-CN"/>
        </w:rPr>
        <w:t>5名</w:t>
      </w:r>
      <w:r>
        <w:rPr>
          <w:rFonts w:hint="eastAsia" w:ascii="仿宋" w:hAnsi="仿宋" w:eastAsia="仿宋" w:cs="仿宋"/>
          <w:lang w:eastAsia="zh-CN"/>
        </w:rPr>
        <w:t>乡村医生补助</w:t>
      </w:r>
      <w:r>
        <w:rPr>
          <w:rFonts w:hint="eastAsia" w:ascii="仿宋" w:hAnsi="仿宋" w:eastAsia="仿宋" w:cs="仿宋"/>
          <w:lang w:val="en-US" w:eastAsia="zh-CN"/>
        </w:rPr>
        <w:t>工资</w:t>
      </w:r>
      <w:r>
        <w:rPr>
          <w:rFonts w:hint="eastAsia" w:ascii="仿宋" w:hAnsi="仿宋" w:eastAsia="仿宋" w:cs="仿宋"/>
          <w:lang w:eastAsia="zh-CN"/>
        </w:rPr>
        <w:t>资金，</w:t>
      </w:r>
      <w:r>
        <w:rPr>
          <w:rFonts w:hint="eastAsia" w:ascii="仿宋" w:hAnsi="仿宋" w:eastAsia="仿宋" w:cs="仿宋"/>
          <w:lang w:val="en-US" w:eastAsia="zh-CN"/>
        </w:rPr>
        <w:t>4.39万元用于缴纳5名乡村医生养老保险</w:t>
      </w:r>
      <w:r>
        <w:rPr>
          <w:rFonts w:hint="eastAsia" w:ascii="仿宋" w:hAnsi="仿宋" w:eastAsia="仿宋" w:cs="仿宋"/>
          <w:lang w:eastAsia="zh-CN"/>
        </w:rPr>
        <w:t>。</w:t>
      </w:r>
      <w:r>
        <w:rPr>
          <w:rFonts w:hint="eastAsia" w:ascii="仿宋" w:hAnsi="仿宋" w:eastAsia="仿宋" w:cs="仿宋"/>
        </w:rPr>
        <w:t>资金分配额度合理，与项目单位</w:t>
      </w:r>
      <w:r>
        <w:rPr>
          <w:rFonts w:hint="eastAsia" w:ascii="仿宋" w:hAnsi="仿宋" w:eastAsia="仿宋" w:cs="仿宋"/>
          <w:lang w:val="en-US" w:eastAsia="zh-CN"/>
        </w:rPr>
        <w:t>实际</w:t>
      </w:r>
      <w:r>
        <w:rPr>
          <w:rFonts w:hint="eastAsia" w:ascii="仿宋" w:hAnsi="仿宋" w:eastAsia="仿宋" w:cs="仿宋"/>
        </w:rPr>
        <w:t>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300" w:firstLineChars="100"/>
      </w:pPr>
      <w:r>
        <w:rPr>
          <w:rFonts w:hint="eastAsia"/>
        </w:rPr>
        <w:t>实际到位资金</w:t>
      </w:r>
      <w:r>
        <w:rPr>
          <w:rFonts w:hint="eastAsia"/>
          <w:lang w:val="en-US" w:eastAsia="zh-CN"/>
        </w:rPr>
        <w:t>11.11</w:t>
      </w:r>
      <w:r>
        <w:rPr>
          <w:rFonts w:hint="eastAsia"/>
        </w:rPr>
        <w:t>万元，预算资金</w:t>
      </w:r>
      <w:r>
        <w:rPr>
          <w:rFonts w:hint="eastAsia"/>
          <w:lang w:val="en-US" w:eastAsia="zh-CN"/>
        </w:rPr>
        <w:t>11.11</w:t>
      </w:r>
      <w:r>
        <w:rPr>
          <w:rFonts w:hint="eastAsia"/>
        </w:rPr>
        <w:t>万元，资金到位率100%</w:t>
      </w:r>
      <w:r>
        <w:rPr>
          <w:rFonts w:hint="eastAsia"/>
          <w:lang w:eastAsia="zh-CN"/>
        </w:rPr>
        <w:t>。</w:t>
      </w:r>
      <w:r>
        <w:rPr>
          <w:rFonts w:hint="eastAsia"/>
        </w:rPr>
        <w:t>2、预算执行率</w:t>
      </w:r>
    </w:p>
    <w:p>
      <w:pPr>
        <w:spacing w:line="360" w:lineRule="auto"/>
        <w:ind w:firstLine="600" w:firstLineChars="200"/>
        <w:outlineLvl w:val="2"/>
        <w:rPr>
          <w:rFonts w:hint="eastAsia"/>
          <w:lang w:eastAsia="zh-CN"/>
        </w:rPr>
      </w:pPr>
      <w:r>
        <w:rPr>
          <w:rFonts w:hint="eastAsia"/>
        </w:rPr>
        <w:t>年初预算数</w:t>
      </w:r>
      <w:r>
        <w:rPr>
          <w:rFonts w:hint="eastAsia"/>
          <w:lang w:val="en-US" w:eastAsia="zh-CN"/>
        </w:rPr>
        <w:t>0</w:t>
      </w:r>
      <w:r>
        <w:rPr>
          <w:rFonts w:hint="eastAsia"/>
        </w:rPr>
        <w:t>万元，全年预算数</w:t>
      </w:r>
      <w:r>
        <w:rPr>
          <w:rFonts w:hint="eastAsia"/>
          <w:lang w:val="en-US" w:eastAsia="zh-CN"/>
        </w:rPr>
        <w:t>11.11</w:t>
      </w:r>
      <w:r>
        <w:rPr>
          <w:rFonts w:hint="eastAsia"/>
        </w:rPr>
        <w:t>万元，全年执行数</w:t>
      </w:r>
      <w:r>
        <w:rPr>
          <w:rFonts w:hint="eastAsia"/>
          <w:lang w:val="en-US" w:eastAsia="zh-CN"/>
        </w:rPr>
        <w:t>11.11</w:t>
      </w:r>
      <w:r>
        <w:rPr>
          <w:rFonts w:hint="eastAsia"/>
        </w:rPr>
        <w:t>万元，预算执行率为100%</w:t>
      </w:r>
      <w:r>
        <w:rPr>
          <w:rFonts w:hint="eastAsia"/>
          <w:lang w:eastAsia="zh-CN"/>
        </w:rPr>
        <w:t>。</w:t>
      </w:r>
    </w:p>
    <w:p>
      <w:pPr>
        <w:spacing w:line="360" w:lineRule="auto"/>
      </w:pPr>
      <w:r>
        <w:rPr>
          <w:rFonts w:hint="eastAsia"/>
        </w:rPr>
        <w:t>3、资金使用合规性</w:t>
      </w:r>
    </w:p>
    <w:p>
      <w:pPr>
        <w:spacing w:line="360" w:lineRule="auto"/>
        <w:ind w:firstLine="600" w:firstLineChars="200"/>
        <w:rPr>
          <w:rFonts w:hint="eastAsia" w:ascii="仿宋" w:hAnsi="仿宋" w:eastAsia="仿宋" w:cs="仿宋"/>
          <w:b w:val="0"/>
          <w:bCs w:val="0"/>
          <w:lang w:eastAsia="zh-CN"/>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spacing w:line="360" w:lineRule="auto"/>
        <w:outlineLvl w:val="2"/>
      </w:pPr>
      <w:r>
        <w:rPr>
          <w:rFonts w:hint="eastAsia"/>
        </w:rPr>
        <w:t>4、管理制度健全性</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color w:val="FF0000"/>
        </w:rPr>
      </w:pPr>
      <w:bookmarkStart w:id="14" w:name="_Toc68703840"/>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有相应的财务《中华人民共和国会计法》、《行政事业单位财务规则》、《</w:t>
      </w:r>
      <w:r>
        <w:rPr>
          <w:rFonts w:hint="eastAsia" w:ascii="仿宋" w:hAnsi="仿宋" w:eastAsia="仿宋" w:cs="仿宋"/>
          <w:color w:val="auto"/>
          <w:highlight w:val="none"/>
          <w:lang w:val="en-US" w:eastAsia="zh-CN"/>
        </w:rPr>
        <w:t>焉耆县查汗采开乡卫生院财务制度</w:t>
      </w:r>
      <w:r>
        <w:rPr>
          <w:rFonts w:hint="eastAsia" w:ascii="仿宋" w:hAnsi="仿宋" w:eastAsia="仿宋" w:cs="仿宋"/>
          <w:color w:val="auto"/>
          <w:highlight w:val="none"/>
          <w:lang w:eastAsia="zh-CN"/>
        </w:rPr>
        <w:t>》、预算管理内部控制制度、收支管理内部控制制度、政府采购管理内部控制制度等业务管理制度；财务和业务管理制度合法、合规、完整。</w:t>
      </w:r>
    </w:p>
    <w:p>
      <w:pPr>
        <w:numPr>
          <w:ilvl w:val="0"/>
          <w:numId w:val="2"/>
        </w:numPr>
        <w:spacing w:line="360" w:lineRule="auto"/>
        <w:outlineLvl w:val="2"/>
        <w:rPr>
          <w:rFonts w:hint="eastAsia"/>
        </w:rPr>
      </w:pPr>
      <w:r>
        <w:rPr>
          <w:rFonts w:hint="eastAsia"/>
        </w:rPr>
        <w:t>制度执行有效性</w:t>
      </w:r>
    </w:p>
    <w:p>
      <w:pPr>
        <w:numPr>
          <w:ilvl w:val="0"/>
          <w:numId w:val="0"/>
        </w:numPr>
        <w:spacing w:line="360" w:lineRule="auto"/>
        <w:ind w:firstLine="600" w:firstLineChars="200"/>
        <w:outlineLvl w:val="2"/>
        <w:rPr>
          <w:rFonts w:ascii="仿宋_GB2312" w:eastAsia="仿宋_GB2312"/>
          <w:b w:val="0"/>
          <w:bCs w:val="0"/>
          <w:highlight w:val="none"/>
        </w:rPr>
      </w:pPr>
      <w:r>
        <w:rPr>
          <w:rFonts w:hint="eastAsia" w:ascii="仿宋" w:hAnsi="仿宋" w:eastAsia="仿宋" w:cs="仿宋"/>
          <w:b w:val="0"/>
          <w:bCs w:val="0"/>
          <w:color w:val="auto"/>
          <w:kern w:val="2"/>
          <w:sz w:val="30"/>
          <w:szCs w:val="24"/>
          <w:highlight w:val="none"/>
          <w:lang w:val="en-US" w:eastAsia="zh-CN" w:bidi="ar-SA"/>
        </w:rPr>
        <w:t>项目实施执行过程中遵守相关法律法规和相关管理规定；项目调整及支出调整手续完备；项目合同书、验收报告、技术鉴定等资料齐全并及时归档；项目实施的人员条件、场地设备等落实到位。</w:t>
      </w:r>
      <w:r>
        <w:rPr>
          <w:rFonts w:hint="eastAsia" w:ascii="仿宋_GB2312" w:eastAsia="仿宋_GB2312"/>
          <w:b w:val="0"/>
          <w:bCs w:val="0"/>
        </w:rPr>
        <w:t>（</w:t>
      </w:r>
      <w:r>
        <w:rPr>
          <w:rFonts w:hint="eastAsia" w:ascii="仿宋_GB2312" w:eastAsia="仿宋_GB2312"/>
          <w:b w:val="0"/>
          <w:bCs w:val="0"/>
          <w:highlight w:val="none"/>
        </w:rPr>
        <w:t>三）项目产出情况。</w:t>
      </w:r>
      <w:bookmarkEnd w:id="14"/>
    </w:p>
    <w:p>
      <w:pPr>
        <w:numPr>
          <w:ilvl w:val="0"/>
          <w:numId w:val="3"/>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产出数量指标：指标1：补助发放人数，指标值：&gt;=</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人</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人，指标完成率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numPr>
          <w:ilvl w:val="0"/>
          <w:numId w:val="0"/>
        </w:numPr>
        <w:spacing w:line="360" w:lineRule="auto"/>
        <w:ind w:firstLine="300" w:firstLineChars="1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：补助发放次数，指标值：=</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eastAsia="zh-CN"/>
          <w14:textFill>
            <w14:solidFill>
              <w14:schemeClr w14:val="tx1"/>
            </w14:solidFill>
          </w14:textFill>
        </w:rPr>
        <w:t>次</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numPr>
          <w:ilvl w:val="0"/>
          <w:numId w:val="0"/>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质量指标：补助发放覆盖率，</w:t>
      </w:r>
      <w:bookmarkStart w:id="15" w:name="_Hlk98607777"/>
      <w:r>
        <w:rPr>
          <w:rFonts w:hint="eastAsia"/>
          <w:color w:val="000000" w:themeColor="text1"/>
          <w:highlight w:val="none"/>
          <w14:textFill>
            <w14:solidFill>
              <w14:schemeClr w14:val="tx1"/>
            </w14:solidFill>
          </w14:textFill>
        </w:rPr>
        <w:t xml:space="preserve">指标值：&gt;=100%，实际完成值 </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bookmarkStart w:id="16" w:name="_Hlk98607678"/>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bookmarkEnd w:id="15"/>
      <w:bookmarkEnd w:id="16"/>
    </w:p>
    <w:p>
      <w:pPr>
        <w:numPr>
          <w:ilvl w:val="0"/>
          <w:numId w:val="4"/>
        </w:num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时效指标：补助发放</w:t>
      </w:r>
      <w:r>
        <w:rPr>
          <w:rFonts w:hint="eastAsia"/>
          <w:color w:val="000000" w:themeColor="text1"/>
          <w:highlight w:val="none"/>
          <w:lang w:val="en-US" w:eastAsia="zh-CN"/>
          <w14:textFill>
            <w14:solidFill>
              <w14:schemeClr w14:val="tx1"/>
            </w14:solidFill>
          </w14:textFill>
        </w:rPr>
        <w:t>及时</w:t>
      </w:r>
      <w:r>
        <w:rPr>
          <w:rFonts w:hint="eastAsia"/>
          <w:color w:val="000000" w:themeColor="text1"/>
          <w:highlight w:val="none"/>
          <w14:textFill>
            <w14:solidFill>
              <w14:schemeClr w14:val="tx1"/>
            </w14:solidFill>
          </w14:textFill>
        </w:rPr>
        <w:t>率，指标值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&gt;=95%，完成值=95%。指标完成率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numPr>
          <w:ilvl w:val="0"/>
          <w:numId w:val="4"/>
        </w:num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成本指标：预算控制率，指标值： &lt;=100%</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，实际完成值=100%，指标完成率</w:t>
      </w:r>
      <w:r>
        <w:rPr>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pStyle w:val="4"/>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效益指标：提高办公质量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 xml:space="preserve"> 指标值：有效提高，实际完成值 达成目标，指标完成率</w:t>
      </w:r>
      <w:r>
        <w:rPr>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580" w:lineRule="exact"/>
        <w:textAlignment w:val="auto"/>
        <w:rPr>
          <w:highlight w:val="yellow"/>
        </w:rPr>
      </w:pPr>
      <w:r>
        <w:rPr>
          <w:rFonts w:hint="eastAsia" w:ascii="仿宋" w:hAnsi="仿宋" w:eastAsia="仿宋" w:cs="仿宋"/>
          <w:color w:val="auto"/>
          <w:highlight w:val="none"/>
          <w:lang w:val="en-US" w:eastAsia="zh-CN"/>
        </w:rPr>
        <w:t>2、满意度指标：发放人员满意度：</w:t>
      </w:r>
      <w:bookmarkStart w:id="18" w:name="_Hlk98607522"/>
      <w:r>
        <w:rPr>
          <w:rFonts w:hint="eastAsia" w:ascii="仿宋" w:hAnsi="仿宋" w:eastAsia="仿宋" w:cs="仿宋"/>
          <w:color w:val="auto"/>
          <w:highlight w:val="none"/>
          <w:lang w:val="en-US" w:eastAsia="zh-CN"/>
        </w:rPr>
        <w:t>指标值：&gt;=90%，实际完成值=100%，指标完成率 111</w:t>
      </w:r>
      <w:bookmarkStart w:id="24" w:name="_GoBack"/>
      <w:bookmarkEnd w:id="24"/>
      <w:r>
        <w:rPr>
          <w:rFonts w:hint="eastAsia" w:ascii="仿宋" w:hAnsi="仿宋" w:eastAsia="仿宋" w:cs="仿宋"/>
          <w:color w:val="auto"/>
          <w:highlight w:val="none"/>
          <w:lang w:val="en-US" w:eastAsia="zh-CN"/>
        </w:rPr>
        <w:t>%，</w:t>
      </w:r>
      <w:bookmarkEnd w:id="18"/>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每月按时发放补助人员</w:t>
      </w:r>
      <w:r>
        <w:rPr>
          <w:rFonts w:hint="eastAsia"/>
          <w:color w:val="000000" w:themeColor="text1"/>
          <w:highlight w:val="none"/>
          <w:lang w:val="en-US" w:eastAsia="zh-CN"/>
          <w14:textFill>
            <w14:solidFill>
              <w14:schemeClr w14:val="tx1"/>
            </w14:solidFill>
          </w14:textFill>
        </w:rPr>
        <w:t>满意度达100%。</w:t>
      </w: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bookmarkStart w:id="21" w:name="_Toc68703845"/>
      <w:r>
        <w:rPr>
          <w:rFonts w:hint="eastAsia" w:ascii="仿宋" w:hAnsi="仿宋" w:eastAsia="仿宋" w:cs="仿宋"/>
          <w:color w:val="auto"/>
          <w:highlight w:val="none"/>
          <w:lang w:val="en-US" w:eastAsia="zh-CN"/>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2、项目实施过程中，按照年度计划规范地组织实施，有条不紊开展相关工作，并做好资料收集整理工作。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3、合理安排项目资金，确保项目及时必要。</w:t>
      </w:r>
    </w:p>
    <w:p>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eastAsia="仿宋_GB2312"/>
          <w:b w:val="0"/>
          <w:bCs w:val="0"/>
        </w:rPr>
      </w:pPr>
      <w:bookmarkStart w:id="22" w:name="_Toc68703844"/>
      <w:r>
        <w:rPr>
          <w:rFonts w:hint="eastAsia" w:ascii="仿宋_GB2312" w:eastAsia="仿宋_GB2312"/>
          <w:b w:val="0"/>
          <w:bCs w:val="0"/>
        </w:rPr>
        <w:t>（二）存在的问题及原因分析</w:t>
      </w:r>
      <w:bookmarkEnd w:id="22"/>
    </w:p>
    <w:p>
      <w:pPr>
        <w:pageBreakBefore w:val="0"/>
        <w:widowControl w:val="0"/>
        <w:kinsoku/>
        <w:wordWrap/>
        <w:overflowPunct/>
        <w:topLinePunct w:val="0"/>
        <w:autoSpaceDE/>
        <w:autoSpaceDN/>
        <w:bidi w:val="0"/>
        <w:snapToGrid/>
        <w:spacing w:line="560" w:lineRule="exact"/>
        <w:ind w:firstLine="873" w:firstLineChars="280"/>
        <w:textAlignment w:val="auto"/>
        <w:rPr>
          <w:rFonts w:hint="eastAsia"/>
          <w:lang w:val="en-US" w:eastAsia="zh-CN"/>
        </w:rPr>
      </w:pPr>
      <w:r>
        <w:rPr>
          <w:rStyle w:val="12"/>
          <w:rFonts w:hint="eastAsia" w:ascii="仿宋_GB2312" w:hAnsi="楷体" w:eastAsia="仿宋_GB2312" w:cs="Times New Roman"/>
          <w:b w:val="0"/>
          <w:spacing w:val="-4"/>
          <w:sz w:val="32"/>
          <w:szCs w:val="32"/>
          <w:lang w:eastAsia="zh-CN"/>
        </w:rPr>
        <w:t>绩效管理水平有待提高</w:t>
      </w:r>
      <w:r>
        <w:rPr>
          <w:rStyle w:val="12"/>
          <w:rFonts w:hint="eastAsia" w:ascii="仿宋_GB2312" w:hAnsi="楷体" w:cs="Times New Roman"/>
          <w:b w:val="0"/>
          <w:spacing w:val="-4"/>
          <w:sz w:val="32"/>
          <w:szCs w:val="32"/>
          <w:lang w:eastAsia="zh-CN"/>
        </w:rPr>
        <w:t>，</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Style w:val="3"/>
        <w:numPr>
          <w:ilvl w:val="0"/>
          <w:numId w:val="5"/>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1"/>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 xml:space="preserve"> 1、规范</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ascii="仿宋" w:hAnsi="仿宋" w:eastAsia="仿宋" w:cs="仿宋"/>
          <w:sz w:val="30"/>
        </w:rPr>
        <w:t>绩效评价管理资料的收集整理，确保项目立项依据规范，立项程序合规，确保相关信息完整、可靠，根据项目绩效目标客观公正地反映项目资金实际使用和产生的绩效状况，为今后该项目实施方向及管理方式的改进提供指导。</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2、加强预算执行情况分析，及时掌握项目绩效目标的实现情况、项目实施进程和资金支出进度，从而对出现的情况和问题及时采取措施予以纠正。提高预算执行进度和项目管理水平。</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3、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pPr>
      <w:r>
        <w:rPr>
          <w:rFonts w:hint="eastAsia" w:ascii="仿宋" w:hAnsi="仿宋" w:eastAsia="仿宋" w:cs="仿宋"/>
          <w:b w:val="0"/>
          <w:bCs w:val="0"/>
          <w:kern w:val="2"/>
          <w:sz w:val="30"/>
          <w:szCs w:val="24"/>
          <w:lang w:val="en-US" w:eastAsia="zh-CN" w:bidi="ar-SA"/>
        </w:rPr>
        <w:t>4、加强项目管理的培训和学习，努力提高绩效评价工作水平和质量，加强项目管理和绩效管理相结合。根据项目管理方案及技术规范加强对卫生服务人员进行培训，提高工作人员技术水平。</w:t>
      </w:r>
    </w:p>
    <w:p>
      <w:pPr>
        <w:pStyle w:val="3"/>
        <w:spacing w:line="36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08A08"/>
    <w:multiLevelType w:val="singleLevel"/>
    <w:tmpl w:val="2BB08A08"/>
    <w:lvl w:ilvl="0" w:tentative="0">
      <w:start w:val="1"/>
      <w:numFmt w:val="decimal"/>
      <w:suff w:val="nothing"/>
      <w:lvlText w:val="%1、"/>
      <w:lvlJc w:val="left"/>
    </w:lvl>
  </w:abstractNum>
  <w:abstractNum w:abstractNumId="1">
    <w:nsid w:val="43E1D0C8"/>
    <w:multiLevelType w:val="singleLevel"/>
    <w:tmpl w:val="43E1D0C8"/>
    <w:lvl w:ilvl="0" w:tentative="0">
      <w:start w:val="6"/>
      <w:numFmt w:val="chineseCounting"/>
      <w:suff w:val="nothing"/>
      <w:lvlText w:val="%1、"/>
      <w:lvlJc w:val="left"/>
      <w:rPr>
        <w:rFonts w:hint="eastAsia"/>
      </w:rPr>
    </w:lvl>
  </w:abstractNum>
  <w:abstractNum w:abstractNumId="2">
    <w:nsid w:val="6B033AC1"/>
    <w:multiLevelType w:val="singleLevel"/>
    <w:tmpl w:val="6B033AC1"/>
    <w:lvl w:ilvl="0" w:tentative="0">
      <w:start w:val="1"/>
      <w:numFmt w:val="decimal"/>
      <w:lvlText w:val="%1."/>
      <w:lvlJc w:val="left"/>
      <w:pPr>
        <w:tabs>
          <w:tab w:val="left" w:pos="312"/>
        </w:tabs>
      </w:pPr>
    </w:lvl>
  </w:abstractNum>
  <w:abstractNum w:abstractNumId="3">
    <w:nsid w:val="72530572"/>
    <w:multiLevelType w:val="singleLevel"/>
    <w:tmpl w:val="72530572"/>
    <w:lvl w:ilvl="0" w:tentative="0">
      <w:start w:val="3"/>
      <w:numFmt w:val="decimal"/>
      <w:lvlText w:val="%1."/>
      <w:lvlJc w:val="left"/>
      <w:pPr>
        <w:tabs>
          <w:tab w:val="left" w:pos="312"/>
        </w:tabs>
      </w:pPr>
    </w:lvl>
  </w:abstractNum>
  <w:abstractNum w:abstractNumId="4">
    <w:nsid w:val="7D536E7B"/>
    <w:multiLevelType w:val="singleLevel"/>
    <w:tmpl w:val="7D536E7B"/>
    <w:lvl w:ilvl="0" w:tentative="0">
      <w:start w:val="5"/>
      <w:numFmt w:val="decimal"/>
      <w:suff w:val="nothing"/>
      <w:lvlText w:val="%1、"/>
      <w:lvlJc w:val="left"/>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0YWVkZDg3YWQ1YmY3NzkyMjk1YjQxYTg2OTQ2ZjA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28315B7"/>
    <w:rsid w:val="045B639D"/>
    <w:rsid w:val="071C4F46"/>
    <w:rsid w:val="1026775D"/>
    <w:rsid w:val="10BB0BEC"/>
    <w:rsid w:val="13282210"/>
    <w:rsid w:val="15DA37C6"/>
    <w:rsid w:val="2348122F"/>
    <w:rsid w:val="2732278A"/>
    <w:rsid w:val="273C28D5"/>
    <w:rsid w:val="2BDF34CC"/>
    <w:rsid w:val="2CA97840"/>
    <w:rsid w:val="2DFD7846"/>
    <w:rsid w:val="34133C84"/>
    <w:rsid w:val="382832EF"/>
    <w:rsid w:val="3AC25930"/>
    <w:rsid w:val="3DAE5EC2"/>
    <w:rsid w:val="3E4816E5"/>
    <w:rsid w:val="3F3020FF"/>
    <w:rsid w:val="402B7DE3"/>
    <w:rsid w:val="40AF3F54"/>
    <w:rsid w:val="415906D9"/>
    <w:rsid w:val="423C6578"/>
    <w:rsid w:val="43D47D05"/>
    <w:rsid w:val="46687228"/>
    <w:rsid w:val="479A6D97"/>
    <w:rsid w:val="4A8021AD"/>
    <w:rsid w:val="4BBA0128"/>
    <w:rsid w:val="4CA94424"/>
    <w:rsid w:val="51212520"/>
    <w:rsid w:val="53B62EFE"/>
    <w:rsid w:val="591E28EB"/>
    <w:rsid w:val="5BFB4B15"/>
    <w:rsid w:val="622575EA"/>
    <w:rsid w:val="638B61DA"/>
    <w:rsid w:val="6D7D64CF"/>
    <w:rsid w:val="6F1950AC"/>
    <w:rsid w:val="75F85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Normal Indent"/>
    <w:basedOn w:val="1"/>
    <w:qFormat/>
    <w:uiPriority w:val="0"/>
    <w:pPr>
      <w:ind w:firstLine="420" w:firstLineChars="200"/>
    </w:p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customStyle="1" w:styleId="15">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1"/>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1"/>
    <w:link w:val="7"/>
    <w:qFormat/>
    <w:uiPriority w:val="99"/>
    <w:rPr>
      <w:rFonts w:ascii="Times New Roman" w:hAnsi="Times New Roman" w:eastAsia="仿宋_GB2312" w:cs="Times New Roman"/>
      <w:sz w:val="18"/>
      <w:szCs w:val="18"/>
    </w:rPr>
  </w:style>
  <w:style w:type="character" w:customStyle="1" w:styleId="19">
    <w:name w:val="页脚 字符"/>
    <w:basedOn w:val="11"/>
    <w:link w:val="6"/>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2</TotalTime>
  <ScaleCrop>false</ScaleCrop>
  <LinksUpToDate>false</LinksUpToDate>
  <CharactersWithSpaces>7342</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2024-05-17T03:34:09Z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C10A60A6D9144BF185A63F71A217C929_12</vt:lpwstr>
  </property>
</Properties>
</file>