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7F2887">
      <w:pPr>
        <w:jc w:val="center"/>
        <w:rPr>
          <w:rFonts w:ascii="宋体" w:hAnsi="宋体" w:eastAsia="宋体" w:cs="Arial"/>
          <w:b/>
          <w:bCs/>
          <w:sz w:val="48"/>
          <w:szCs w:val="48"/>
        </w:rPr>
      </w:pPr>
    </w:p>
    <w:p w14:paraId="371A8FA1">
      <w:pPr>
        <w:jc w:val="center"/>
        <w:rPr>
          <w:rFonts w:ascii="宋体" w:hAnsi="宋体" w:eastAsia="宋体" w:cs="Arial"/>
          <w:b/>
          <w:bCs/>
          <w:sz w:val="48"/>
          <w:szCs w:val="48"/>
        </w:rPr>
      </w:pPr>
    </w:p>
    <w:p w14:paraId="2A9ABC55">
      <w:pPr>
        <w:jc w:val="center"/>
        <w:rPr>
          <w:rFonts w:ascii="宋体" w:hAnsi="宋体" w:eastAsia="宋体" w:cs="Arial"/>
          <w:b/>
          <w:bCs/>
          <w:sz w:val="48"/>
          <w:szCs w:val="48"/>
        </w:rPr>
      </w:pPr>
    </w:p>
    <w:p w14:paraId="2C3506B0">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14:paraId="255C420E">
      <w:pPr>
        <w:jc w:val="center"/>
        <w:rPr>
          <w:rFonts w:ascii="宋体" w:hAnsi="宋体" w:eastAsia="宋体" w:cs="Arial"/>
          <w:b/>
          <w:bCs/>
          <w:sz w:val="48"/>
          <w:szCs w:val="48"/>
        </w:rPr>
      </w:pPr>
    </w:p>
    <w:p w14:paraId="1BE1F707">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14:paraId="5C629884">
      <w:pPr>
        <w:spacing w:line="480" w:lineRule="auto"/>
        <w:jc w:val="center"/>
        <w:rPr>
          <w:rFonts w:ascii="仿宋_GB2312" w:hAnsi="仿宋_GB2312" w:cs="仿宋_GB2312"/>
          <w:b/>
          <w:kern w:val="0"/>
          <w:sz w:val="50"/>
          <w:szCs w:val="50"/>
          <w:lang w:bidi="en-US"/>
        </w:rPr>
      </w:pPr>
    </w:p>
    <w:p w14:paraId="34D2F068">
      <w:pPr>
        <w:spacing w:line="480" w:lineRule="auto"/>
        <w:jc w:val="center"/>
        <w:rPr>
          <w:rFonts w:ascii="仿宋_GB2312" w:hAnsi="仿宋_GB2312" w:cs="仿宋_GB2312"/>
          <w:b/>
          <w:kern w:val="0"/>
          <w:sz w:val="50"/>
          <w:szCs w:val="50"/>
          <w:lang w:bidi="en-US"/>
        </w:rPr>
      </w:pPr>
    </w:p>
    <w:p w14:paraId="5EAAAEDF">
      <w:pPr>
        <w:spacing w:line="480" w:lineRule="auto"/>
        <w:jc w:val="center"/>
        <w:rPr>
          <w:rFonts w:ascii="仿宋_GB2312" w:hAnsi="仿宋_GB2312" w:cs="仿宋_GB2312"/>
          <w:b/>
          <w:kern w:val="0"/>
          <w:sz w:val="50"/>
          <w:szCs w:val="50"/>
          <w:lang w:bidi="en-US"/>
        </w:rPr>
      </w:pPr>
    </w:p>
    <w:p w14:paraId="74798E6F">
      <w:pPr>
        <w:spacing w:line="480" w:lineRule="auto"/>
        <w:jc w:val="center"/>
        <w:rPr>
          <w:rFonts w:ascii="仿宋_GB2312" w:hAnsi="仿宋_GB2312" w:cs="仿宋_GB2312"/>
          <w:b/>
          <w:kern w:val="0"/>
          <w:sz w:val="50"/>
          <w:szCs w:val="50"/>
          <w:lang w:bidi="en-US"/>
        </w:rPr>
      </w:pPr>
    </w:p>
    <w:p w14:paraId="00152DDA">
      <w:pPr>
        <w:spacing w:line="480" w:lineRule="auto"/>
        <w:jc w:val="center"/>
        <w:rPr>
          <w:rFonts w:ascii="仿宋_GB2312" w:hAnsi="仿宋_GB2312" w:cs="仿宋_GB2312"/>
          <w:b/>
          <w:kern w:val="0"/>
          <w:sz w:val="50"/>
          <w:szCs w:val="50"/>
          <w:lang w:bidi="en-US"/>
        </w:rPr>
      </w:pPr>
    </w:p>
    <w:p w14:paraId="6D52CE19">
      <w:pPr>
        <w:spacing w:line="560" w:lineRule="exact"/>
        <w:ind w:firstLine="321" w:firstLineChars="100"/>
        <w:rPr>
          <w:rFonts w:hint="eastAsia"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项目名称：查乡莫村村级组织活动场所建设项目</w:t>
      </w:r>
    </w:p>
    <w:p w14:paraId="30E4B3C7">
      <w:pPr>
        <w:spacing w:line="560" w:lineRule="exact"/>
        <w:ind w:firstLine="321" w:firstLineChars="100"/>
        <w:rPr>
          <w:rFonts w:hint="eastAsia"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实施单位（公章）：</w:t>
      </w:r>
      <w:r>
        <w:rPr>
          <w:rFonts w:ascii="宋体" w:hAnsi="宋体" w:eastAsia="宋体" w:cs="宋体"/>
          <w:kern w:val="0"/>
          <w:sz w:val="32"/>
          <w:szCs w:val="32"/>
        </w:rPr>
        <w:t xml:space="preserve"> </w:t>
      </w:r>
      <w:r>
        <w:rPr>
          <w:rFonts w:hint="eastAsia" w:ascii="宋体" w:hAnsi="宋体" w:eastAsia="宋体" w:cs="仿宋_GB2312"/>
          <w:b/>
          <w:bCs/>
          <w:color w:val="000000"/>
          <w:kern w:val="0"/>
          <w:sz w:val="32"/>
          <w:szCs w:val="32"/>
        </w:rPr>
        <w:t>焉耆回族自治县</w:t>
      </w:r>
      <w:r>
        <w:rPr>
          <w:rFonts w:hint="eastAsia" w:ascii="宋体" w:hAnsi="宋体" w:eastAsia="宋体" w:cs="仿宋_GB2312"/>
          <w:b/>
          <w:bCs/>
          <w:color w:val="000000"/>
          <w:kern w:val="0"/>
          <w:sz w:val="32"/>
          <w:szCs w:val="32"/>
          <w:lang w:val="en-US" w:eastAsia="zh-CN"/>
        </w:rPr>
        <w:t>查汗采开乡</w:t>
      </w:r>
      <w:r>
        <w:rPr>
          <w:rFonts w:hint="eastAsia" w:ascii="宋体" w:hAnsi="宋体" w:eastAsia="宋体" w:cs="仿宋_GB2312"/>
          <w:b/>
          <w:bCs/>
          <w:color w:val="000000"/>
          <w:kern w:val="0"/>
          <w:sz w:val="32"/>
          <w:szCs w:val="32"/>
        </w:rPr>
        <w:t>人民政府</w:t>
      </w:r>
    </w:p>
    <w:p w14:paraId="570F4487">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ascii="宋体" w:hAnsi="宋体" w:eastAsia="宋体" w:cs="宋体"/>
          <w:kern w:val="0"/>
          <w:sz w:val="32"/>
          <w:szCs w:val="32"/>
        </w:rPr>
        <w:t xml:space="preserve"> </w:t>
      </w:r>
      <w:r>
        <w:rPr>
          <w:rFonts w:hint="eastAsia" w:ascii="宋体" w:hAnsi="宋体" w:eastAsia="宋体" w:cs="仿宋_GB2312"/>
          <w:b/>
          <w:bCs/>
          <w:color w:val="000000"/>
          <w:kern w:val="0"/>
          <w:sz w:val="32"/>
          <w:szCs w:val="32"/>
        </w:rPr>
        <w:t>焉耆回族自治县</w:t>
      </w:r>
      <w:r>
        <w:rPr>
          <w:rFonts w:hint="eastAsia" w:ascii="宋体" w:hAnsi="宋体" w:eastAsia="宋体" w:cs="仿宋_GB2312"/>
          <w:b/>
          <w:bCs/>
          <w:color w:val="000000"/>
          <w:kern w:val="0"/>
          <w:sz w:val="32"/>
          <w:szCs w:val="32"/>
          <w:lang w:val="en-US" w:eastAsia="zh-CN"/>
        </w:rPr>
        <w:t>查汗采开乡</w:t>
      </w:r>
      <w:r>
        <w:rPr>
          <w:rFonts w:hint="eastAsia" w:ascii="宋体" w:hAnsi="宋体" w:eastAsia="宋体" w:cs="仿宋_GB2312"/>
          <w:b/>
          <w:bCs/>
          <w:color w:val="000000"/>
          <w:kern w:val="0"/>
          <w:sz w:val="32"/>
          <w:szCs w:val="32"/>
        </w:rPr>
        <w:t>人民政府</w:t>
      </w:r>
    </w:p>
    <w:p w14:paraId="57FA14AC">
      <w:pPr>
        <w:spacing w:line="560" w:lineRule="exact"/>
        <w:ind w:firstLine="321" w:firstLineChars="100"/>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项目负责人（签章）：</w:t>
      </w:r>
      <w:r>
        <w:rPr>
          <w:rFonts w:hint="default" w:ascii="Times New Roman" w:hAnsi="Times New Roman" w:eastAsia="楷体" w:cs="Times New Roman"/>
          <w:b/>
          <w:bCs/>
          <w:color w:val="000000"/>
          <w:kern w:val="2"/>
          <w:sz w:val="28"/>
          <w:szCs w:val="28"/>
          <w:lang w:val="en-US" w:eastAsia="zh-CN" w:bidi="ar-SA"/>
        </w:rPr>
        <w:t>艾合买提·巴拉提</w:t>
      </w:r>
    </w:p>
    <w:p w14:paraId="58874C2E">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年0</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月</w:t>
      </w:r>
      <w:r>
        <w:rPr>
          <w:rFonts w:hint="eastAsia" w:ascii="宋体" w:hAnsi="宋体" w:eastAsia="宋体" w:cs="仿宋_GB2312"/>
          <w:color w:val="000000"/>
          <w:kern w:val="0"/>
          <w:sz w:val="32"/>
          <w:szCs w:val="32"/>
          <w:lang w:val="en-US" w:eastAsia="zh-CN"/>
        </w:rPr>
        <w:t>15</w:t>
      </w:r>
      <w:r>
        <w:rPr>
          <w:rFonts w:hint="eastAsia" w:ascii="宋体" w:hAnsi="宋体" w:eastAsia="宋体" w:cs="仿宋_GB2312"/>
          <w:color w:val="000000"/>
          <w:kern w:val="0"/>
          <w:sz w:val="32"/>
          <w:szCs w:val="32"/>
        </w:rPr>
        <w:t>日</w:t>
      </w:r>
    </w:p>
    <w:p w14:paraId="1B85D28C">
      <w:pPr>
        <w:jc w:val="center"/>
        <w:rPr>
          <w:rFonts w:ascii="宋体" w:hAnsi="宋体" w:eastAsia="宋体" w:cs="Arial"/>
          <w:b/>
          <w:bCs/>
          <w:sz w:val="36"/>
          <w:szCs w:val="36"/>
        </w:rPr>
      </w:pPr>
    </w:p>
    <w:p w14:paraId="4A003CDC">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14:paraId="48F7ED01">
          <w:pPr>
            <w:pStyle w:val="21"/>
            <w:jc w:val="center"/>
            <w:rPr>
              <w:rFonts w:ascii="宋体" w:hAnsi="宋体" w:eastAsia="宋体"/>
              <w:b/>
              <w:bCs/>
              <w:color w:val="auto"/>
              <w:lang w:val="zh-CN"/>
            </w:rPr>
          </w:pPr>
          <w:r>
            <w:rPr>
              <w:rFonts w:ascii="宋体" w:hAnsi="宋体" w:eastAsia="宋体"/>
              <w:b/>
              <w:bCs/>
              <w:color w:val="auto"/>
              <w:lang w:val="zh-CN"/>
            </w:rPr>
            <w:t>目录</w:t>
          </w:r>
        </w:p>
        <w:p w14:paraId="1F4255A5">
          <w:pPr>
            <w:pStyle w:val="12"/>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8"/>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14:paraId="7245601B">
          <w:pPr>
            <w:pStyle w:val="14"/>
            <w:tabs>
              <w:tab w:val="right" w:leader="dot" w:pos="8834"/>
            </w:tabs>
            <w:rPr>
              <w:rFonts w:cstheme="minorBidi"/>
              <w:kern w:val="2"/>
              <w:sz w:val="21"/>
            </w:rPr>
          </w:pPr>
          <w:r>
            <w:fldChar w:fldCharType="begin"/>
          </w:r>
          <w:r>
            <w:instrText xml:space="preserve"> HYPERLINK \l "_Toc68703828" </w:instrText>
          </w:r>
          <w:r>
            <w:fldChar w:fldCharType="separate"/>
          </w:r>
          <w:r>
            <w:rPr>
              <w:rStyle w:val="18"/>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14:paraId="59F3FB5C">
          <w:pPr>
            <w:pStyle w:val="14"/>
            <w:tabs>
              <w:tab w:val="right" w:leader="dot" w:pos="8834"/>
            </w:tabs>
            <w:rPr>
              <w:rFonts w:cstheme="minorBidi"/>
              <w:kern w:val="2"/>
              <w:sz w:val="21"/>
            </w:rPr>
          </w:pPr>
          <w:r>
            <w:fldChar w:fldCharType="begin"/>
          </w:r>
          <w:r>
            <w:instrText xml:space="preserve"> HYPERLINK \l "_Toc68703829" </w:instrText>
          </w:r>
          <w:r>
            <w:fldChar w:fldCharType="separate"/>
          </w:r>
          <w:r>
            <w:rPr>
              <w:rStyle w:val="18"/>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14:paraId="1F77ACBA">
          <w:pPr>
            <w:pStyle w:val="12"/>
            <w:tabs>
              <w:tab w:val="right" w:leader="dot" w:pos="8834"/>
            </w:tabs>
            <w:rPr>
              <w:rFonts w:cstheme="minorBidi"/>
              <w:kern w:val="2"/>
              <w:sz w:val="21"/>
            </w:rPr>
          </w:pPr>
          <w:r>
            <w:fldChar w:fldCharType="begin"/>
          </w:r>
          <w:r>
            <w:instrText xml:space="preserve"> HYPERLINK \l "_Toc68703830" </w:instrText>
          </w:r>
          <w:r>
            <w:fldChar w:fldCharType="separate"/>
          </w:r>
          <w:r>
            <w:rPr>
              <w:rStyle w:val="18"/>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14:paraId="5E29A68C">
          <w:pPr>
            <w:pStyle w:val="14"/>
            <w:tabs>
              <w:tab w:val="right" w:leader="dot" w:pos="8834"/>
            </w:tabs>
            <w:rPr>
              <w:rFonts w:cstheme="minorBidi"/>
              <w:kern w:val="2"/>
              <w:sz w:val="21"/>
            </w:rPr>
          </w:pPr>
          <w:r>
            <w:fldChar w:fldCharType="begin"/>
          </w:r>
          <w:r>
            <w:instrText xml:space="preserve"> HYPERLINK \l "_Toc68703831" </w:instrText>
          </w:r>
          <w:r>
            <w:fldChar w:fldCharType="separate"/>
          </w:r>
          <w:r>
            <w:rPr>
              <w:rStyle w:val="18"/>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14:paraId="366B6ECA">
          <w:pPr>
            <w:pStyle w:val="14"/>
            <w:tabs>
              <w:tab w:val="right" w:leader="dot" w:pos="8834"/>
            </w:tabs>
            <w:rPr>
              <w:rFonts w:cstheme="minorBidi"/>
              <w:kern w:val="2"/>
              <w:sz w:val="21"/>
            </w:rPr>
          </w:pPr>
          <w:r>
            <w:fldChar w:fldCharType="begin"/>
          </w:r>
          <w:r>
            <w:instrText xml:space="preserve"> HYPERLINK \l "_Toc68703832" </w:instrText>
          </w:r>
          <w:r>
            <w:fldChar w:fldCharType="separate"/>
          </w:r>
          <w:r>
            <w:rPr>
              <w:rStyle w:val="18"/>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14:paraId="0B4754F5">
          <w:pPr>
            <w:pStyle w:val="14"/>
            <w:tabs>
              <w:tab w:val="right" w:leader="dot" w:pos="8834"/>
            </w:tabs>
            <w:rPr>
              <w:rFonts w:cstheme="minorBidi"/>
              <w:kern w:val="2"/>
              <w:sz w:val="21"/>
            </w:rPr>
          </w:pPr>
          <w:r>
            <w:fldChar w:fldCharType="begin"/>
          </w:r>
          <w:r>
            <w:instrText xml:space="preserve"> HYPERLINK \l "_Toc68703833" </w:instrText>
          </w:r>
          <w:r>
            <w:fldChar w:fldCharType="separate"/>
          </w:r>
          <w:r>
            <w:rPr>
              <w:rStyle w:val="18"/>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14:paraId="703EDC5B">
          <w:pPr>
            <w:pStyle w:val="12"/>
            <w:tabs>
              <w:tab w:val="right" w:leader="dot" w:pos="8834"/>
            </w:tabs>
            <w:rPr>
              <w:rFonts w:cstheme="minorBidi"/>
              <w:kern w:val="2"/>
              <w:sz w:val="21"/>
            </w:rPr>
          </w:pPr>
          <w:r>
            <w:fldChar w:fldCharType="begin"/>
          </w:r>
          <w:r>
            <w:instrText xml:space="preserve"> HYPERLINK \l "_Toc68703834" </w:instrText>
          </w:r>
          <w:r>
            <w:fldChar w:fldCharType="separate"/>
          </w:r>
          <w:r>
            <w:rPr>
              <w:rStyle w:val="18"/>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14:paraId="52D4CF4A">
          <w:pPr>
            <w:pStyle w:val="14"/>
            <w:tabs>
              <w:tab w:val="right" w:leader="dot" w:pos="8834"/>
            </w:tabs>
            <w:rPr>
              <w:rFonts w:cstheme="minorBidi"/>
              <w:kern w:val="2"/>
              <w:sz w:val="21"/>
            </w:rPr>
          </w:pPr>
          <w:r>
            <w:fldChar w:fldCharType="begin"/>
          </w:r>
          <w:r>
            <w:instrText xml:space="preserve"> HYPERLINK \l "_Toc68703835" </w:instrText>
          </w:r>
          <w:r>
            <w:fldChar w:fldCharType="separate"/>
          </w:r>
          <w:r>
            <w:rPr>
              <w:rStyle w:val="18"/>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14:paraId="1C30DC28">
          <w:pPr>
            <w:pStyle w:val="14"/>
            <w:tabs>
              <w:tab w:val="right" w:leader="dot" w:pos="8834"/>
            </w:tabs>
            <w:rPr>
              <w:rFonts w:cstheme="minorBidi"/>
              <w:kern w:val="2"/>
              <w:sz w:val="21"/>
            </w:rPr>
          </w:pPr>
          <w:r>
            <w:fldChar w:fldCharType="begin"/>
          </w:r>
          <w:r>
            <w:instrText xml:space="preserve"> HYPERLINK \l "_Toc68703836" </w:instrText>
          </w:r>
          <w:r>
            <w:fldChar w:fldCharType="separate"/>
          </w:r>
          <w:r>
            <w:rPr>
              <w:rStyle w:val="18"/>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14:paraId="5C94807E">
          <w:pPr>
            <w:pStyle w:val="12"/>
            <w:tabs>
              <w:tab w:val="right" w:leader="dot" w:pos="8834"/>
            </w:tabs>
            <w:rPr>
              <w:rFonts w:cstheme="minorBidi"/>
              <w:kern w:val="2"/>
              <w:sz w:val="21"/>
            </w:rPr>
          </w:pPr>
          <w:r>
            <w:fldChar w:fldCharType="begin"/>
          </w:r>
          <w:r>
            <w:instrText xml:space="preserve"> HYPERLINK \l "_Toc68703837" </w:instrText>
          </w:r>
          <w:r>
            <w:fldChar w:fldCharType="separate"/>
          </w:r>
          <w:r>
            <w:rPr>
              <w:rStyle w:val="18"/>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14:paraId="76661549">
          <w:pPr>
            <w:pStyle w:val="14"/>
            <w:tabs>
              <w:tab w:val="right" w:leader="dot" w:pos="8834"/>
            </w:tabs>
            <w:rPr>
              <w:rFonts w:cstheme="minorBidi"/>
              <w:kern w:val="2"/>
              <w:sz w:val="21"/>
            </w:rPr>
          </w:pPr>
          <w:r>
            <w:fldChar w:fldCharType="begin"/>
          </w:r>
          <w:r>
            <w:instrText xml:space="preserve"> HYPERLINK \l "_Toc68703838" </w:instrText>
          </w:r>
          <w:r>
            <w:fldChar w:fldCharType="separate"/>
          </w:r>
          <w:r>
            <w:rPr>
              <w:rStyle w:val="18"/>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14:paraId="74FE9612">
          <w:pPr>
            <w:pStyle w:val="14"/>
            <w:tabs>
              <w:tab w:val="right" w:leader="dot" w:pos="8834"/>
            </w:tabs>
            <w:rPr>
              <w:rFonts w:cstheme="minorBidi"/>
              <w:kern w:val="2"/>
              <w:sz w:val="21"/>
            </w:rPr>
          </w:pPr>
          <w:r>
            <w:fldChar w:fldCharType="begin"/>
          </w:r>
          <w:r>
            <w:instrText xml:space="preserve"> HYPERLINK \l "_Toc68703839" </w:instrText>
          </w:r>
          <w:r>
            <w:fldChar w:fldCharType="separate"/>
          </w:r>
          <w:r>
            <w:rPr>
              <w:rStyle w:val="18"/>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14:paraId="7D867CDB">
          <w:pPr>
            <w:pStyle w:val="14"/>
            <w:tabs>
              <w:tab w:val="right" w:leader="dot" w:pos="8834"/>
            </w:tabs>
            <w:rPr>
              <w:rFonts w:cstheme="minorBidi"/>
              <w:kern w:val="2"/>
              <w:sz w:val="21"/>
            </w:rPr>
          </w:pPr>
          <w:r>
            <w:fldChar w:fldCharType="begin"/>
          </w:r>
          <w:r>
            <w:instrText xml:space="preserve"> HYPERLINK \l "_Toc68703840" </w:instrText>
          </w:r>
          <w:r>
            <w:fldChar w:fldCharType="separate"/>
          </w:r>
          <w:r>
            <w:rPr>
              <w:rStyle w:val="18"/>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14:paraId="68643964">
          <w:pPr>
            <w:pStyle w:val="14"/>
            <w:tabs>
              <w:tab w:val="right" w:leader="dot" w:pos="8834"/>
            </w:tabs>
            <w:rPr>
              <w:rFonts w:cstheme="minorBidi"/>
              <w:kern w:val="2"/>
              <w:sz w:val="21"/>
            </w:rPr>
          </w:pPr>
          <w:r>
            <w:fldChar w:fldCharType="begin"/>
          </w:r>
          <w:r>
            <w:instrText xml:space="preserve"> HYPERLINK \l "_Toc68703841" </w:instrText>
          </w:r>
          <w:r>
            <w:fldChar w:fldCharType="separate"/>
          </w:r>
          <w:r>
            <w:rPr>
              <w:rStyle w:val="18"/>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14:paraId="1FDD32BB">
          <w:pPr>
            <w:pStyle w:val="12"/>
            <w:tabs>
              <w:tab w:val="right" w:leader="dot" w:pos="8834"/>
            </w:tabs>
            <w:rPr>
              <w:rFonts w:cstheme="minorBidi"/>
              <w:kern w:val="2"/>
              <w:sz w:val="21"/>
            </w:rPr>
          </w:pPr>
          <w:r>
            <w:fldChar w:fldCharType="begin"/>
          </w:r>
          <w:r>
            <w:instrText xml:space="preserve"> HYPERLINK \l "_Toc68703842" </w:instrText>
          </w:r>
          <w:r>
            <w:fldChar w:fldCharType="separate"/>
          </w:r>
          <w:r>
            <w:rPr>
              <w:rStyle w:val="18"/>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14:paraId="762FADB0">
          <w:pPr>
            <w:pStyle w:val="14"/>
            <w:tabs>
              <w:tab w:val="right" w:leader="dot" w:pos="8834"/>
            </w:tabs>
            <w:rPr>
              <w:rFonts w:cstheme="minorBidi"/>
              <w:kern w:val="2"/>
              <w:sz w:val="21"/>
            </w:rPr>
          </w:pPr>
          <w:r>
            <w:fldChar w:fldCharType="begin"/>
          </w:r>
          <w:r>
            <w:instrText xml:space="preserve"> HYPERLINK \l "_Toc68703843" </w:instrText>
          </w:r>
          <w:r>
            <w:fldChar w:fldCharType="separate"/>
          </w:r>
          <w:r>
            <w:rPr>
              <w:rStyle w:val="18"/>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14:paraId="50F13166">
          <w:pPr>
            <w:pStyle w:val="14"/>
            <w:tabs>
              <w:tab w:val="right" w:leader="dot" w:pos="8834"/>
            </w:tabs>
            <w:rPr>
              <w:rFonts w:cstheme="minorBidi"/>
              <w:kern w:val="2"/>
              <w:sz w:val="21"/>
            </w:rPr>
          </w:pPr>
          <w:r>
            <w:fldChar w:fldCharType="begin"/>
          </w:r>
          <w:r>
            <w:instrText xml:space="preserve"> HYPERLINK \l "_Toc68703844" </w:instrText>
          </w:r>
          <w:r>
            <w:fldChar w:fldCharType="separate"/>
          </w:r>
          <w:r>
            <w:rPr>
              <w:rStyle w:val="18"/>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14:paraId="7E417BE2">
          <w:pPr>
            <w:pStyle w:val="12"/>
            <w:tabs>
              <w:tab w:val="right" w:leader="dot" w:pos="8834"/>
            </w:tabs>
            <w:rPr>
              <w:rFonts w:cstheme="minorBidi"/>
              <w:kern w:val="2"/>
              <w:sz w:val="21"/>
            </w:rPr>
          </w:pPr>
          <w:r>
            <w:fldChar w:fldCharType="begin"/>
          </w:r>
          <w:r>
            <w:instrText xml:space="preserve"> HYPERLINK \l "_Toc68703845" </w:instrText>
          </w:r>
          <w:r>
            <w:fldChar w:fldCharType="separate"/>
          </w:r>
          <w:r>
            <w:rPr>
              <w:rStyle w:val="18"/>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14:paraId="4AF6146F">
          <w:pPr>
            <w:pStyle w:val="12"/>
            <w:tabs>
              <w:tab w:val="right" w:leader="dot" w:pos="8834"/>
            </w:tabs>
            <w:rPr>
              <w:rFonts w:cstheme="minorBidi"/>
              <w:kern w:val="2"/>
              <w:sz w:val="21"/>
            </w:rPr>
          </w:pPr>
          <w:r>
            <w:fldChar w:fldCharType="begin"/>
          </w:r>
          <w:r>
            <w:instrText xml:space="preserve"> HYPERLINK \l "_Toc68703846" </w:instrText>
          </w:r>
          <w:r>
            <w:fldChar w:fldCharType="separate"/>
          </w:r>
          <w:r>
            <w:rPr>
              <w:rStyle w:val="18"/>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14:paraId="5D2A0986">
          <w:r>
            <w:rPr>
              <w:b/>
              <w:bCs/>
              <w:lang w:val="zh-CN"/>
            </w:rPr>
            <w:fldChar w:fldCharType="end"/>
          </w:r>
        </w:p>
      </w:sdtContent>
    </w:sdt>
    <w:p w14:paraId="34FF9949">
      <w:pPr>
        <w:widowControl/>
        <w:jc w:val="left"/>
        <w:rPr>
          <w:rFonts w:ascii="宋体" w:hAnsi="宋体" w:eastAsia="宋体" w:cs="Arial"/>
          <w:b/>
          <w:bCs/>
          <w:sz w:val="36"/>
          <w:szCs w:val="36"/>
        </w:rPr>
      </w:pPr>
      <w:r>
        <w:rPr>
          <w:rFonts w:ascii="宋体" w:hAnsi="宋体" w:eastAsia="宋体" w:cs="Arial"/>
          <w:b/>
          <w:bCs/>
          <w:sz w:val="36"/>
          <w:szCs w:val="36"/>
        </w:rPr>
        <w:br w:type="page"/>
      </w:r>
    </w:p>
    <w:p w14:paraId="7C3A0338">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3AFAE1C1">
      <w:pPr>
        <w:jc w:val="center"/>
        <w:rPr>
          <w:rFonts w:ascii="仿宋_GB2312"/>
          <w:szCs w:val="30"/>
        </w:rPr>
      </w:pPr>
    </w:p>
    <w:p w14:paraId="0CA4A192">
      <w:pPr>
        <w:pStyle w:val="7"/>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508962FE">
      <w:pPr>
        <w:pStyle w:val="8"/>
        <w:spacing w:line="360" w:lineRule="auto"/>
        <w:rPr>
          <w:rFonts w:ascii="仿宋_GB2312" w:eastAsia="仿宋_GB2312"/>
          <w:b w:val="0"/>
          <w:bCs w:val="0"/>
        </w:rPr>
      </w:pPr>
      <w:bookmarkStart w:id="1" w:name="_Toc68703828"/>
      <w:r>
        <w:rPr>
          <w:rFonts w:hint="eastAsia" w:ascii="仿宋_GB2312" w:eastAsia="仿宋_GB2312"/>
          <w:b w:val="0"/>
          <w:bCs w:val="0"/>
        </w:rPr>
        <w:t>（一）项目概况。</w:t>
      </w:r>
      <w:bookmarkEnd w:id="1"/>
    </w:p>
    <w:p w14:paraId="23C5EB92">
      <w:pPr>
        <w:numPr>
          <w:ilvl w:val="0"/>
          <w:numId w:val="1"/>
        </w:numPr>
        <w:spacing w:line="360" w:lineRule="auto"/>
        <w:ind w:firstLine="600" w:firstLineChars="200"/>
      </w:pPr>
      <w:r>
        <w:rPr>
          <w:rFonts w:hint="eastAsia" w:ascii="仿宋_GB2312"/>
        </w:rPr>
        <w:t>项目背景</w:t>
      </w:r>
    </w:p>
    <w:p w14:paraId="56A7B8B8">
      <w:pPr>
        <w:pStyle w:val="15"/>
        <w:ind w:firstLine="600" w:firstLineChars="200"/>
        <w:jc w:val="both"/>
        <w:rPr>
          <w:rFonts w:hint="eastAsia" w:ascii="Times New Roman" w:hAnsi="Times New Roman" w:eastAsia="仿宋_GB2312" w:cs="Times New Roman"/>
          <w:b w:val="0"/>
          <w:bCs w:val="0"/>
          <w:kern w:val="2"/>
          <w:sz w:val="30"/>
          <w:szCs w:val="24"/>
          <w:lang w:val="en-US" w:eastAsia="zh-CN" w:bidi="ar-SA"/>
        </w:rPr>
      </w:pPr>
      <w:r>
        <w:rPr>
          <w:rFonts w:hint="eastAsia" w:ascii="仿宋_GB2312" w:hAnsi="Times New Roman" w:eastAsia="仿宋_GB2312" w:cs="Times New Roman"/>
          <w:b w:val="0"/>
          <w:bCs w:val="0"/>
          <w:kern w:val="2"/>
          <w:sz w:val="30"/>
          <w:szCs w:val="24"/>
          <w:lang w:val="en-US" w:eastAsia="zh-CN" w:bidi="ar-SA"/>
        </w:rPr>
        <w:t>根据（巴财建[2021]105号）文件，查汗采开乡莫哈尔苏木村现有组织活动场所过于老旧，已不能满足使用要求，村农民办事存在各种维稳及安全隐患。新建查乡莫村村级组织活动场所建设项目，对于维稳及规范化管理有积极作用，能够全面提升镇村生态环境、基础设施、公共服务、社会治理等建设水平，对生产生活方式、村庄面貌和村民风貌带来巨大变化，满足群众对美好生活的迫切需求。</w:t>
      </w:r>
    </w:p>
    <w:p w14:paraId="24C653BB">
      <w:pPr>
        <w:spacing w:line="360" w:lineRule="auto"/>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14:paraId="66CBA8E6">
      <w:pPr>
        <w:spacing w:line="360" w:lineRule="auto"/>
        <w:ind w:firstLine="600" w:firstLineChars="200"/>
        <w:rPr>
          <w:rFonts w:hint="eastAsia" w:ascii="仿宋_GB2312" w:cs="Times New Roman"/>
          <w:b w:val="0"/>
          <w:bCs w:val="0"/>
          <w:kern w:val="2"/>
          <w:sz w:val="30"/>
          <w:szCs w:val="24"/>
          <w:lang w:val="en-US" w:eastAsia="zh-CN" w:bidi="ar-SA"/>
        </w:rPr>
      </w:pPr>
      <w:r>
        <w:rPr>
          <w:rFonts w:hint="eastAsia" w:ascii="仿宋_GB2312"/>
        </w:rPr>
        <w:t>主要内容：</w:t>
      </w:r>
      <w:r>
        <w:rPr>
          <w:rFonts w:hint="eastAsia" w:ascii="仿宋_GB2312" w:cs="Times New Roman"/>
          <w:b w:val="0"/>
          <w:bCs w:val="0"/>
          <w:kern w:val="2"/>
          <w:sz w:val="30"/>
          <w:szCs w:val="24"/>
          <w:highlight w:val="none"/>
          <w:lang w:val="en-US" w:eastAsia="zh-CN" w:bidi="ar-SA"/>
        </w:rPr>
        <w:t>计划在查汗采开乡莫哈尔苏木村建设建筑面积约820平方米的组织活动场所，提高基层人民群众的支持和拥护，使活动场所建设工作顺利进行。</w:t>
      </w:r>
    </w:p>
    <w:p w14:paraId="4EA438A4">
      <w:pPr>
        <w:spacing w:line="360" w:lineRule="auto"/>
        <w:ind w:firstLine="600" w:firstLineChars="200"/>
        <w:rPr>
          <w:rFonts w:hint="default" w:ascii="仿宋_GB2312" w:hAnsi="Times New Roman" w:eastAsia="仿宋_GB2312" w:cs="Times New Roman"/>
          <w:b w:val="0"/>
          <w:bCs w:val="0"/>
          <w:kern w:val="2"/>
          <w:sz w:val="30"/>
          <w:szCs w:val="24"/>
          <w:lang w:val="en-US" w:eastAsia="zh-CN" w:bidi="ar-SA"/>
        </w:rPr>
      </w:pPr>
      <w:r>
        <w:rPr>
          <w:rFonts w:hint="eastAsia" w:ascii="仿宋_GB2312"/>
        </w:rPr>
        <w:t>实施情况：</w:t>
      </w:r>
      <w:r>
        <w:rPr>
          <w:rFonts w:hint="eastAsia" w:ascii="仿宋_GB2312"/>
          <w:lang w:val="en-US" w:eastAsia="zh-CN"/>
        </w:rPr>
        <w:t>按照村级组织活动场所建设两年规划，建筑面积为820平方米，实际总投资额为60万元</w:t>
      </w:r>
      <w:r>
        <w:rPr>
          <w:rFonts w:hint="eastAsia" w:ascii="仿宋_GB2312" w:eastAsia="仿宋_GB2312"/>
          <w:sz w:val="32"/>
          <w:szCs w:val="32"/>
        </w:rPr>
        <w:t>。</w:t>
      </w:r>
      <w:r>
        <w:rPr>
          <w:rFonts w:hint="eastAsia" w:ascii="仿宋_GB2312"/>
          <w:sz w:val="32"/>
          <w:szCs w:val="32"/>
          <w:lang w:val="en-US" w:eastAsia="zh-CN"/>
        </w:rPr>
        <w:t>2022年开工，2023年12月完工，现已验收，全部投入使用。办公场所的建成，进一步改善了村级组织办公环境和条件，收到良好的社会反响。</w:t>
      </w:r>
    </w:p>
    <w:p w14:paraId="3AF64A5D">
      <w:pPr>
        <w:spacing w:line="360" w:lineRule="auto"/>
        <w:ind w:firstLine="600" w:firstLineChars="200"/>
        <w:rPr>
          <w:rFonts w:ascii="仿宋_GB2312"/>
        </w:rPr>
      </w:pPr>
      <w:r>
        <w:rPr>
          <w:rFonts w:hint="eastAsia" w:ascii="仿宋_GB2312"/>
          <w:lang w:val="en-US" w:eastAsia="zh-CN"/>
        </w:rPr>
        <w:t>3</w:t>
      </w:r>
      <w:r>
        <w:rPr>
          <w:rFonts w:hint="eastAsia" w:ascii="仿宋_GB2312"/>
        </w:rPr>
        <w:t>、资金投入和使用情况</w:t>
      </w:r>
    </w:p>
    <w:p w14:paraId="4B43BB5E">
      <w:pPr>
        <w:spacing w:line="360" w:lineRule="auto"/>
        <w:ind w:firstLine="600" w:firstLineChars="200"/>
        <w:rPr>
          <w:color w:val="FF0000"/>
        </w:rPr>
      </w:pPr>
      <w:r>
        <w:rPr>
          <w:rFonts w:hint="eastAsia"/>
        </w:rPr>
        <w:t>资金投入情况：该项目年初预算数</w:t>
      </w:r>
      <w:r>
        <w:rPr>
          <w:rFonts w:hint="eastAsia"/>
          <w:lang w:val="en-US" w:eastAsia="zh-CN"/>
        </w:rPr>
        <w:t>60</w:t>
      </w:r>
      <w:r>
        <w:rPr>
          <w:rFonts w:hint="eastAsia"/>
        </w:rPr>
        <w:t>万元，全年预算数</w:t>
      </w:r>
      <w:r>
        <w:rPr>
          <w:rFonts w:hint="eastAsia"/>
          <w:lang w:val="en-US" w:eastAsia="zh-CN"/>
        </w:rPr>
        <w:t>60</w:t>
      </w:r>
      <w:r>
        <w:rPr>
          <w:rFonts w:hint="eastAsia"/>
        </w:rPr>
        <w:t>万元，实际总投入</w:t>
      </w:r>
      <w:r>
        <w:rPr>
          <w:rFonts w:hint="eastAsia"/>
          <w:lang w:val="en-US" w:eastAsia="zh-CN"/>
        </w:rPr>
        <w:t>60</w:t>
      </w:r>
      <w:r>
        <w:rPr>
          <w:rFonts w:hint="eastAsia"/>
        </w:rPr>
        <w:t>万元，该项目资金已全部落实到位，资金来源为</w:t>
      </w:r>
      <w:r>
        <w:rPr>
          <w:rFonts w:hint="eastAsia"/>
          <w:lang w:val="en-US" w:eastAsia="zh-CN"/>
        </w:rPr>
        <w:t>本级</w:t>
      </w:r>
      <w:r>
        <w:rPr>
          <w:rFonts w:hint="eastAsia"/>
          <w:lang w:eastAsia="zh-CN"/>
        </w:rPr>
        <w:t>财政拨款</w:t>
      </w:r>
      <w:r>
        <w:rPr>
          <w:rFonts w:hint="eastAsia"/>
        </w:rPr>
        <w:t>。</w:t>
      </w:r>
    </w:p>
    <w:p w14:paraId="6E2E038D">
      <w:pPr>
        <w:spacing w:line="360" w:lineRule="auto"/>
        <w:ind w:firstLine="600" w:firstLineChars="200"/>
        <w:rPr>
          <w:rFonts w:hint="eastAsia"/>
        </w:rPr>
      </w:pPr>
      <w:r>
        <w:rPr>
          <w:rFonts w:hint="eastAsia"/>
        </w:rPr>
        <w:t>资金使用情况：该项目年初预算数</w:t>
      </w:r>
      <w:r>
        <w:rPr>
          <w:rFonts w:hint="eastAsia"/>
          <w:lang w:val="en-US" w:eastAsia="zh-CN"/>
        </w:rPr>
        <w:t>60</w:t>
      </w:r>
      <w:r>
        <w:rPr>
          <w:rFonts w:hint="eastAsia"/>
        </w:rPr>
        <w:t>万元，全年预算数</w:t>
      </w:r>
      <w:r>
        <w:rPr>
          <w:rFonts w:hint="eastAsia"/>
          <w:lang w:val="en-US" w:eastAsia="zh-CN"/>
        </w:rPr>
        <w:t>60</w:t>
      </w:r>
      <w:r>
        <w:rPr>
          <w:rFonts w:hint="eastAsia"/>
        </w:rPr>
        <w:t>万元，全年执行数</w:t>
      </w:r>
      <w:r>
        <w:rPr>
          <w:rFonts w:hint="eastAsia"/>
          <w:lang w:val="en-US" w:eastAsia="zh-CN"/>
        </w:rPr>
        <w:t>60</w:t>
      </w:r>
      <w:r>
        <w:rPr>
          <w:rFonts w:hint="eastAsia"/>
        </w:rPr>
        <w:t>万元，预算执行率为</w:t>
      </w:r>
      <w:r>
        <w:rPr>
          <w:rFonts w:hint="eastAsia"/>
          <w:lang w:val="en-US" w:eastAsia="zh-CN"/>
        </w:rPr>
        <w:t>100</w:t>
      </w:r>
      <w:r>
        <w:rPr>
          <w:rFonts w:hint="eastAsia"/>
        </w:rPr>
        <w:t>%，用于：查乡莫村村级组织活动场所建设项目</w:t>
      </w:r>
      <w:r>
        <w:rPr>
          <w:rFonts w:hint="eastAsia"/>
          <w:lang w:val="en-US" w:eastAsia="zh-CN"/>
        </w:rPr>
        <w:t>资金60万元</w:t>
      </w:r>
      <w:r>
        <w:rPr>
          <w:rFonts w:hint="eastAsia"/>
        </w:rPr>
        <w:t>。</w:t>
      </w:r>
    </w:p>
    <w:p w14:paraId="69B02658">
      <w:pPr>
        <w:pStyle w:val="8"/>
        <w:spacing w:line="360" w:lineRule="auto"/>
        <w:ind w:firstLine="640" w:firstLineChars="200"/>
        <w:rPr>
          <w:rFonts w:ascii="仿宋_GB2312" w:eastAsia="仿宋_GB2312"/>
          <w:b w:val="0"/>
          <w:bCs w:val="0"/>
        </w:rPr>
      </w:pPr>
      <w:bookmarkStart w:id="2" w:name="_Toc68703829"/>
      <w:r>
        <w:rPr>
          <w:rFonts w:hint="eastAsia" w:ascii="仿宋_GB2312" w:eastAsia="仿宋_GB2312"/>
          <w:b w:val="0"/>
          <w:bCs w:val="0"/>
        </w:rPr>
        <w:t>（二）项目绩效目标。</w:t>
      </w:r>
      <w:bookmarkEnd w:id="2"/>
    </w:p>
    <w:p w14:paraId="5B7313B4">
      <w:pPr>
        <w:spacing w:line="360" w:lineRule="auto"/>
        <w:ind w:firstLine="600" w:firstLineChars="200"/>
        <w:rPr>
          <w:rFonts w:hint="eastAsia"/>
        </w:rPr>
      </w:pPr>
      <w:r>
        <w:rPr>
          <w:rFonts w:hint="eastAsia"/>
          <w:lang w:val="en-US" w:eastAsia="zh-CN"/>
        </w:rPr>
        <w:t>1、</w:t>
      </w:r>
      <w:r>
        <w:rPr>
          <w:rFonts w:hint="eastAsia"/>
        </w:rPr>
        <w:t>总体目标：</w:t>
      </w:r>
      <w:r>
        <w:rPr>
          <w:rFonts w:hint="eastAsia" w:ascii="仿宋_GB2312" w:cs="Times New Roman"/>
          <w:b w:val="0"/>
          <w:bCs w:val="0"/>
          <w:kern w:val="2"/>
          <w:sz w:val="30"/>
          <w:szCs w:val="24"/>
          <w:lang w:val="en-US" w:eastAsia="zh-CN" w:bidi="ar-SA"/>
        </w:rPr>
        <w:t>通过该项目实施，解决全乡</w:t>
      </w:r>
      <w:r>
        <w:rPr>
          <w:rFonts w:hint="eastAsia" w:ascii="仿宋_GB2312" w:cs="Times New Roman"/>
          <w:b w:val="0"/>
          <w:bCs w:val="0"/>
          <w:kern w:val="2"/>
          <w:sz w:val="30"/>
          <w:szCs w:val="24"/>
          <w:highlight w:val="none"/>
          <w:lang w:val="en-US" w:eastAsia="zh-CN" w:bidi="ar-SA"/>
        </w:rPr>
        <w:t>村民办事问题，</w:t>
      </w:r>
      <w:r>
        <w:rPr>
          <w:rFonts w:hint="eastAsia" w:ascii="仿宋_GB2312" w:cs="Times New Roman"/>
          <w:b w:val="0"/>
          <w:bCs w:val="0"/>
          <w:kern w:val="2"/>
          <w:sz w:val="30"/>
          <w:szCs w:val="24"/>
          <w:lang w:val="en-US" w:eastAsia="zh-CN" w:bidi="ar-SA"/>
        </w:rPr>
        <w:t>极大改变村容村貌和生活环境，推进农民家庭环境、生活条件大幅提升，极大增强村民获得感、幸福感。同时产生利益联结，提高脱贫户、低收入群体收入，推动乡域社会经济高质量发展。</w:t>
      </w:r>
    </w:p>
    <w:p w14:paraId="12CBAF95">
      <w:pPr>
        <w:numPr>
          <w:ilvl w:val="0"/>
          <w:numId w:val="0"/>
        </w:numPr>
        <w:spacing w:line="360" w:lineRule="auto"/>
        <w:ind w:firstLine="600" w:firstLineChars="200"/>
        <w:rPr>
          <w:rFonts w:hint="eastAsia"/>
        </w:rPr>
      </w:pPr>
      <w:r>
        <w:rPr>
          <w:rFonts w:hint="eastAsia"/>
        </w:rPr>
        <w:t>2、阶段性目标：</w:t>
      </w:r>
    </w:p>
    <w:p w14:paraId="40C0594D">
      <w:pPr>
        <w:spacing w:line="360" w:lineRule="auto"/>
        <w:ind w:firstLine="600" w:firstLineChars="200"/>
        <w:rPr>
          <w:rFonts w:hint="eastAsia" w:ascii="仿宋_GB2312" w:cs="Times New Roman"/>
          <w:b w:val="0"/>
          <w:bCs w:val="0"/>
          <w:kern w:val="2"/>
          <w:sz w:val="30"/>
          <w:szCs w:val="24"/>
          <w:highlight w:val="none"/>
          <w:lang w:val="en-US" w:eastAsia="zh-CN" w:bidi="ar-SA"/>
        </w:rPr>
      </w:pPr>
      <w:r>
        <w:rPr>
          <w:rFonts w:hint="eastAsia" w:ascii="仿宋_GB2312" w:cs="Times New Roman"/>
          <w:b w:val="0"/>
          <w:bCs w:val="0"/>
          <w:kern w:val="2"/>
          <w:sz w:val="30"/>
          <w:szCs w:val="24"/>
          <w:highlight w:val="none"/>
          <w:lang w:val="en-US" w:eastAsia="zh-CN" w:bidi="ar-SA"/>
        </w:rPr>
        <w:t>阶段一：改善外部设施，包括围墙、门窗的翻新和更换，庭院绿化</w:t>
      </w:r>
      <w:bookmarkStart w:id="23" w:name="_GoBack"/>
      <w:bookmarkEnd w:id="23"/>
      <w:r>
        <w:rPr>
          <w:rFonts w:hint="eastAsia" w:ascii="仿宋_GB2312" w:cs="Times New Roman"/>
          <w:b w:val="0"/>
          <w:bCs w:val="0"/>
          <w:kern w:val="2"/>
          <w:sz w:val="30"/>
          <w:szCs w:val="24"/>
          <w:highlight w:val="none"/>
          <w:lang w:val="en-US" w:eastAsia="zh-CN" w:bidi="ar-SA"/>
        </w:rPr>
        <w:t>以及公开栏的设置和维护。</w:t>
      </w:r>
    </w:p>
    <w:p w14:paraId="56EB76BB">
      <w:pPr>
        <w:spacing w:line="360" w:lineRule="auto"/>
        <w:ind w:firstLine="600" w:firstLineChars="200"/>
        <w:rPr>
          <w:rFonts w:hint="default" w:ascii="仿宋_GB2312" w:cs="Times New Roman"/>
          <w:b w:val="0"/>
          <w:bCs w:val="0"/>
          <w:kern w:val="2"/>
          <w:sz w:val="30"/>
          <w:szCs w:val="24"/>
          <w:highlight w:val="none"/>
          <w:lang w:val="en-US" w:eastAsia="zh-CN" w:bidi="ar-SA"/>
        </w:rPr>
      </w:pPr>
      <w:r>
        <w:rPr>
          <w:rFonts w:hint="eastAsia" w:ascii="仿宋_GB2312" w:cs="Times New Roman"/>
          <w:b w:val="0"/>
          <w:bCs w:val="0"/>
          <w:kern w:val="2"/>
          <w:sz w:val="30"/>
          <w:szCs w:val="24"/>
          <w:highlight w:val="none"/>
          <w:lang w:val="en-US" w:eastAsia="zh-CN" w:bidi="ar-SA"/>
        </w:rPr>
        <w:t>阶段二：改善内部设施，包括各办公室的设置和装备，确保有足够的空间和设施支持各项活动。</w:t>
      </w:r>
    </w:p>
    <w:p w14:paraId="3A26E5A7">
      <w:pPr>
        <w:pStyle w:val="7"/>
        <w:spacing w:line="360" w:lineRule="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281D6A56">
      <w:pPr>
        <w:pStyle w:val="8"/>
        <w:spacing w:line="360" w:lineRule="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14:paraId="265E9F67">
      <w:pPr>
        <w:spacing w:line="360" w:lineRule="auto"/>
      </w:pPr>
      <w:r>
        <w:rPr>
          <w:rFonts w:hint="eastAsia"/>
        </w:rPr>
        <w:t>1、绩效评价目的：</w:t>
      </w:r>
    </w:p>
    <w:p w14:paraId="2869310A">
      <w:pPr>
        <w:spacing w:line="360" w:lineRule="auto"/>
        <w:ind w:firstLine="600" w:firstLineChars="200"/>
        <w:jc w:val="left"/>
        <w:rPr>
          <w:rFonts w:hint="eastAsia"/>
        </w:rPr>
      </w:pPr>
      <w:r>
        <w:rPr>
          <w:rFonts w:hint="eastAsia"/>
        </w:rPr>
        <w:t>通过绩效评价，客观地评判项目的管理绩效，了解和掌握查乡莫村村级组织活动场所建设项目的具体情况，评价该项目资金安排的科学性、合理性、规范性和资金的使用成效，及时总结项目管理经验，完善项目管理办法，提高项目管理水平和资金使用效益。促使我</w:t>
      </w:r>
      <w:r>
        <w:rPr>
          <w:rFonts w:hint="eastAsia"/>
          <w:lang w:val="en-US" w:eastAsia="zh-CN"/>
        </w:rPr>
        <w:t>乡</w:t>
      </w:r>
      <w:r>
        <w:rPr>
          <w:rFonts w:hint="eastAsia"/>
        </w:rPr>
        <w:t>根据绩效评价中发现的问题，认真加以整改，及时调整和完善单位的工作计划和绩效目标并加强项目管理，提高管理水平，同时为项目后续资金投入、分配和管理提供决策依据。</w:t>
      </w:r>
    </w:p>
    <w:p w14:paraId="28DD4E31">
      <w:pPr>
        <w:spacing w:line="360" w:lineRule="auto"/>
        <w:jc w:val="left"/>
      </w:pPr>
      <w:r>
        <w:rPr>
          <w:rFonts w:hint="eastAsia"/>
        </w:rPr>
        <w:t>2、绩效评价对象：</w:t>
      </w:r>
    </w:p>
    <w:p w14:paraId="407928AD">
      <w:pPr>
        <w:spacing w:line="360" w:lineRule="auto"/>
        <w:ind w:firstLine="600" w:firstLineChars="200"/>
        <w:jc w:val="left"/>
        <w:rPr>
          <w:rFonts w:hint="eastAsia"/>
        </w:rPr>
      </w:pPr>
      <w:r>
        <w:rPr>
          <w:rFonts w:hint="eastAsia"/>
        </w:rPr>
        <w:t>查乡莫村村级组织活动场所建设项目</w:t>
      </w:r>
    </w:p>
    <w:p w14:paraId="47593B43">
      <w:pPr>
        <w:spacing w:line="360" w:lineRule="auto"/>
      </w:pPr>
      <w:r>
        <w:rPr>
          <w:rFonts w:hint="eastAsia"/>
        </w:rPr>
        <w:t>3、绩效评价范围：</w:t>
      </w:r>
    </w:p>
    <w:p w14:paraId="651F24FE">
      <w:pPr>
        <w:spacing w:line="360" w:lineRule="auto"/>
        <w:ind w:firstLine="600" w:firstLineChars="200"/>
      </w:pPr>
      <w:r>
        <w:rPr>
          <w:rFonts w:hint="eastAsia"/>
        </w:rPr>
        <w:t>本次评价从项目决策（包括绩效目标、决策过程）、项目管理（包括项目资金、项目实施）、项目产出（包括项目产出数量、产出质量、产出时效和产出成本）项目效益四个维度进行查乡莫村村级组织活动场所建设项目评价，评价核心为专项资金的支出完成情况和效果。</w:t>
      </w:r>
    </w:p>
    <w:p w14:paraId="630EE426">
      <w:pPr>
        <w:pStyle w:val="8"/>
        <w:spacing w:line="360" w:lineRule="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14:paraId="48DA0085">
      <w:pPr>
        <w:spacing w:line="360" w:lineRule="auto"/>
        <w:ind w:firstLine="600" w:firstLineChars="200"/>
        <w:rPr>
          <w:rFonts w:hint="eastAsia"/>
        </w:rPr>
      </w:pPr>
      <w:r>
        <w:rPr>
          <w:rFonts w:hint="eastAsia"/>
        </w:rPr>
        <w:t>本次项目绩效评价遵循以下基本原则：</w:t>
      </w:r>
    </w:p>
    <w:p w14:paraId="6EC32D8F">
      <w:pPr>
        <w:spacing w:line="360" w:lineRule="auto"/>
        <w:ind w:firstLine="600" w:firstLineChars="200"/>
        <w:rPr>
          <w:rFonts w:hint="eastAsia"/>
        </w:rPr>
      </w:pPr>
      <w:r>
        <w:rPr>
          <w:rFonts w:hint="eastAsia"/>
        </w:rPr>
        <w:t>（一）科学公正。本次自评按照前期准备、组织实施、分析评价的程序进行，采取绩效自评，通过材料核查、问卷调查等方式，综合运用对比分析和单位各部门负责人评议等方法进行评价，确保评价过程及结果客观、公正。</w:t>
      </w:r>
    </w:p>
    <w:p w14:paraId="66A62E42">
      <w:pPr>
        <w:spacing w:line="360" w:lineRule="auto"/>
        <w:ind w:firstLine="600" w:firstLineChars="200"/>
        <w:rPr>
          <w:rFonts w:hint="eastAsia"/>
        </w:rPr>
      </w:pPr>
      <w:r>
        <w:rPr>
          <w:rFonts w:hint="eastAsia"/>
        </w:rPr>
        <w:t>（二）统筹兼顾。本次由</w:t>
      </w:r>
      <w:r>
        <w:rPr>
          <w:rFonts w:hint="eastAsia"/>
          <w:lang w:eastAsia="zh-CN"/>
        </w:rPr>
        <w:t>焉耆县</w:t>
      </w:r>
      <w:r>
        <w:rPr>
          <w:rFonts w:hint="eastAsia"/>
          <w:lang w:val="en-US" w:eastAsia="zh-CN"/>
        </w:rPr>
        <w:t>查汗采开人民政府</w:t>
      </w:r>
      <w:r>
        <w:rPr>
          <w:rFonts w:hint="eastAsia"/>
        </w:rPr>
        <w:t>主要领导负责召集各项目主管人员及项目执行部门召开项目自评会议，根据规范程序布置工作任务，统一自评标准，制定了项目绩效自评方案，分工明确，责任到人，确保绩效评价工作扎实、开展。</w:t>
      </w:r>
    </w:p>
    <w:p w14:paraId="1D3AE832">
      <w:pPr>
        <w:spacing w:line="360" w:lineRule="auto"/>
        <w:ind w:firstLine="600" w:firstLineChars="200"/>
        <w:rPr>
          <w:rFonts w:hint="eastAsia"/>
        </w:rPr>
      </w:pPr>
      <w:r>
        <w:rPr>
          <w:rFonts w:hint="eastAsia"/>
        </w:rPr>
        <w:t>（三）激励约束。绩效评价结果应与资金分配挂钩，建立健全评价结果与与财政预算资金分配挂钩，并作为改进管理、完善政策的重要依据，向上一年度绩效评价考核优秀的部门倾斜。</w:t>
      </w:r>
    </w:p>
    <w:p w14:paraId="16EBEB89">
      <w:pPr>
        <w:spacing w:line="360" w:lineRule="auto"/>
      </w:pPr>
      <w:r>
        <w:rPr>
          <w:rFonts w:hint="eastAsia"/>
        </w:rPr>
        <w:t>（四）公开透明。我单位绩效评价结束以后，将根据《政府信息公开条例》规定，自评结果在</w:t>
      </w:r>
      <w:r>
        <w:rPr>
          <w:rFonts w:hint="eastAsia"/>
          <w:lang w:eastAsia="zh-CN"/>
        </w:rPr>
        <w:t>焉耆县</w:t>
      </w:r>
      <w:r>
        <w:rPr>
          <w:rFonts w:hint="eastAsia"/>
        </w:rPr>
        <w:t>政府网站进行公开，广泛接受人民群众监督，接受社会各界监督，让公众全面了解政府绩效评价过程和评价结果。</w:t>
      </w:r>
    </w:p>
    <w:p w14:paraId="55E3D135">
      <w:pPr>
        <w:spacing w:line="360" w:lineRule="auto"/>
        <w:ind w:firstLine="600" w:firstLineChars="200"/>
        <w:rPr>
          <w:rFonts w:hint="eastAsia"/>
        </w:rPr>
      </w:pPr>
    </w:p>
    <w:p w14:paraId="42D69123">
      <w:pPr>
        <w:spacing w:line="360" w:lineRule="auto"/>
      </w:pPr>
      <w:r>
        <w:rPr>
          <w:rFonts w:hint="eastAsia"/>
        </w:rPr>
        <w:t>2、评价指标体系（附表说明）</w:t>
      </w:r>
    </w:p>
    <w:p w14:paraId="30000D4D">
      <w:pPr>
        <w:spacing w:line="360" w:lineRule="auto"/>
        <w:ind w:firstLine="600" w:firstLineChars="200"/>
        <w:jc w:val="center"/>
        <w:rPr>
          <w:rFonts w:hint="eastAsia"/>
        </w:rPr>
      </w:pPr>
      <w:r>
        <w:rPr>
          <w:rFonts w:hint="eastAsia"/>
        </w:rPr>
        <w:t>查乡莫村村级组织活动场所建设项目</w:t>
      </w:r>
    </w:p>
    <w:p w14:paraId="6C229ED8">
      <w:pPr>
        <w:spacing w:line="360" w:lineRule="auto"/>
        <w:ind w:firstLine="600" w:firstLineChars="200"/>
        <w:jc w:val="center"/>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rPr>
        <w:t>项目支出绩效评价指标体系</w:t>
      </w:r>
    </w:p>
    <w:p w14:paraId="7575AD4A">
      <w:pPr>
        <w:sectPr>
          <w:pgSz w:w="11906" w:h="16838"/>
          <w:pgMar w:top="1928" w:right="1531" w:bottom="1701" w:left="1531" w:header="737" w:footer="851" w:gutter="0"/>
          <w:cols w:space="720" w:num="1"/>
          <w:docGrid w:type="lines" w:linePitch="408" w:charSpace="0"/>
        </w:sectPr>
      </w:pPr>
    </w:p>
    <w:tbl>
      <w:tblPr>
        <w:tblStyle w:val="16"/>
        <w:tblW w:w="1007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73"/>
        <w:gridCol w:w="1511"/>
        <w:gridCol w:w="1917"/>
        <w:gridCol w:w="3972"/>
        <w:gridCol w:w="1012"/>
        <w:gridCol w:w="893"/>
      </w:tblGrid>
      <w:tr w14:paraId="36D404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tblHeader/>
          <w:jc w:val="center"/>
        </w:trPr>
        <w:tc>
          <w:tcPr>
            <w:tcW w:w="773" w:type="dxa"/>
            <w:shd w:val="clear" w:color="auto" w:fill="FFFFFF"/>
            <w:vAlign w:val="center"/>
          </w:tcPr>
          <w:p w14:paraId="7F4EC37F">
            <w:pPr>
              <w:widowControl/>
              <w:spacing w:line="0" w:lineRule="atLeast"/>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511" w:type="dxa"/>
            <w:shd w:val="clear" w:color="auto" w:fill="FFFFFF"/>
            <w:vAlign w:val="center"/>
          </w:tcPr>
          <w:p w14:paraId="198274A2">
            <w:pPr>
              <w:widowControl/>
              <w:spacing w:line="0" w:lineRule="atLeast"/>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917" w:type="dxa"/>
            <w:tcBorders>
              <w:right w:val="single" w:color="auto" w:sz="4" w:space="0"/>
            </w:tcBorders>
            <w:shd w:val="clear" w:color="auto" w:fill="FFFFFF"/>
            <w:vAlign w:val="center"/>
          </w:tcPr>
          <w:p w14:paraId="58788458">
            <w:pPr>
              <w:widowControl/>
              <w:spacing w:line="0" w:lineRule="atLeast"/>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3972" w:type="dxa"/>
            <w:tcBorders>
              <w:right w:val="single" w:color="auto" w:sz="4" w:space="0"/>
            </w:tcBorders>
            <w:shd w:val="clear" w:color="auto" w:fill="FFFFFF"/>
          </w:tcPr>
          <w:p w14:paraId="1B9BE6CE">
            <w:pPr>
              <w:widowControl/>
              <w:spacing w:line="600" w:lineRule="auto"/>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1012" w:type="dxa"/>
            <w:tcBorders>
              <w:left w:val="single" w:color="auto" w:sz="4" w:space="0"/>
            </w:tcBorders>
            <w:shd w:val="clear" w:color="auto" w:fill="FFFFFF"/>
          </w:tcPr>
          <w:p w14:paraId="0F68D071">
            <w:pPr>
              <w:widowControl/>
              <w:spacing w:line="600" w:lineRule="auto"/>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分值</w:t>
            </w:r>
          </w:p>
        </w:tc>
        <w:tc>
          <w:tcPr>
            <w:tcW w:w="893" w:type="dxa"/>
            <w:shd w:val="clear" w:color="auto" w:fill="FFFFFF"/>
          </w:tcPr>
          <w:p w14:paraId="05EACF55">
            <w:pPr>
              <w:widowControl/>
              <w:spacing w:line="600" w:lineRule="auto"/>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得分</w:t>
            </w:r>
          </w:p>
        </w:tc>
      </w:tr>
      <w:tr w14:paraId="30861B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773" w:type="dxa"/>
            <w:vMerge w:val="restart"/>
            <w:shd w:val="clear" w:color="auto" w:fill="FFFFFF"/>
            <w:vAlign w:val="center"/>
          </w:tcPr>
          <w:p w14:paraId="2CEC74BC">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决策</w:t>
            </w:r>
          </w:p>
        </w:tc>
        <w:tc>
          <w:tcPr>
            <w:tcW w:w="1511" w:type="dxa"/>
            <w:vMerge w:val="restart"/>
            <w:shd w:val="clear" w:color="auto" w:fill="FFFFFF"/>
            <w:vAlign w:val="center"/>
          </w:tcPr>
          <w:p w14:paraId="329E7CB7">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项目立项　</w:t>
            </w:r>
          </w:p>
        </w:tc>
        <w:tc>
          <w:tcPr>
            <w:tcW w:w="1917" w:type="dxa"/>
            <w:tcBorders>
              <w:right w:val="single" w:color="auto" w:sz="4" w:space="0"/>
            </w:tcBorders>
            <w:shd w:val="clear" w:color="auto" w:fill="FFFFFF"/>
            <w:vAlign w:val="center"/>
          </w:tcPr>
          <w:p w14:paraId="3B19BAA6">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立项依据</w:t>
            </w:r>
          </w:p>
          <w:p w14:paraId="18DF78B3">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充分性</w:t>
            </w:r>
          </w:p>
        </w:tc>
        <w:tc>
          <w:tcPr>
            <w:tcW w:w="3972" w:type="dxa"/>
            <w:tcBorders>
              <w:right w:val="single" w:color="auto" w:sz="4" w:space="0"/>
            </w:tcBorders>
            <w:shd w:val="clear" w:color="auto" w:fill="FFFFFF"/>
            <w:vAlign w:val="center"/>
          </w:tcPr>
          <w:p w14:paraId="5450247E">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项目立项是否符合法律法规、相关政策、发展规划以及部门职责，用以反映和考核项目立项依据情况。</w:t>
            </w:r>
          </w:p>
        </w:tc>
        <w:tc>
          <w:tcPr>
            <w:tcW w:w="1012" w:type="dxa"/>
            <w:tcBorders>
              <w:left w:val="single" w:color="auto" w:sz="4" w:space="0"/>
            </w:tcBorders>
            <w:shd w:val="clear" w:color="auto" w:fill="FFFFFF"/>
          </w:tcPr>
          <w:p w14:paraId="4CFCA40A">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5</w:t>
            </w:r>
          </w:p>
        </w:tc>
        <w:tc>
          <w:tcPr>
            <w:tcW w:w="893" w:type="dxa"/>
            <w:tcBorders>
              <w:bottom w:val="single" w:color="auto" w:sz="4" w:space="0"/>
            </w:tcBorders>
            <w:shd w:val="clear" w:color="auto" w:fill="FFFFFF"/>
          </w:tcPr>
          <w:p w14:paraId="69C95AC6">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5</w:t>
            </w:r>
          </w:p>
        </w:tc>
      </w:tr>
      <w:tr w14:paraId="5B3BC6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773" w:type="dxa"/>
            <w:vMerge w:val="continue"/>
            <w:shd w:val="clear" w:color="auto" w:fill="FFFFFF"/>
            <w:vAlign w:val="center"/>
          </w:tcPr>
          <w:p w14:paraId="5860968A">
            <w:pPr>
              <w:spacing w:line="0" w:lineRule="atLeast"/>
              <w:jc w:val="center"/>
              <w:rPr>
                <w:rFonts w:hint="default" w:ascii="Times New Roman" w:hAnsi="Times New Roman" w:cs="Times New Roman"/>
                <w:color w:val="000000"/>
                <w:kern w:val="0"/>
                <w:sz w:val="22"/>
              </w:rPr>
            </w:pPr>
          </w:p>
        </w:tc>
        <w:tc>
          <w:tcPr>
            <w:tcW w:w="1511" w:type="dxa"/>
            <w:vMerge w:val="continue"/>
            <w:shd w:val="clear" w:color="auto" w:fill="FFFFFF"/>
            <w:vAlign w:val="center"/>
          </w:tcPr>
          <w:p w14:paraId="14A1A62B">
            <w:pPr>
              <w:widowControl/>
              <w:spacing w:line="0" w:lineRule="atLeast"/>
              <w:jc w:val="center"/>
              <w:rPr>
                <w:rFonts w:hint="default" w:ascii="Times New Roman" w:hAnsi="Times New Roman" w:cs="Times New Roman"/>
                <w:color w:val="000000"/>
                <w:kern w:val="0"/>
                <w:sz w:val="22"/>
              </w:rPr>
            </w:pPr>
          </w:p>
        </w:tc>
        <w:tc>
          <w:tcPr>
            <w:tcW w:w="1917" w:type="dxa"/>
            <w:tcBorders>
              <w:right w:val="single" w:color="auto" w:sz="4" w:space="0"/>
            </w:tcBorders>
            <w:shd w:val="clear" w:color="auto" w:fill="FFFFFF"/>
            <w:vAlign w:val="center"/>
          </w:tcPr>
          <w:p w14:paraId="3646EB8A">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立项程序</w:t>
            </w:r>
          </w:p>
          <w:p w14:paraId="0F94A0C1">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规范性</w:t>
            </w:r>
          </w:p>
        </w:tc>
        <w:tc>
          <w:tcPr>
            <w:tcW w:w="3972" w:type="dxa"/>
            <w:tcBorders>
              <w:right w:val="single" w:color="auto" w:sz="4" w:space="0"/>
            </w:tcBorders>
            <w:shd w:val="clear" w:color="auto" w:fill="FFFFFF"/>
            <w:vAlign w:val="center"/>
          </w:tcPr>
          <w:p w14:paraId="3223FD8B">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项目申请、设立过程是否符合相关要求，用以反映和考核项目立项的规范情况</w:t>
            </w:r>
          </w:p>
        </w:tc>
        <w:tc>
          <w:tcPr>
            <w:tcW w:w="1012" w:type="dxa"/>
            <w:tcBorders>
              <w:left w:val="single" w:color="auto" w:sz="4" w:space="0"/>
            </w:tcBorders>
            <w:shd w:val="clear" w:color="auto" w:fill="FFFFFF"/>
          </w:tcPr>
          <w:p w14:paraId="784BA371">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5</w:t>
            </w:r>
          </w:p>
        </w:tc>
        <w:tc>
          <w:tcPr>
            <w:tcW w:w="893" w:type="dxa"/>
            <w:shd w:val="clear" w:color="auto" w:fill="FFFFFF"/>
          </w:tcPr>
          <w:p w14:paraId="414EB640">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5</w:t>
            </w:r>
          </w:p>
        </w:tc>
      </w:tr>
      <w:tr w14:paraId="51D50F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773" w:type="dxa"/>
            <w:vMerge w:val="continue"/>
            <w:shd w:val="clear" w:color="auto" w:fill="FFFFFF"/>
            <w:vAlign w:val="center"/>
          </w:tcPr>
          <w:p w14:paraId="45AA09FC">
            <w:pPr>
              <w:spacing w:line="0" w:lineRule="atLeast"/>
              <w:jc w:val="center"/>
              <w:rPr>
                <w:rFonts w:hint="default" w:ascii="Times New Roman" w:hAnsi="Times New Roman" w:cs="Times New Roman"/>
                <w:color w:val="000000"/>
                <w:kern w:val="0"/>
                <w:sz w:val="22"/>
              </w:rPr>
            </w:pPr>
          </w:p>
        </w:tc>
        <w:tc>
          <w:tcPr>
            <w:tcW w:w="1511" w:type="dxa"/>
            <w:vMerge w:val="restart"/>
            <w:shd w:val="clear" w:color="auto" w:fill="FFFFFF"/>
            <w:vAlign w:val="center"/>
          </w:tcPr>
          <w:p w14:paraId="73664296">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绩效目标</w:t>
            </w:r>
          </w:p>
        </w:tc>
        <w:tc>
          <w:tcPr>
            <w:tcW w:w="1917" w:type="dxa"/>
            <w:tcBorders>
              <w:right w:val="single" w:color="auto" w:sz="4" w:space="0"/>
            </w:tcBorders>
            <w:shd w:val="clear" w:color="auto" w:fill="FFFFFF"/>
            <w:vAlign w:val="center"/>
          </w:tcPr>
          <w:p w14:paraId="59B2EEDC">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绩效目标</w:t>
            </w:r>
          </w:p>
          <w:p w14:paraId="012CF5F2">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合理性</w:t>
            </w:r>
          </w:p>
        </w:tc>
        <w:tc>
          <w:tcPr>
            <w:tcW w:w="3972" w:type="dxa"/>
            <w:tcBorders>
              <w:right w:val="single" w:color="auto" w:sz="4" w:space="0"/>
            </w:tcBorders>
            <w:shd w:val="clear" w:color="000000" w:fill="FFFFFF"/>
            <w:vAlign w:val="center"/>
          </w:tcPr>
          <w:p w14:paraId="738EE3DA">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项目所设定的绩效目标是否依据充分，是否符合客观实际，用以反映和考核项目绩效目标与项目实施的相符情况。</w:t>
            </w:r>
          </w:p>
        </w:tc>
        <w:tc>
          <w:tcPr>
            <w:tcW w:w="1012" w:type="dxa"/>
            <w:tcBorders>
              <w:left w:val="single" w:color="auto" w:sz="4" w:space="0"/>
            </w:tcBorders>
            <w:shd w:val="clear" w:color="000000" w:fill="FFFFFF"/>
          </w:tcPr>
          <w:p w14:paraId="2DF5316F">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2.5</w:t>
            </w:r>
          </w:p>
        </w:tc>
        <w:tc>
          <w:tcPr>
            <w:tcW w:w="893" w:type="dxa"/>
            <w:shd w:val="clear" w:color="000000" w:fill="FFFFFF"/>
          </w:tcPr>
          <w:p w14:paraId="71036CA8">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2.5</w:t>
            </w:r>
          </w:p>
        </w:tc>
      </w:tr>
      <w:tr w14:paraId="40A7D3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773" w:type="dxa"/>
            <w:vMerge w:val="continue"/>
            <w:shd w:val="clear" w:color="auto" w:fill="FFFFFF"/>
            <w:vAlign w:val="center"/>
          </w:tcPr>
          <w:p w14:paraId="70252859">
            <w:pPr>
              <w:widowControl/>
              <w:spacing w:line="0" w:lineRule="atLeast"/>
              <w:jc w:val="center"/>
              <w:rPr>
                <w:rFonts w:hint="default" w:ascii="Times New Roman" w:hAnsi="Times New Roman" w:cs="Times New Roman"/>
                <w:color w:val="000000"/>
                <w:kern w:val="0"/>
                <w:sz w:val="22"/>
              </w:rPr>
            </w:pPr>
          </w:p>
        </w:tc>
        <w:tc>
          <w:tcPr>
            <w:tcW w:w="1511" w:type="dxa"/>
            <w:vMerge w:val="continue"/>
            <w:shd w:val="clear" w:color="auto" w:fill="FFFFFF"/>
            <w:vAlign w:val="center"/>
          </w:tcPr>
          <w:p w14:paraId="69D5CAD8">
            <w:pPr>
              <w:widowControl/>
              <w:spacing w:line="0" w:lineRule="atLeast"/>
              <w:jc w:val="center"/>
              <w:rPr>
                <w:rFonts w:hint="default" w:ascii="Times New Roman" w:hAnsi="Times New Roman" w:cs="Times New Roman"/>
                <w:color w:val="000000"/>
                <w:kern w:val="0"/>
                <w:sz w:val="22"/>
              </w:rPr>
            </w:pPr>
          </w:p>
        </w:tc>
        <w:tc>
          <w:tcPr>
            <w:tcW w:w="1917" w:type="dxa"/>
            <w:tcBorders>
              <w:right w:val="single" w:color="auto" w:sz="4" w:space="0"/>
            </w:tcBorders>
            <w:shd w:val="clear" w:color="auto" w:fill="FFFFFF"/>
            <w:vAlign w:val="center"/>
          </w:tcPr>
          <w:p w14:paraId="60E08920">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绩效指标</w:t>
            </w:r>
          </w:p>
          <w:p w14:paraId="3BE8A61A">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明确性</w:t>
            </w:r>
          </w:p>
        </w:tc>
        <w:tc>
          <w:tcPr>
            <w:tcW w:w="3972" w:type="dxa"/>
            <w:tcBorders>
              <w:right w:val="single" w:color="auto" w:sz="4" w:space="0"/>
            </w:tcBorders>
            <w:shd w:val="clear" w:color="000000" w:fill="FFFFFF"/>
            <w:vAlign w:val="center"/>
          </w:tcPr>
          <w:p w14:paraId="49E97318">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依据绩效目标设定的绩效指标是否清晰、细化、可衡量等，用以反映和考核项目绩效目标的明细化情况。</w:t>
            </w:r>
          </w:p>
        </w:tc>
        <w:tc>
          <w:tcPr>
            <w:tcW w:w="1012" w:type="dxa"/>
            <w:tcBorders>
              <w:left w:val="single" w:color="auto" w:sz="4" w:space="0"/>
            </w:tcBorders>
            <w:shd w:val="clear" w:color="000000" w:fill="FFFFFF"/>
          </w:tcPr>
          <w:p w14:paraId="37A49EF9">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2.5</w:t>
            </w:r>
          </w:p>
        </w:tc>
        <w:tc>
          <w:tcPr>
            <w:tcW w:w="893" w:type="dxa"/>
            <w:tcBorders>
              <w:bottom w:val="single" w:color="auto" w:sz="4" w:space="0"/>
            </w:tcBorders>
            <w:shd w:val="clear" w:color="000000" w:fill="FFFFFF"/>
          </w:tcPr>
          <w:p w14:paraId="59EE1F24">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2.5</w:t>
            </w:r>
          </w:p>
        </w:tc>
      </w:tr>
      <w:tr w14:paraId="6E6F9E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773" w:type="dxa"/>
            <w:vMerge w:val="continue"/>
            <w:shd w:val="clear" w:color="auto" w:fill="FFFFFF"/>
            <w:vAlign w:val="center"/>
          </w:tcPr>
          <w:p w14:paraId="759A84B7">
            <w:pPr>
              <w:spacing w:line="0" w:lineRule="atLeast"/>
              <w:jc w:val="center"/>
              <w:rPr>
                <w:rFonts w:hint="default" w:ascii="Times New Roman" w:hAnsi="Times New Roman" w:cs="Times New Roman"/>
                <w:color w:val="000000"/>
                <w:kern w:val="0"/>
                <w:sz w:val="22"/>
              </w:rPr>
            </w:pPr>
          </w:p>
        </w:tc>
        <w:tc>
          <w:tcPr>
            <w:tcW w:w="1511" w:type="dxa"/>
            <w:vMerge w:val="restart"/>
            <w:shd w:val="clear" w:color="auto" w:fill="FFFFFF"/>
            <w:vAlign w:val="center"/>
          </w:tcPr>
          <w:p w14:paraId="3AD2605C">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资金投入</w:t>
            </w:r>
          </w:p>
          <w:p w14:paraId="69F4FD1D">
            <w:pPr>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　</w:t>
            </w:r>
          </w:p>
        </w:tc>
        <w:tc>
          <w:tcPr>
            <w:tcW w:w="1917" w:type="dxa"/>
            <w:tcBorders>
              <w:right w:val="single" w:color="auto" w:sz="4" w:space="0"/>
            </w:tcBorders>
            <w:shd w:val="clear" w:color="auto" w:fill="FFFFFF"/>
            <w:vAlign w:val="center"/>
          </w:tcPr>
          <w:p w14:paraId="3248CAAF">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预算编制</w:t>
            </w:r>
          </w:p>
          <w:p w14:paraId="2D2C68A3">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科学性</w:t>
            </w:r>
          </w:p>
        </w:tc>
        <w:tc>
          <w:tcPr>
            <w:tcW w:w="3972" w:type="dxa"/>
            <w:tcBorders>
              <w:right w:val="single" w:color="auto" w:sz="4" w:space="0"/>
            </w:tcBorders>
            <w:shd w:val="clear" w:color="auto" w:fill="FFFFFF"/>
            <w:vAlign w:val="center"/>
          </w:tcPr>
          <w:p w14:paraId="4D04FBA2">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项目预算编制是否经过科学论证、有明确标准，资金额度与年度目标是否相适应，用以反映和考核项目预算编制的科学性、合理性情况。</w:t>
            </w:r>
          </w:p>
        </w:tc>
        <w:tc>
          <w:tcPr>
            <w:tcW w:w="1012" w:type="dxa"/>
            <w:tcBorders>
              <w:left w:val="single" w:color="auto" w:sz="4" w:space="0"/>
            </w:tcBorders>
            <w:shd w:val="clear" w:color="auto" w:fill="FFFFFF"/>
          </w:tcPr>
          <w:p w14:paraId="1414089A">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2.5</w:t>
            </w:r>
          </w:p>
        </w:tc>
        <w:tc>
          <w:tcPr>
            <w:tcW w:w="893" w:type="dxa"/>
            <w:tcBorders>
              <w:bottom w:val="single" w:color="auto" w:sz="4" w:space="0"/>
            </w:tcBorders>
            <w:shd w:val="clear" w:color="auto" w:fill="FFFFFF"/>
          </w:tcPr>
          <w:p w14:paraId="6FBE4A13">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2.5</w:t>
            </w:r>
          </w:p>
        </w:tc>
      </w:tr>
      <w:tr w14:paraId="22B68D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773" w:type="dxa"/>
            <w:vMerge w:val="continue"/>
            <w:shd w:val="clear" w:color="auto" w:fill="FFFFFF"/>
            <w:vAlign w:val="center"/>
          </w:tcPr>
          <w:p w14:paraId="1FBE8A88">
            <w:pPr>
              <w:widowControl/>
              <w:spacing w:line="0" w:lineRule="atLeast"/>
              <w:jc w:val="center"/>
              <w:rPr>
                <w:rFonts w:hint="default" w:ascii="Times New Roman" w:hAnsi="Times New Roman" w:cs="Times New Roman"/>
                <w:color w:val="000000"/>
                <w:kern w:val="0"/>
                <w:sz w:val="22"/>
              </w:rPr>
            </w:pPr>
          </w:p>
        </w:tc>
        <w:tc>
          <w:tcPr>
            <w:tcW w:w="1511" w:type="dxa"/>
            <w:vMerge w:val="continue"/>
            <w:shd w:val="clear" w:color="auto" w:fill="FFFFFF"/>
            <w:vAlign w:val="center"/>
          </w:tcPr>
          <w:p w14:paraId="1E906161">
            <w:pPr>
              <w:widowControl/>
              <w:spacing w:line="0" w:lineRule="atLeast"/>
              <w:jc w:val="center"/>
              <w:rPr>
                <w:rFonts w:hint="default" w:ascii="Times New Roman" w:hAnsi="Times New Roman" w:cs="Times New Roman"/>
                <w:color w:val="000000"/>
                <w:kern w:val="0"/>
                <w:sz w:val="22"/>
              </w:rPr>
            </w:pPr>
          </w:p>
        </w:tc>
        <w:tc>
          <w:tcPr>
            <w:tcW w:w="1917" w:type="dxa"/>
            <w:tcBorders>
              <w:right w:val="single" w:color="auto" w:sz="4" w:space="0"/>
            </w:tcBorders>
            <w:shd w:val="clear" w:color="auto" w:fill="FFFFFF"/>
            <w:vAlign w:val="center"/>
          </w:tcPr>
          <w:p w14:paraId="25F7F5FE">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资金分配</w:t>
            </w:r>
          </w:p>
          <w:p w14:paraId="57E8ECDB">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合理性</w:t>
            </w:r>
          </w:p>
        </w:tc>
        <w:tc>
          <w:tcPr>
            <w:tcW w:w="3972" w:type="dxa"/>
            <w:tcBorders>
              <w:right w:val="single" w:color="auto" w:sz="4" w:space="0"/>
            </w:tcBorders>
            <w:shd w:val="clear" w:color="auto" w:fill="FFFFFF"/>
            <w:vAlign w:val="center"/>
          </w:tcPr>
          <w:p w14:paraId="245E1D6F">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项目预算资金分配是否有测算依据，与补助单位或地方实际是否相适应，用以反映和考核项目预算资金分配的科学性、合理性情况。</w:t>
            </w:r>
          </w:p>
        </w:tc>
        <w:tc>
          <w:tcPr>
            <w:tcW w:w="1012" w:type="dxa"/>
            <w:tcBorders>
              <w:left w:val="single" w:color="auto" w:sz="4" w:space="0"/>
            </w:tcBorders>
            <w:shd w:val="clear" w:color="auto" w:fill="FFFFFF"/>
          </w:tcPr>
          <w:p w14:paraId="4C5A720F">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2.5</w:t>
            </w:r>
          </w:p>
        </w:tc>
        <w:tc>
          <w:tcPr>
            <w:tcW w:w="893" w:type="dxa"/>
            <w:shd w:val="clear" w:color="auto" w:fill="FFFFFF"/>
          </w:tcPr>
          <w:p w14:paraId="5DB14BAD">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2.5</w:t>
            </w:r>
          </w:p>
        </w:tc>
      </w:tr>
      <w:tr w14:paraId="3B87B8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773" w:type="dxa"/>
            <w:vMerge w:val="restart"/>
            <w:shd w:val="clear" w:color="auto" w:fill="FFFFFF"/>
            <w:vAlign w:val="center"/>
          </w:tcPr>
          <w:p w14:paraId="36670F7E">
            <w:pPr>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过程</w:t>
            </w:r>
          </w:p>
        </w:tc>
        <w:tc>
          <w:tcPr>
            <w:tcW w:w="1511" w:type="dxa"/>
            <w:vMerge w:val="restart"/>
            <w:shd w:val="clear" w:color="auto" w:fill="FFFFFF"/>
            <w:vAlign w:val="center"/>
          </w:tcPr>
          <w:p w14:paraId="2E8C7F8E">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资金管理</w:t>
            </w:r>
          </w:p>
        </w:tc>
        <w:tc>
          <w:tcPr>
            <w:tcW w:w="1917" w:type="dxa"/>
            <w:tcBorders>
              <w:right w:val="single" w:color="auto" w:sz="4" w:space="0"/>
            </w:tcBorders>
            <w:shd w:val="clear" w:color="auto" w:fill="FFFFFF"/>
            <w:vAlign w:val="center"/>
          </w:tcPr>
          <w:p w14:paraId="463718B4">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资金到位率</w:t>
            </w:r>
          </w:p>
        </w:tc>
        <w:tc>
          <w:tcPr>
            <w:tcW w:w="3972" w:type="dxa"/>
            <w:tcBorders>
              <w:right w:val="single" w:color="auto" w:sz="4" w:space="0"/>
            </w:tcBorders>
            <w:shd w:val="clear" w:color="000000" w:fill="FFFFFF"/>
            <w:vAlign w:val="center"/>
          </w:tcPr>
          <w:p w14:paraId="09323EF4">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实际到位资金与预算资金的比率，用以反映和考核资金落实情况对项目实施的总体保障程度。</w:t>
            </w:r>
          </w:p>
        </w:tc>
        <w:tc>
          <w:tcPr>
            <w:tcW w:w="1012" w:type="dxa"/>
            <w:tcBorders>
              <w:left w:val="single" w:color="auto" w:sz="4" w:space="0"/>
            </w:tcBorders>
            <w:shd w:val="clear" w:color="000000" w:fill="FFFFFF"/>
          </w:tcPr>
          <w:p w14:paraId="49E7B4F2">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4</w:t>
            </w:r>
          </w:p>
        </w:tc>
        <w:tc>
          <w:tcPr>
            <w:tcW w:w="893" w:type="dxa"/>
            <w:tcBorders>
              <w:bottom w:val="single" w:color="auto" w:sz="4" w:space="0"/>
            </w:tcBorders>
            <w:shd w:val="clear" w:color="000000" w:fill="FFFFFF"/>
          </w:tcPr>
          <w:p w14:paraId="162B2E26">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4</w:t>
            </w:r>
          </w:p>
        </w:tc>
      </w:tr>
      <w:tr w14:paraId="58E0C4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773" w:type="dxa"/>
            <w:vMerge w:val="continue"/>
            <w:shd w:val="clear" w:color="auto" w:fill="FFFFFF"/>
            <w:vAlign w:val="center"/>
          </w:tcPr>
          <w:p w14:paraId="6EDB2F53">
            <w:pPr>
              <w:spacing w:line="0" w:lineRule="atLeast"/>
              <w:jc w:val="center"/>
              <w:rPr>
                <w:rFonts w:hint="default" w:ascii="Times New Roman" w:hAnsi="Times New Roman" w:cs="Times New Roman"/>
                <w:color w:val="000000"/>
                <w:kern w:val="0"/>
                <w:sz w:val="22"/>
              </w:rPr>
            </w:pPr>
          </w:p>
        </w:tc>
        <w:tc>
          <w:tcPr>
            <w:tcW w:w="1511" w:type="dxa"/>
            <w:vMerge w:val="continue"/>
            <w:shd w:val="clear" w:color="auto" w:fill="FFFFFF"/>
            <w:vAlign w:val="center"/>
          </w:tcPr>
          <w:p w14:paraId="03F0FF6C">
            <w:pPr>
              <w:spacing w:line="0" w:lineRule="atLeast"/>
              <w:jc w:val="center"/>
              <w:rPr>
                <w:rFonts w:hint="default" w:ascii="Times New Roman" w:hAnsi="Times New Roman" w:cs="Times New Roman"/>
                <w:color w:val="000000"/>
                <w:kern w:val="0"/>
                <w:sz w:val="22"/>
              </w:rPr>
            </w:pPr>
          </w:p>
        </w:tc>
        <w:tc>
          <w:tcPr>
            <w:tcW w:w="1917" w:type="dxa"/>
            <w:tcBorders>
              <w:right w:val="single" w:color="auto" w:sz="4" w:space="0"/>
            </w:tcBorders>
            <w:shd w:val="clear" w:color="auto" w:fill="FFFFFF"/>
            <w:vAlign w:val="center"/>
          </w:tcPr>
          <w:p w14:paraId="19EEFC26">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预算执行率</w:t>
            </w:r>
          </w:p>
        </w:tc>
        <w:tc>
          <w:tcPr>
            <w:tcW w:w="3972" w:type="dxa"/>
            <w:tcBorders>
              <w:right w:val="single" w:color="auto" w:sz="4" w:space="0"/>
            </w:tcBorders>
            <w:shd w:val="clear" w:color="auto" w:fill="FFFFFF"/>
            <w:vAlign w:val="center"/>
          </w:tcPr>
          <w:p w14:paraId="615B0649">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项目预算资金是否按照计划执行，用以反映或考核项目预算执行情况</w:t>
            </w:r>
          </w:p>
        </w:tc>
        <w:tc>
          <w:tcPr>
            <w:tcW w:w="1012" w:type="dxa"/>
            <w:tcBorders>
              <w:left w:val="single" w:color="auto" w:sz="4" w:space="0"/>
            </w:tcBorders>
            <w:shd w:val="clear" w:color="auto" w:fill="FFFFFF"/>
          </w:tcPr>
          <w:p w14:paraId="7379E7D7">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4</w:t>
            </w:r>
          </w:p>
        </w:tc>
        <w:tc>
          <w:tcPr>
            <w:tcW w:w="893" w:type="dxa"/>
            <w:tcBorders>
              <w:bottom w:val="single" w:color="auto" w:sz="4" w:space="0"/>
            </w:tcBorders>
            <w:shd w:val="clear" w:color="auto" w:fill="FFFFFF"/>
          </w:tcPr>
          <w:p w14:paraId="72233A56">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4</w:t>
            </w:r>
          </w:p>
        </w:tc>
      </w:tr>
      <w:tr w14:paraId="7DF114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773" w:type="dxa"/>
            <w:vMerge w:val="continue"/>
            <w:shd w:val="clear" w:color="auto" w:fill="FFFFFF"/>
            <w:vAlign w:val="center"/>
          </w:tcPr>
          <w:p w14:paraId="408E41B7">
            <w:pPr>
              <w:spacing w:line="0" w:lineRule="atLeast"/>
              <w:jc w:val="center"/>
              <w:rPr>
                <w:rFonts w:hint="default" w:ascii="Times New Roman" w:hAnsi="Times New Roman" w:cs="Times New Roman"/>
                <w:color w:val="000000"/>
                <w:kern w:val="0"/>
                <w:sz w:val="22"/>
              </w:rPr>
            </w:pPr>
          </w:p>
        </w:tc>
        <w:tc>
          <w:tcPr>
            <w:tcW w:w="1511" w:type="dxa"/>
            <w:shd w:val="clear" w:color="auto" w:fill="FFFFFF"/>
            <w:vAlign w:val="center"/>
          </w:tcPr>
          <w:p w14:paraId="2870E809">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资金管理</w:t>
            </w:r>
          </w:p>
        </w:tc>
        <w:tc>
          <w:tcPr>
            <w:tcW w:w="1917" w:type="dxa"/>
            <w:tcBorders>
              <w:right w:val="single" w:color="auto" w:sz="4" w:space="0"/>
            </w:tcBorders>
            <w:shd w:val="clear" w:color="auto" w:fill="FFFFFF"/>
            <w:vAlign w:val="center"/>
          </w:tcPr>
          <w:p w14:paraId="415F5727">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资金使用</w:t>
            </w:r>
          </w:p>
          <w:p w14:paraId="6AE2CE67">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合规性</w:t>
            </w:r>
          </w:p>
        </w:tc>
        <w:tc>
          <w:tcPr>
            <w:tcW w:w="3972" w:type="dxa"/>
            <w:tcBorders>
              <w:right w:val="single" w:color="auto" w:sz="4" w:space="0"/>
            </w:tcBorders>
            <w:shd w:val="clear" w:color="000000" w:fill="FFFFFF"/>
            <w:vAlign w:val="center"/>
          </w:tcPr>
          <w:p w14:paraId="052A3321">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项目资金使用是否符合相关的财务管理制度规定，用以反映和考核项目资金的规范运行情况。</w:t>
            </w:r>
          </w:p>
        </w:tc>
        <w:tc>
          <w:tcPr>
            <w:tcW w:w="1012" w:type="dxa"/>
            <w:tcBorders>
              <w:left w:val="single" w:color="auto" w:sz="4" w:space="0"/>
            </w:tcBorders>
            <w:shd w:val="clear" w:color="000000" w:fill="FFFFFF"/>
          </w:tcPr>
          <w:p w14:paraId="7EC80540">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4</w:t>
            </w:r>
          </w:p>
        </w:tc>
        <w:tc>
          <w:tcPr>
            <w:tcW w:w="893" w:type="dxa"/>
            <w:tcBorders>
              <w:bottom w:val="single" w:color="auto" w:sz="4" w:space="0"/>
            </w:tcBorders>
            <w:shd w:val="clear" w:color="000000" w:fill="FFFFFF"/>
          </w:tcPr>
          <w:p w14:paraId="2FC0AF70">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4</w:t>
            </w:r>
          </w:p>
        </w:tc>
      </w:tr>
      <w:tr w14:paraId="799BCB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773" w:type="dxa"/>
            <w:vMerge w:val="continue"/>
            <w:shd w:val="clear" w:color="auto" w:fill="FFFFFF"/>
            <w:vAlign w:val="center"/>
          </w:tcPr>
          <w:p w14:paraId="4DDAC2F6">
            <w:pPr>
              <w:spacing w:line="0" w:lineRule="atLeast"/>
              <w:jc w:val="center"/>
              <w:rPr>
                <w:rFonts w:hint="default" w:ascii="Times New Roman" w:hAnsi="Times New Roman" w:cs="Times New Roman"/>
                <w:color w:val="000000"/>
                <w:kern w:val="0"/>
                <w:sz w:val="22"/>
              </w:rPr>
            </w:pPr>
          </w:p>
        </w:tc>
        <w:tc>
          <w:tcPr>
            <w:tcW w:w="1511" w:type="dxa"/>
            <w:vMerge w:val="restart"/>
            <w:shd w:val="clear" w:color="auto" w:fill="FFFFFF"/>
            <w:vAlign w:val="center"/>
          </w:tcPr>
          <w:p w14:paraId="28B43942">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组织实施</w:t>
            </w:r>
          </w:p>
          <w:p w14:paraId="02AC2ECF">
            <w:pPr>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　</w:t>
            </w:r>
          </w:p>
        </w:tc>
        <w:tc>
          <w:tcPr>
            <w:tcW w:w="1917" w:type="dxa"/>
            <w:tcBorders>
              <w:right w:val="single" w:color="auto" w:sz="4" w:space="0"/>
            </w:tcBorders>
            <w:shd w:val="clear" w:color="auto" w:fill="FFFFFF"/>
            <w:vAlign w:val="center"/>
          </w:tcPr>
          <w:p w14:paraId="66BBB51C">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管理制度</w:t>
            </w:r>
          </w:p>
          <w:p w14:paraId="5C9A450B">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健全性</w:t>
            </w:r>
          </w:p>
        </w:tc>
        <w:tc>
          <w:tcPr>
            <w:tcW w:w="3972" w:type="dxa"/>
            <w:tcBorders>
              <w:right w:val="single" w:color="auto" w:sz="4" w:space="0"/>
            </w:tcBorders>
            <w:shd w:val="clear" w:color="000000" w:fill="FFFFFF"/>
            <w:vAlign w:val="center"/>
          </w:tcPr>
          <w:p w14:paraId="1E7D70E5">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项目实施单位的财务和业务管理制度是否健全，用以反映和考核财务和业务管理制度对项目顺利实施的保障情况。</w:t>
            </w:r>
          </w:p>
        </w:tc>
        <w:tc>
          <w:tcPr>
            <w:tcW w:w="1012" w:type="dxa"/>
            <w:tcBorders>
              <w:left w:val="single" w:color="auto" w:sz="4" w:space="0"/>
            </w:tcBorders>
            <w:shd w:val="clear" w:color="000000" w:fill="FFFFFF"/>
          </w:tcPr>
          <w:p w14:paraId="4E38A0CD">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4</w:t>
            </w:r>
          </w:p>
        </w:tc>
        <w:tc>
          <w:tcPr>
            <w:tcW w:w="893" w:type="dxa"/>
            <w:tcBorders>
              <w:bottom w:val="single" w:color="auto" w:sz="4" w:space="0"/>
            </w:tcBorders>
            <w:shd w:val="clear" w:color="000000" w:fill="FFFFFF"/>
          </w:tcPr>
          <w:p w14:paraId="2754F789">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4</w:t>
            </w:r>
          </w:p>
        </w:tc>
      </w:tr>
      <w:tr w14:paraId="6D1D8B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773" w:type="dxa"/>
            <w:vMerge w:val="continue"/>
            <w:shd w:val="clear" w:color="auto" w:fill="FFFFFF"/>
            <w:vAlign w:val="center"/>
          </w:tcPr>
          <w:p w14:paraId="736200AA">
            <w:pPr>
              <w:widowControl/>
              <w:spacing w:line="0" w:lineRule="atLeast"/>
              <w:jc w:val="center"/>
              <w:rPr>
                <w:rFonts w:hint="default" w:ascii="Times New Roman" w:hAnsi="Times New Roman" w:cs="Times New Roman"/>
                <w:color w:val="000000"/>
                <w:kern w:val="0"/>
                <w:sz w:val="22"/>
              </w:rPr>
            </w:pPr>
          </w:p>
        </w:tc>
        <w:tc>
          <w:tcPr>
            <w:tcW w:w="1511" w:type="dxa"/>
            <w:vMerge w:val="continue"/>
            <w:shd w:val="clear" w:color="auto" w:fill="FFFFFF"/>
            <w:vAlign w:val="center"/>
          </w:tcPr>
          <w:p w14:paraId="3857ED70">
            <w:pPr>
              <w:widowControl/>
              <w:spacing w:line="0" w:lineRule="atLeast"/>
              <w:jc w:val="center"/>
              <w:rPr>
                <w:rFonts w:hint="default" w:ascii="Times New Roman" w:hAnsi="Times New Roman" w:cs="Times New Roman"/>
                <w:color w:val="000000"/>
                <w:kern w:val="0"/>
                <w:sz w:val="22"/>
              </w:rPr>
            </w:pPr>
          </w:p>
        </w:tc>
        <w:tc>
          <w:tcPr>
            <w:tcW w:w="1917" w:type="dxa"/>
            <w:tcBorders>
              <w:right w:val="single" w:color="auto" w:sz="4" w:space="0"/>
            </w:tcBorders>
            <w:shd w:val="clear" w:color="auto" w:fill="FFFFFF"/>
            <w:vAlign w:val="center"/>
          </w:tcPr>
          <w:p w14:paraId="632B9785">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制度执行</w:t>
            </w:r>
          </w:p>
          <w:p w14:paraId="5176EE32">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有效性</w:t>
            </w:r>
          </w:p>
        </w:tc>
        <w:tc>
          <w:tcPr>
            <w:tcW w:w="3972" w:type="dxa"/>
            <w:tcBorders>
              <w:right w:val="single" w:color="auto" w:sz="4" w:space="0"/>
            </w:tcBorders>
            <w:shd w:val="clear" w:color="000000" w:fill="FFFFFF"/>
            <w:vAlign w:val="center"/>
          </w:tcPr>
          <w:p w14:paraId="6279634D">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项目实施是否符合相关管理规定，用以反映和考核相关管理制度的有效执行情况。</w:t>
            </w:r>
          </w:p>
        </w:tc>
        <w:tc>
          <w:tcPr>
            <w:tcW w:w="1012" w:type="dxa"/>
            <w:tcBorders>
              <w:left w:val="single" w:color="auto" w:sz="4" w:space="0"/>
            </w:tcBorders>
            <w:shd w:val="clear" w:color="000000" w:fill="FFFFFF"/>
          </w:tcPr>
          <w:p w14:paraId="035AB67F">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4</w:t>
            </w:r>
          </w:p>
        </w:tc>
        <w:tc>
          <w:tcPr>
            <w:tcW w:w="893" w:type="dxa"/>
            <w:tcBorders>
              <w:bottom w:val="single" w:color="auto" w:sz="4" w:space="0"/>
            </w:tcBorders>
            <w:shd w:val="clear" w:color="000000" w:fill="FFFFFF"/>
          </w:tcPr>
          <w:p w14:paraId="046495B8">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4</w:t>
            </w:r>
          </w:p>
        </w:tc>
      </w:tr>
      <w:tr w14:paraId="3C9830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773" w:type="dxa"/>
            <w:vMerge w:val="restart"/>
            <w:shd w:val="clear" w:color="auto" w:fill="FFFFFF"/>
            <w:vAlign w:val="center"/>
          </w:tcPr>
          <w:p w14:paraId="5D3D8805">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产出</w:t>
            </w:r>
          </w:p>
        </w:tc>
        <w:tc>
          <w:tcPr>
            <w:tcW w:w="1511" w:type="dxa"/>
            <w:shd w:val="clear" w:color="auto" w:fill="FFFFFF"/>
            <w:vAlign w:val="center"/>
          </w:tcPr>
          <w:p w14:paraId="394F5747">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产出数量</w:t>
            </w:r>
          </w:p>
        </w:tc>
        <w:tc>
          <w:tcPr>
            <w:tcW w:w="1917" w:type="dxa"/>
            <w:tcBorders>
              <w:right w:val="single" w:color="auto" w:sz="4" w:space="0"/>
            </w:tcBorders>
            <w:shd w:val="clear" w:color="auto" w:fill="FFFFFF"/>
            <w:vAlign w:val="center"/>
          </w:tcPr>
          <w:p w14:paraId="52FA3B89">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实际完成率</w:t>
            </w:r>
          </w:p>
        </w:tc>
        <w:tc>
          <w:tcPr>
            <w:tcW w:w="3972" w:type="dxa"/>
            <w:tcBorders>
              <w:right w:val="single" w:color="auto" w:sz="4" w:space="0"/>
            </w:tcBorders>
            <w:shd w:val="clear" w:color="000000" w:fill="FFFFFF"/>
            <w:vAlign w:val="center"/>
          </w:tcPr>
          <w:p w14:paraId="0CBE0081">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项目实施的实际产出数与计划产出数的比率，用以反映和考核项目产出数量目标的实现程度。</w:t>
            </w:r>
          </w:p>
        </w:tc>
        <w:tc>
          <w:tcPr>
            <w:tcW w:w="1012" w:type="dxa"/>
            <w:tcBorders>
              <w:left w:val="single" w:color="auto" w:sz="4" w:space="0"/>
            </w:tcBorders>
            <w:shd w:val="clear" w:color="000000" w:fill="FFFFFF"/>
          </w:tcPr>
          <w:p w14:paraId="3F0A6AB5">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10</w:t>
            </w:r>
          </w:p>
        </w:tc>
        <w:tc>
          <w:tcPr>
            <w:tcW w:w="893" w:type="dxa"/>
            <w:shd w:val="clear" w:color="000000" w:fill="FFFFFF"/>
          </w:tcPr>
          <w:p w14:paraId="150756A7">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10</w:t>
            </w:r>
          </w:p>
        </w:tc>
      </w:tr>
      <w:tr w14:paraId="340272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773" w:type="dxa"/>
            <w:vMerge w:val="continue"/>
            <w:shd w:val="clear" w:color="auto" w:fill="FFFFFF"/>
            <w:vAlign w:val="center"/>
          </w:tcPr>
          <w:p w14:paraId="34ED24B8">
            <w:pPr>
              <w:widowControl/>
              <w:spacing w:line="0" w:lineRule="atLeast"/>
              <w:jc w:val="center"/>
              <w:rPr>
                <w:rFonts w:hint="default" w:ascii="Times New Roman" w:hAnsi="Times New Roman" w:cs="Times New Roman"/>
                <w:color w:val="000000"/>
                <w:kern w:val="0"/>
                <w:sz w:val="22"/>
              </w:rPr>
            </w:pPr>
          </w:p>
        </w:tc>
        <w:tc>
          <w:tcPr>
            <w:tcW w:w="1511" w:type="dxa"/>
            <w:shd w:val="clear" w:color="auto" w:fill="FFFFFF"/>
            <w:vAlign w:val="center"/>
          </w:tcPr>
          <w:p w14:paraId="6D3D0F1D">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产出质量</w:t>
            </w:r>
          </w:p>
        </w:tc>
        <w:tc>
          <w:tcPr>
            <w:tcW w:w="1917" w:type="dxa"/>
            <w:tcBorders>
              <w:right w:val="single" w:color="auto" w:sz="4" w:space="0"/>
            </w:tcBorders>
            <w:shd w:val="clear" w:color="auto" w:fill="FFFFFF"/>
            <w:vAlign w:val="center"/>
          </w:tcPr>
          <w:p w14:paraId="695DBCEE">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质量达标率</w:t>
            </w:r>
          </w:p>
        </w:tc>
        <w:tc>
          <w:tcPr>
            <w:tcW w:w="3972" w:type="dxa"/>
            <w:tcBorders>
              <w:right w:val="single" w:color="auto" w:sz="4" w:space="0"/>
            </w:tcBorders>
            <w:shd w:val="clear" w:color="000000" w:fill="FFFFFF"/>
            <w:vAlign w:val="center"/>
          </w:tcPr>
          <w:p w14:paraId="634B75B3">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项目完成的质量达标产出数与实际产出数的比率，用以反映和考核项目产出质量目标的实现程度。</w:t>
            </w:r>
          </w:p>
        </w:tc>
        <w:tc>
          <w:tcPr>
            <w:tcW w:w="1012" w:type="dxa"/>
            <w:tcBorders>
              <w:left w:val="single" w:color="auto" w:sz="4" w:space="0"/>
            </w:tcBorders>
            <w:shd w:val="clear" w:color="000000" w:fill="FFFFFF"/>
          </w:tcPr>
          <w:p w14:paraId="6A63F9A8">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10</w:t>
            </w:r>
          </w:p>
        </w:tc>
        <w:tc>
          <w:tcPr>
            <w:tcW w:w="893" w:type="dxa"/>
            <w:shd w:val="clear" w:color="000000" w:fill="FFFFFF"/>
          </w:tcPr>
          <w:p w14:paraId="183D8B10">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10</w:t>
            </w:r>
          </w:p>
        </w:tc>
      </w:tr>
      <w:tr w14:paraId="52BA8B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773" w:type="dxa"/>
            <w:vMerge w:val="continue"/>
            <w:shd w:val="clear" w:color="auto" w:fill="FFFFFF"/>
            <w:vAlign w:val="center"/>
          </w:tcPr>
          <w:p w14:paraId="649A7036">
            <w:pPr>
              <w:spacing w:line="0" w:lineRule="atLeast"/>
              <w:jc w:val="center"/>
              <w:rPr>
                <w:rFonts w:hint="default" w:ascii="Times New Roman" w:hAnsi="Times New Roman" w:cs="Times New Roman"/>
                <w:color w:val="000000"/>
                <w:kern w:val="0"/>
                <w:sz w:val="22"/>
              </w:rPr>
            </w:pPr>
          </w:p>
        </w:tc>
        <w:tc>
          <w:tcPr>
            <w:tcW w:w="1511" w:type="dxa"/>
            <w:shd w:val="clear" w:color="auto" w:fill="FFFFFF"/>
            <w:vAlign w:val="center"/>
          </w:tcPr>
          <w:p w14:paraId="4D5935C4">
            <w:pPr>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产出时效</w:t>
            </w:r>
          </w:p>
        </w:tc>
        <w:tc>
          <w:tcPr>
            <w:tcW w:w="1917" w:type="dxa"/>
            <w:tcBorders>
              <w:right w:val="single" w:color="auto" w:sz="4" w:space="0"/>
            </w:tcBorders>
            <w:shd w:val="clear" w:color="auto" w:fill="FFFFFF"/>
            <w:vAlign w:val="center"/>
          </w:tcPr>
          <w:p w14:paraId="4E8FF454">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完成及时性</w:t>
            </w:r>
          </w:p>
        </w:tc>
        <w:tc>
          <w:tcPr>
            <w:tcW w:w="3972" w:type="dxa"/>
            <w:tcBorders>
              <w:right w:val="single" w:color="auto" w:sz="4" w:space="0"/>
            </w:tcBorders>
            <w:shd w:val="clear" w:color="000000" w:fill="FFFFFF"/>
            <w:vAlign w:val="center"/>
          </w:tcPr>
          <w:p w14:paraId="278CE8C9">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项目实际完成时间与计划完成时间的比较，用以反映和考核项目产出时效目标的实现程度。</w:t>
            </w:r>
          </w:p>
        </w:tc>
        <w:tc>
          <w:tcPr>
            <w:tcW w:w="1012" w:type="dxa"/>
            <w:tcBorders>
              <w:left w:val="single" w:color="auto" w:sz="4" w:space="0"/>
            </w:tcBorders>
            <w:shd w:val="clear" w:color="000000" w:fill="FFFFFF"/>
          </w:tcPr>
          <w:p w14:paraId="76595AFC">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10</w:t>
            </w:r>
          </w:p>
        </w:tc>
        <w:tc>
          <w:tcPr>
            <w:tcW w:w="893" w:type="dxa"/>
            <w:shd w:val="clear" w:color="000000" w:fill="FFFFFF"/>
          </w:tcPr>
          <w:p w14:paraId="3202A515">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10</w:t>
            </w:r>
          </w:p>
        </w:tc>
      </w:tr>
      <w:tr w14:paraId="6C6BD0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773" w:type="dxa"/>
            <w:vMerge w:val="continue"/>
            <w:shd w:val="clear" w:color="auto" w:fill="FFFFFF"/>
            <w:vAlign w:val="center"/>
          </w:tcPr>
          <w:p w14:paraId="6722F11F">
            <w:pPr>
              <w:widowControl/>
              <w:spacing w:line="0" w:lineRule="atLeast"/>
              <w:jc w:val="center"/>
              <w:rPr>
                <w:rFonts w:hint="default" w:ascii="Times New Roman" w:hAnsi="Times New Roman" w:cs="Times New Roman"/>
                <w:color w:val="000000"/>
                <w:kern w:val="0"/>
                <w:sz w:val="22"/>
              </w:rPr>
            </w:pPr>
          </w:p>
        </w:tc>
        <w:tc>
          <w:tcPr>
            <w:tcW w:w="1511" w:type="dxa"/>
            <w:shd w:val="clear" w:color="auto" w:fill="FFFFFF"/>
            <w:vAlign w:val="center"/>
          </w:tcPr>
          <w:p w14:paraId="1563625C">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产出成本</w:t>
            </w:r>
          </w:p>
        </w:tc>
        <w:tc>
          <w:tcPr>
            <w:tcW w:w="1917" w:type="dxa"/>
            <w:tcBorders>
              <w:right w:val="single" w:color="auto" w:sz="4" w:space="0"/>
            </w:tcBorders>
            <w:shd w:val="clear" w:color="auto" w:fill="FFFFFF"/>
            <w:vAlign w:val="center"/>
          </w:tcPr>
          <w:p w14:paraId="2D08AD48">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成本节约率</w:t>
            </w:r>
          </w:p>
        </w:tc>
        <w:tc>
          <w:tcPr>
            <w:tcW w:w="3972" w:type="dxa"/>
            <w:tcBorders>
              <w:right w:val="single" w:color="auto" w:sz="4" w:space="0"/>
            </w:tcBorders>
            <w:shd w:val="clear" w:color="auto" w:fill="FFFFFF"/>
            <w:vAlign w:val="center"/>
          </w:tcPr>
          <w:p w14:paraId="12082068">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完成项目计划工作目标的实际节约成本与计划成本的比率，用以反映和考核项目的成本节约程度。</w:t>
            </w:r>
          </w:p>
        </w:tc>
        <w:tc>
          <w:tcPr>
            <w:tcW w:w="1012" w:type="dxa"/>
            <w:tcBorders>
              <w:left w:val="single" w:color="auto" w:sz="4" w:space="0"/>
            </w:tcBorders>
            <w:shd w:val="clear" w:color="auto" w:fill="FFFFFF"/>
          </w:tcPr>
          <w:p w14:paraId="095815A1">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10</w:t>
            </w:r>
          </w:p>
        </w:tc>
        <w:tc>
          <w:tcPr>
            <w:tcW w:w="893" w:type="dxa"/>
            <w:shd w:val="clear" w:color="auto" w:fill="FFFFFF"/>
          </w:tcPr>
          <w:p w14:paraId="247985CA">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10</w:t>
            </w:r>
          </w:p>
        </w:tc>
      </w:tr>
      <w:tr w14:paraId="0C18AD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50" w:hRule="atLeast"/>
          <w:jc w:val="center"/>
        </w:trPr>
        <w:tc>
          <w:tcPr>
            <w:tcW w:w="773" w:type="dxa"/>
            <w:vMerge w:val="restart"/>
            <w:shd w:val="clear" w:color="auto" w:fill="FFFFFF"/>
            <w:vAlign w:val="center"/>
          </w:tcPr>
          <w:p w14:paraId="6109F329">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效益　</w:t>
            </w:r>
          </w:p>
        </w:tc>
        <w:tc>
          <w:tcPr>
            <w:tcW w:w="1511" w:type="dxa"/>
            <w:vMerge w:val="restart"/>
            <w:shd w:val="clear" w:color="auto" w:fill="FFFFFF"/>
            <w:vAlign w:val="center"/>
          </w:tcPr>
          <w:p w14:paraId="2A1232A5">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项目效益　</w:t>
            </w:r>
          </w:p>
        </w:tc>
        <w:tc>
          <w:tcPr>
            <w:tcW w:w="1917" w:type="dxa"/>
            <w:tcBorders>
              <w:right w:val="single" w:color="auto" w:sz="4" w:space="0"/>
            </w:tcBorders>
            <w:shd w:val="clear" w:color="auto" w:fill="FFFFFF"/>
            <w:vAlign w:val="center"/>
          </w:tcPr>
          <w:p w14:paraId="2114B2E7">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实施效益</w:t>
            </w:r>
          </w:p>
        </w:tc>
        <w:tc>
          <w:tcPr>
            <w:tcW w:w="3972" w:type="dxa"/>
            <w:tcBorders>
              <w:right w:val="single" w:color="auto" w:sz="4" w:space="0"/>
            </w:tcBorders>
            <w:shd w:val="clear" w:color="auto" w:fill="FFFFFF"/>
            <w:vAlign w:val="center"/>
          </w:tcPr>
          <w:p w14:paraId="4C153B5E">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项目实施所产生的效益。</w:t>
            </w:r>
          </w:p>
        </w:tc>
        <w:tc>
          <w:tcPr>
            <w:tcW w:w="1012" w:type="dxa"/>
            <w:tcBorders>
              <w:left w:val="single" w:color="auto" w:sz="4" w:space="0"/>
            </w:tcBorders>
            <w:shd w:val="clear" w:color="auto" w:fill="FFFFFF"/>
          </w:tcPr>
          <w:p w14:paraId="5F1AC563">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15</w:t>
            </w:r>
          </w:p>
        </w:tc>
        <w:tc>
          <w:tcPr>
            <w:tcW w:w="893" w:type="dxa"/>
            <w:shd w:val="clear" w:color="auto" w:fill="FFFFFF"/>
          </w:tcPr>
          <w:p w14:paraId="687A4A76">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15</w:t>
            </w:r>
          </w:p>
        </w:tc>
      </w:tr>
      <w:tr w14:paraId="23AEC9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773" w:type="dxa"/>
            <w:vMerge w:val="continue"/>
            <w:shd w:val="clear" w:color="auto" w:fill="FFFFFF"/>
            <w:vAlign w:val="center"/>
          </w:tcPr>
          <w:p w14:paraId="2DAB4A86">
            <w:pPr>
              <w:widowControl/>
              <w:spacing w:line="0" w:lineRule="atLeast"/>
              <w:jc w:val="center"/>
              <w:rPr>
                <w:rFonts w:hint="default" w:ascii="Times New Roman" w:hAnsi="Times New Roman" w:cs="Times New Roman"/>
                <w:color w:val="000000"/>
                <w:kern w:val="0"/>
                <w:sz w:val="22"/>
              </w:rPr>
            </w:pPr>
          </w:p>
        </w:tc>
        <w:tc>
          <w:tcPr>
            <w:tcW w:w="1511" w:type="dxa"/>
            <w:vMerge w:val="continue"/>
            <w:shd w:val="clear" w:color="auto" w:fill="FFFFFF"/>
            <w:vAlign w:val="center"/>
          </w:tcPr>
          <w:p w14:paraId="26859F09">
            <w:pPr>
              <w:widowControl/>
              <w:spacing w:line="0" w:lineRule="atLeast"/>
              <w:jc w:val="center"/>
              <w:rPr>
                <w:rFonts w:hint="default" w:ascii="Times New Roman" w:hAnsi="Times New Roman" w:cs="Times New Roman"/>
                <w:color w:val="000000"/>
                <w:kern w:val="0"/>
                <w:sz w:val="22"/>
              </w:rPr>
            </w:pPr>
          </w:p>
        </w:tc>
        <w:tc>
          <w:tcPr>
            <w:tcW w:w="1917" w:type="dxa"/>
            <w:tcBorders>
              <w:right w:val="single" w:color="auto" w:sz="4" w:space="0"/>
            </w:tcBorders>
            <w:shd w:val="clear" w:color="auto" w:fill="FFFFFF"/>
            <w:vAlign w:val="center"/>
          </w:tcPr>
          <w:p w14:paraId="3EF9A0A3">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满意度</w:t>
            </w:r>
          </w:p>
        </w:tc>
        <w:tc>
          <w:tcPr>
            <w:tcW w:w="3972" w:type="dxa"/>
            <w:tcBorders>
              <w:right w:val="single" w:color="auto" w:sz="4" w:space="0"/>
            </w:tcBorders>
            <w:shd w:val="clear" w:color="000000" w:fill="FFFFFF"/>
            <w:vAlign w:val="center"/>
          </w:tcPr>
          <w:p w14:paraId="6F62F4E5">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社会公众或服务对象对项目实施效果的满意程度。</w:t>
            </w:r>
          </w:p>
        </w:tc>
        <w:tc>
          <w:tcPr>
            <w:tcW w:w="1012" w:type="dxa"/>
            <w:tcBorders>
              <w:left w:val="single" w:color="auto" w:sz="4" w:space="0"/>
            </w:tcBorders>
            <w:shd w:val="clear" w:color="000000" w:fill="FFFFFF"/>
          </w:tcPr>
          <w:p w14:paraId="029C7750">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5</w:t>
            </w:r>
          </w:p>
        </w:tc>
        <w:tc>
          <w:tcPr>
            <w:tcW w:w="893" w:type="dxa"/>
            <w:shd w:val="clear" w:color="000000" w:fill="FFFFFF"/>
          </w:tcPr>
          <w:p w14:paraId="1ABA5E08">
            <w:pPr>
              <w:spacing w:line="600" w:lineRule="auto"/>
              <w:jc w:val="center"/>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5</w:t>
            </w:r>
          </w:p>
        </w:tc>
      </w:tr>
      <w:tr w14:paraId="7D7659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4201" w:type="dxa"/>
            <w:gridSpan w:val="3"/>
            <w:tcBorders>
              <w:right w:val="single" w:color="auto" w:sz="4" w:space="0"/>
            </w:tcBorders>
            <w:shd w:val="clear" w:color="auto" w:fill="FFFFFF"/>
            <w:vAlign w:val="center"/>
          </w:tcPr>
          <w:p w14:paraId="29F4A5E4">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b/>
                <w:bCs/>
                <w:color w:val="000000"/>
                <w:kern w:val="0"/>
                <w:sz w:val="22"/>
              </w:rPr>
              <w:t>总分</w:t>
            </w:r>
          </w:p>
        </w:tc>
        <w:tc>
          <w:tcPr>
            <w:tcW w:w="3972" w:type="dxa"/>
            <w:tcBorders>
              <w:right w:val="single" w:color="auto" w:sz="4" w:space="0"/>
            </w:tcBorders>
            <w:shd w:val="clear" w:color="auto" w:fill="FFFFFF"/>
          </w:tcPr>
          <w:p w14:paraId="59958457">
            <w:pPr>
              <w:widowControl/>
              <w:spacing w:line="0" w:lineRule="atLeast"/>
              <w:jc w:val="center"/>
              <w:rPr>
                <w:rFonts w:hint="default" w:ascii="Times New Roman" w:hAnsi="Times New Roman" w:cs="Times New Roman"/>
                <w:color w:val="000000"/>
                <w:kern w:val="0"/>
                <w:sz w:val="22"/>
              </w:rPr>
            </w:pPr>
          </w:p>
        </w:tc>
        <w:tc>
          <w:tcPr>
            <w:tcW w:w="1012" w:type="dxa"/>
            <w:tcBorders>
              <w:left w:val="single" w:color="auto" w:sz="4" w:space="0"/>
            </w:tcBorders>
            <w:shd w:val="clear" w:color="auto" w:fill="FFFFFF"/>
            <w:vAlign w:val="center"/>
          </w:tcPr>
          <w:p w14:paraId="2C90C503">
            <w:pPr>
              <w:widowControl/>
              <w:spacing w:line="0" w:lineRule="atLeast"/>
              <w:jc w:val="center"/>
              <w:rPr>
                <w:rFonts w:hint="default" w:ascii="Times New Roman" w:hAnsi="Times New Roman" w:eastAsia="仿宋_GB2312" w:cs="Times New Roman"/>
                <w:color w:val="000000"/>
                <w:kern w:val="0"/>
                <w:sz w:val="22"/>
                <w:lang w:val="en-US" w:eastAsia="zh-CN"/>
              </w:rPr>
            </w:pPr>
            <w:r>
              <w:rPr>
                <w:rFonts w:hint="default" w:ascii="Times New Roman" w:hAnsi="Times New Roman" w:cs="Times New Roman"/>
                <w:color w:val="000000"/>
                <w:kern w:val="0"/>
                <w:sz w:val="22"/>
                <w:lang w:val="en-US" w:eastAsia="zh-CN"/>
              </w:rPr>
              <w:t>100</w:t>
            </w:r>
          </w:p>
        </w:tc>
        <w:tc>
          <w:tcPr>
            <w:tcW w:w="893" w:type="dxa"/>
            <w:shd w:val="clear" w:color="auto" w:fill="FFFFFF"/>
            <w:vAlign w:val="center"/>
          </w:tcPr>
          <w:p w14:paraId="4AF68ED1">
            <w:pPr>
              <w:widowControl/>
              <w:spacing w:line="0" w:lineRule="atLeast"/>
              <w:jc w:val="center"/>
              <w:rPr>
                <w:rFonts w:hint="default" w:ascii="Times New Roman" w:hAnsi="Times New Roman" w:eastAsia="仿宋_GB2312" w:cs="Times New Roman"/>
                <w:color w:val="000000"/>
                <w:kern w:val="0"/>
                <w:sz w:val="22"/>
                <w:lang w:val="en-US" w:eastAsia="zh-CN"/>
              </w:rPr>
            </w:pPr>
            <w:r>
              <w:rPr>
                <w:rFonts w:hint="default" w:ascii="Times New Roman" w:hAnsi="Times New Roman" w:cs="Times New Roman"/>
                <w:color w:val="000000"/>
                <w:kern w:val="0"/>
                <w:sz w:val="22"/>
                <w:lang w:val="en-US" w:eastAsia="zh-CN"/>
              </w:rPr>
              <w:t>100</w:t>
            </w:r>
          </w:p>
        </w:tc>
      </w:tr>
    </w:tbl>
    <w:p w14:paraId="755ADC5D">
      <w:pPr>
        <w:spacing w:line="360" w:lineRule="auto"/>
        <w:rPr>
          <w:rFonts w:hint="eastAsia"/>
        </w:rPr>
      </w:pPr>
    </w:p>
    <w:p w14:paraId="13306ECD">
      <w:pPr>
        <w:spacing w:line="360" w:lineRule="auto"/>
      </w:pPr>
      <w:r>
        <w:rPr>
          <w:rFonts w:hint="eastAsia"/>
        </w:rPr>
        <w:t>3、评价方法</w:t>
      </w:r>
    </w:p>
    <w:p w14:paraId="2117C99B">
      <w:pPr>
        <w:spacing w:line="360" w:lineRule="auto"/>
        <w:ind w:firstLine="600" w:firstLineChars="200"/>
        <w:jc w:val="left"/>
        <w:rPr>
          <w:rFonts w:hint="eastAsia"/>
        </w:rPr>
      </w:pPr>
      <w:r>
        <w:rPr>
          <w:rFonts w:hint="eastAsia"/>
        </w:rPr>
        <w:t>本次项目支出绩效自评采用因素分析法，按照财政项目支出绩效自评工作的要求，结合我单位实际情况，组织相关人员根据项目绩效表指标内容，对所有项目内容进行核实和考评。项目评价内容主要围绕：数量指标、质量指标、时效指标、成本指标、社会效益指标、满意度指标等开展。原因是：本项目通过综合分析影响项目立项依据、绩效目标、资金投入、使用、产出及效益等方面的因素，判断项目实施情况，并在此基础上进行评价。</w:t>
      </w:r>
    </w:p>
    <w:p w14:paraId="796B4E37">
      <w:pPr>
        <w:spacing w:line="360" w:lineRule="auto"/>
        <w:ind w:firstLine="600" w:firstLineChars="200"/>
        <w:jc w:val="left"/>
        <w:rPr>
          <w:rFonts w:hint="eastAsia" w:ascii="Times New Roman" w:hAnsi="Times New Roman" w:cs="Times New Roman"/>
          <w:lang w:val="en-US" w:eastAsia="zh-CN"/>
        </w:rPr>
      </w:pPr>
    </w:p>
    <w:p w14:paraId="749F7EDF">
      <w:pPr>
        <w:spacing w:line="360" w:lineRule="auto"/>
        <w:ind w:firstLine="600" w:firstLineChars="200"/>
        <w:jc w:val="left"/>
        <w:rPr>
          <w:rFonts w:hint="eastAsia" w:ascii="Times New Roman" w:hAnsi="Times New Roman" w:cs="Times New Roman"/>
          <w:lang w:val="en-US" w:eastAsia="zh-CN"/>
        </w:rPr>
      </w:pPr>
      <w:r>
        <w:rPr>
          <w:rFonts w:hint="eastAsia" w:ascii="Times New Roman" w:hAnsi="Times New Roman" w:cs="Times New Roman"/>
          <w:lang w:val="en-US" w:eastAsia="zh-CN"/>
        </w:rPr>
        <w:t>4、评价标准</w:t>
      </w:r>
    </w:p>
    <w:p w14:paraId="7252FFDA">
      <w:pPr>
        <w:spacing w:line="360" w:lineRule="auto"/>
        <w:ind w:firstLine="600" w:firstLineChars="200"/>
        <w:jc w:val="left"/>
        <w:rPr>
          <w:rFonts w:hint="eastAsia" w:ascii="Times New Roman" w:hAnsi="Times New Roman" w:cs="Times New Roman"/>
          <w:lang w:val="en-US" w:eastAsia="zh-CN"/>
        </w:rPr>
      </w:pPr>
      <w:bookmarkStart w:id="6" w:name="_Toc68703833"/>
      <w:r>
        <w:rPr>
          <w:rFonts w:hint="eastAsia" w:ascii="Times New Roman" w:hAnsi="Times New Roman" w:cs="Times New Roman"/>
          <w:lang w:val="en-US" w:eastAsia="zh-CN"/>
        </w:rPr>
        <w:t>该项目设置年初绩效目标申报表时按照自治县下达文件的指标数据制定出实施标准，并根据该项目本年度计划实施情况确定三级指标。采用计划标准，可提高预算编制和预算额度测算准确率，使评价结果更加科学真实。</w:t>
      </w:r>
    </w:p>
    <w:p w14:paraId="58D03F82">
      <w:pPr>
        <w:pStyle w:val="8"/>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（三）绩效评价工作过程。</w:t>
      </w:r>
      <w:bookmarkEnd w:id="6"/>
    </w:p>
    <w:p w14:paraId="25B8E4BC">
      <w:pPr>
        <w:spacing w:line="360" w:lineRule="auto"/>
        <w:ind w:firstLine="600" w:firstLineChars="200"/>
        <w:jc w:val="left"/>
        <w:rPr>
          <w:rFonts w:hint="eastAsia"/>
          <w:lang w:val="en-US" w:eastAsia="zh-CN"/>
        </w:rPr>
      </w:pPr>
      <w:r>
        <w:rPr>
          <w:rFonts w:hint="eastAsia"/>
          <w:lang w:val="en-US" w:eastAsia="zh-CN"/>
        </w:rPr>
        <w:t>1.前期准备。首先成立评价工作组，开展前期调研；其次明确项目绩效目标，设计绩效评价指标体系并确定绩效评价方法；接着确定现场和非现场评价范围，设计资料清单；最后制定评价实施方案并进行论证。</w:t>
      </w:r>
    </w:p>
    <w:p w14:paraId="3FA64568">
      <w:pPr>
        <w:spacing w:line="360" w:lineRule="auto"/>
        <w:ind w:firstLine="600" w:firstLineChars="200"/>
        <w:jc w:val="left"/>
        <w:rPr>
          <w:rFonts w:hint="eastAsia"/>
          <w:lang w:val="en-US" w:eastAsia="zh-CN"/>
        </w:rPr>
      </w:pPr>
      <w:r>
        <w:rPr>
          <w:rFonts w:hint="eastAsia"/>
          <w:lang w:val="en-US" w:eastAsia="zh-CN"/>
        </w:rPr>
        <w:t>2.组织实施。制定绩效评价工作方案，具体包括项目概况、评价思路、方法手段、组织实施、进度安排等。收集项目立项依据、相关会议纪要、实施方案、财政资金分配方案、支付管理情况等相关评价资料并进行梳理。</w:t>
      </w:r>
    </w:p>
    <w:p w14:paraId="29F5F372">
      <w:pPr>
        <w:spacing w:line="360" w:lineRule="auto"/>
        <w:ind w:firstLine="600" w:firstLineChars="200"/>
        <w:jc w:val="left"/>
        <w:rPr>
          <w:rFonts w:hint="eastAsia"/>
          <w:lang w:val="en-US" w:eastAsia="zh-CN"/>
        </w:rPr>
      </w:pPr>
      <w:r>
        <w:rPr>
          <w:rFonts w:hint="eastAsia"/>
          <w:lang w:val="en-US" w:eastAsia="zh-CN"/>
        </w:rPr>
        <w:t>3.分析评价。根据收集梳理的资料围绕项目立项、资金落实、业务管理、财务管理、项目产出、项目效益等内容，对照已确定的绩效评价指标进行详细全面的分析评价，逐项打分并形成绩效评价最终结果。</w:t>
      </w:r>
    </w:p>
    <w:p w14:paraId="0782B368">
      <w:pPr>
        <w:pStyle w:val="7"/>
        <w:spacing w:line="360" w:lineRule="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14:paraId="39023368">
      <w:pPr>
        <w:pStyle w:val="8"/>
        <w:spacing w:line="360" w:lineRule="auto"/>
        <w:rPr>
          <w:rFonts w:ascii="仿宋_GB2312" w:eastAsia="仿宋_GB2312"/>
          <w:b w:val="0"/>
          <w:bCs w:val="0"/>
        </w:rPr>
      </w:pPr>
      <w:bookmarkStart w:id="8" w:name="_Toc68703835"/>
      <w:r>
        <w:rPr>
          <w:rFonts w:hint="eastAsia" w:ascii="仿宋_GB2312" w:eastAsia="仿宋_GB2312"/>
          <w:b w:val="0"/>
          <w:bCs w:val="0"/>
        </w:rPr>
        <w:t>（一）综合评价情况</w:t>
      </w:r>
      <w:bookmarkEnd w:id="8"/>
    </w:p>
    <w:p w14:paraId="37101E6C">
      <w:pPr>
        <w:spacing w:line="360" w:lineRule="auto"/>
        <w:ind w:firstLine="600" w:firstLineChars="200"/>
        <w:jc w:val="left"/>
        <w:rPr>
          <w:rFonts w:hint="eastAsia"/>
          <w:lang w:val="en-US" w:eastAsia="zh-CN"/>
        </w:rPr>
      </w:pPr>
      <w:r>
        <w:rPr>
          <w:rFonts w:hint="eastAsia"/>
          <w:lang w:val="en-US" w:eastAsia="zh-CN"/>
        </w:rPr>
        <w:t>本项目严格按照科学公正、统筹兼顾、激励约束和公开透明绩效评价原则，采用因素分析法评价方法，坚持计划绩效评价标准对本项目的立项、项绩效目标、资金投入、资金管理、组织实施、产出数量、产出质量、产出时效、产出成本、项目效益进行了综合评价。</w:t>
      </w:r>
    </w:p>
    <w:p w14:paraId="7041B75C">
      <w:pPr>
        <w:spacing w:line="360" w:lineRule="auto"/>
        <w:ind w:firstLine="600" w:firstLineChars="200"/>
        <w:jc w:val="center"/>
        <w:rPr>
          <w:rFonts w:hint="eastAsia"/>
        </w:rPr>
      </w:pPr>
    </w:p>
    <w:p w14:paraId="0F9C0C16">
      <w:pPr>
        <w:spacing w:line="360" w:lineRule="auto"/>
        <w:ind w:firstLine="600" w:firstLineChars="200"/>
        <w:jc w:val="center"/>
        <w:rPr>
          <w:color w:val="auto"/>
        </w:rPr>
      </w:pPr>
      <w:r>
        <w:rPr>
          <w:rFonts w:hint="eastAsia"/>
        </w:rPr>
        <w:t>查乡莫村村级组织活动场所建设项目</w:t>
      </w:r>
      <w:r>
        <w:rPr>
          <w:rFonts w:hint="eastAsia"/>
          <w:color w:val="auto"/>
        </w:rPr>
        <w:t>评价得分情况</w:t>
      </w:r>
    </w:p>
    <w:tbl>
      <w:tblPr>
        <w:tblStyle w:val="16"/>
        <w:tblW w:w="7583" w:type="dxa"/>
        <w:jc w:val="center"/>
        <w:tblLayout w:type="fixed"/>
        <w:tblCellMar>
          <w:top w:w="0" w:type="dxa"/>
          <w:left w:w="108" w:type="dxa"/>
          <w:bottom w:w="0" w:type="dxa"/>
          <w:right w:w="108" w:type="dxa"/>
        </w:tblCellMar>
      </w:tblPr>
      <w:tblGrid>
        <w:gridCol w:w="3137"/>
        <w:gridCol w:w="2168"/>
        <w:gridCol w:w="2278"/>
      </w:tblGrid>
      <w:tr w14:paraId="072282BE">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2DBB67C3">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B4297B3">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B81D05A">
            <w:pPr>
              <w:jc w:val="center"/>
              <w:rPr>
                <w:b/>
                <w:bCs/>
                <w:color w:val="000000"/>
                <w:sz w:val="22"/>
              </w:rPr>
            </w:pPr>
            <w:r>
              <w:rPr>
                <w:rFonts w:hint="eastAsia"/>
                <w:b/>
                <w:bCs/>
                <w:color w:val="000000"/>
                <w:sz w:val="22"/>
              </w:rPr>
              <w:t>得分</w:t>
            </w:r>
          </w:p>
        </w:tc>
      </w:tr>
      <w:tr w14:paraId="189AB94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9468B81">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3F1FA84B">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76FD8A1">
            <w:pPr>
              <w:jc w:val="center"/>
              <w:rPr>
                <w:rFonts w:hint="default" w:eastAsia="仿宋_GB2312"/>
                <w:color w:val="000000"/>
                <w:sz w:val="22"/>
                <w:lang w:val="en-US" w:eastAsia="zh-CN"/>
              </w:rPr>
            </w:pPr>
            <w:r>
              <w:rPr>
                <w:rFonts w:hint="eastAsia"/>
                <w:color w:val="000000"/>
                <w:sz w:val="22"/>
                <w:lang w:val="en-US" w:eastAsia="zh-CN"/>
              </w:rPr>
              <w:t>20</w:t>
            </w:r>
          </w:p>
        </w:tc>
      </w:tr>
      <w:tr w14:paraId="498E154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C2CFB39">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73C57CA6">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DFDE615">
            <w:pPr>
              <w:jc w:val="center"/>
              <w:rPr>
                <w:rFonts w:hint="default" w:eastAsia="仿宋_GB2312"/>
                <w:color w:val="000000"/>
                <w:sz w:val="22"/>
                <w:lang w:val="en-US" w:eastAsia="zh-CN"/>
              </w:rPr>
            </w:pPr>
            <w:r>
              <w:rPr>
                <w:rFonts w:hint="eastAsia"/>
                <w:color w:val="000000"/>
                <w:sz w:val="22"/>
                <w:lang w:val="en-US" w:eastAsia="zh-CN"/>
              </w:rPr>
              <w:t>20</w:t>
            </w:r>
          </w:p>
        </w:tc>
      </w:tr>
      <w:tr w14:paraId="6DB9279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A402C3D">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4638E3BC">
            <w:pPr>
              <w:jc w:val="center"/>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47CA065A">
            <w:pPr>
              <w:jc w:val="center"/>
              <w:rPr>
                <w:rFonts w:hint="default" w:eastAsia="仿宋_GB2312"/>
                <w:color w:val="000000"/>
                <w:sz w:val="22"/>
                <w:lang w:val="en-US" w:eastAsia="zh-CN"/>
              </w:rPr>
            </w:pPr>
            <w:r>
              <w:rPr>
                <w:rFonts w:hint="eastAsia"/>
                <w:color w:val="000000"/>
                <w:sz w:val="22"/>
                <w:lang w:val="en-US" w:eastAsia="zh-CN"/>
              </w:rPr>
              <w:t>40</w:t>
            </w:r>
          </w:p>
        </w:tc>
      </w:tr>
      <w:tr w14:paraId="7608AD0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1979537">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4411CBBE">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4AE99CA">
            <w:pPr>
              <w:jc w:val="center"/>
              <w:rPr>
                <w:rFonts w:hint="default" w:eastAsia="仿宋_GB2312"/>
                <w:color w:val="000000"/>
                <w:sz w:val="22"/>
                <w:lang w:val="en-US" w:eastAsia="zh-CN"/>
              </w:rPr>
            </w:pPr>
            <w:r>
              <w:rPr>
                <w:rFonts w:hint="eastAsia"/>
                <w:color w:val="000000"/>
                <w:sz w:val="22"/>
                <w:lang w:val="en-US" w:eastAsia="zh-CN"/>
              </w:rPr>
              <w:t>20</w:t>
            </w:r>
          </w:p>
        </w:tc>
      </w:tr>
      <w:tr w14:paraId="0A685B8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AA82BA2">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5DE70751">
            <w:pPr>
              <w:jc w:val="center"/>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4A634ECD">
            <w:pPr>
              <w:jc w:val="center"/>
              <w:rPr>
                <w:rFonts w:hint="default" w:eastAsia="仿宋_GB2312"/>
                <w:b/>
                <w:bCs/>
                <w:color w:val="000000"/>
                <w:sz w:val="22"/>
                <w:lang w:val="en-US" w:eastAsia="zh-CN"/>
              </w:rPr>
            </w:pPr>
            <w:r>
              <w:rPr>
                <w:rFonts w:hint="eastAsia"/>
                <w:b/>
                <w:bCs/>
                <w:color w:val="000000"/>
                <w:sz w:val="22"/>
                <w:lang w:val="en-US" w:eastAsia="zh-CN"/>
              </w:rPr>
              <w:t>100</w:t>
            </w:r>
          </w:p>
        </w:tc>
      </w:tr>
    </w:tbl>
    <w:p w14:paraId="3BEE5E1D">
      <w:pPr>
        <w:pStyle w:val="8"/>
        <w:spacing w:line="360" w:lineRule="auto"/>
        <w:rPr>
          <w:rFonts w:ascii="仿宋_GB2312" w:eastAsia="仿宋_GB2312"/>
          <w:b w:val="0"/>
          <w:bCs w:val="0"/>
        </w:rPr>
      </w:pPr>
      <w:bookmarkStart w:id="9" w:name="_Toc68703836"/>
      <w:r>
        <w:rPr>
          <w:rFonts w:hint="eastAsia" w:ascii="仿宋_GB2312" w:eastAsia="仿宋_GB2312"/>
          <w:b w:val="0"/>
          <w:bCs w:val="0"/>
        </w:rPr>
        <w:t>（二）评价结论</w:t>
      </w:r>
      <w:bookmarkEnd w:id="9"/>
    </w:p>
    <w:p w14:paraId="123A8EBB">
      <w:pPr>
        <w:spacing w:line="360" w:lineRule="auto"/>
        <w:ind w:firstLine="600" w:firstLineChars="200"/>
        <w:rPr>
          <w:color w:val="FF0000"/>
        </w:rPr>
      </w:pPr>
      <w:r>
        <w:rPr>
          <w:rFonts w:hint="eastAsia"/>
          <w:color w:val="auto"/>
        </w:rPr>
        <w:t>本项目的项目决策、项目过程、项目产出、项目效益均达到了预期要求，最终得分为100分，项目达成年度指标。</w:t>
      </w:r>
    </w:p>
    <w:p w14:paraId="6CA6F02D">
      <w:pPr>
        <w:pStyle w:val="7"/>
        <w:spacing w:line="360" w:lineRule="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7785074C">
      <w:pPr>
        <w:pStyle w:val="8"/>
        <w:spacing w:line="360" w:lineRule="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14:paraId="4A892A72">
      <w:pPr>
        <w:spacing w:line="360" w:lineRule="auto"/>
      </w:pPr>
      <w:r>
        <w:rPr>
          <w:rFonts w:hint="eastAsia"/>
        </w:rPr>
        <w:t>1、立项依据充分性</w:t>
      </w:r>
    </w:p>
    <w:p w14:paraId="39169E63">
      <w:pPr>
        <w:spacing w:line="360" w:lineRule="auto"/>
        <w:ind w:firstLine="600" w:firstLineChars="200"/>
        <w:rPr>
          <w:color w:val="auto"/>
        </w:rPr>
      </w:pPr>
      <w:r>
        <w:rPr>
          <w:rFonts w:hint="eastAsia"/>
          <w:color w:val="auto"/>
          <w:lang w:eastAsia="zh-CN"/>
        </w:rPr>
        <w:t>该</w:t>
      </w:r>
      <w:r>
        <w:rPr>
          <w:rFonts w:hint="eastAsia"/>
          <w:color w:val="auto"/>
        </w:rPr>
        <w:t>项目立项符合国家法律法规、国民经济发展规划和相关政策</w:t>
      </w:r>
      <w:r>
        <w:rPr>
          <w:rFonts w:hint="eastAsia"/>
          <w:color w:val="auto"/>
          <w:lang w:eastAsia="zh-CN"/>
        </w:rPr>
        <w:t>、</w:t>
      </w:r>
      <w:r>
        <w:rPr>
          <w:rFonts w:hint="eastAsia"/>
          <w:color w:val="auto"/>
        </w:rPr>
        <w:t>符合行业发展规划和政策要求</w:t>
      </w:r>
      <w:r>
        <w:rPr>
          <w:rFonts w:hint="eastAsia"/>
          <w:color w:val="auto"/>
          <w:lang w:eastAsia="zh-CN"/>
        </w:rPr>
        <w:t>、</w:t>
      </w:r>
      <w:r>
        <w:rPr>
          <w:rFonts w:hint="eastAsia"/>
          <w:color w:val="auto"/>
        </w:rPr>
        <w:t>与部门职责范围相符，属于部门履职所需</w:t>
      </w:r>
      <w:r>
        <w:rPr>
          <w:rFonts w:hint="eastAsia"/>
          <w:color w:val="auto"/>
          <w:lang w:eastAsia="zh-CN"/>
        </w:rPr>
        <w:t>，</w:t>
      </w:r>
      <w:r>
        <w:rPr>
          <w:rFonts w:hint="eastAsia"/>
          <w:color w:val="auto"/>
        </w:rPr>
        <w:t>项目属于公共财政支持范围，符合中央、地方事权支出责任划分原则</w:t>
      </w:r>
      <w:r>
        <w:rPr>
          <w:rFonts w:hint="eastAsia"/>
          <w:color w:val="auto"/>
          <w:lang w:eastAsia="zh-CN"/>
        </w:rPr>
        <w:t>，</w:t>
      </w:r>
      <w:r>
        <w:rPr>
          <w:rFonts w:hint="eastAsia"/>
          <w:color w:val="auto"/>
        </w:rPr>
        <w:t>与相关部门同类项目或部门内部相关项目重复。</w:t>
      </w:r>
    </w:p>
    <w:p w14:paraId="06203835">
      <w:pPr>
        <w:spacing w:line="360" w:lineRule="auto"/>
      </w:pPr>
      <w:r>
        <w:rPr>
          <w:rFonts w:hint="eastAsia"/>
        </w:rPr>
        <w:t>2、立项程序规范性</w:t>
      </w:r>
    </w:p>
    <w:p w14:paraId="185C5CC4">
      <w:pPr>
        <w:spacing w:line="360" w:lineRule="auto"/>
        <w:ind w:firstLine="600" w:firstLineChars="200"/>
        <w:rPr>
          <w:color w:val="auto"/>
        </w:rPr>
      </w:pPr>
      <w:r>
        <w:rPr>
          <w:rFonts w:hint="eastAsia"/>
          <w:color w:val="auto"/>
          <w:lang w:eastAsia="zh-CN"/>
        </w:rPr>
        <w:t>该</w:t>
      </w:r>
      <w:r>
        <w:rPr>
          <w:rFonts w:hint="eastAsia"/>
          <w:color w:val="auto"/>
        </w:rPr>
        <w:t>项目按照规定的程序申请设立</w:t>
      </w:r>
      <w:r>
        <w:rPr>
          <w:rFonts w:hint="eastAsia"/>
          <w:color w:val="auto"/>
          <w:lang w:eastAsia="zh-CN"/>
        </w:rPr>
        <w:t>，</w:t>
      </w:r>
      <w:r>
        <w:rPr>
          <w:rFonts w:hint="eastAsia"/>
          <w:color w:val="auto"/>
        </w:rPr>
        <w:t>审批文件、材料符合相关要求</w:t>
      </w:r>
      <w:r>
        <w:rPr>
          <w:rFonts w:hint="eastAsia"/>
          <w:color w:val="auto"/>
          <w:lang w:eastAsia="zh-CN"/>
        </w:rPr>
        <w:t>，</w:t>
      </w:r>
      <w:r>
        <w:rPr>
          <w:rFonts w:hint="eastAsia"/>
          <w:color w:val="auto"/>
        </w:rPr>
        <w:t>事前已经过必要的可行性研究、专家论证、风险评估、绩效评估、集体决策。</w:t>
      </w:r>
    </w:p>
    <w:p w14:paraId="2A689B1D">
      <w:pPr>
        <w:spacing w:line="360" w:lineRule="auto"/>
      </w:pPr>
      <w:r>
        <w:rPr>
          <w:rFonts w:hint="eastAsia"/>
        </w:rPr>
        <w:t>3、绩效目标合理性</w:t>
      </w:r>
    </w:p>
    <w:p w14:paraId="272509E9">
      <w:pPr>
        <w:spacing w:line="360" w:lineRule="auto"/>
        <w:ind w:firstLine="600" w:firstLineChars="200"/>
        <w:rPr>
          <w:rFonts w:hint="eastAsia"/>
        </w:rPr>
      </w:pPr>
      <w:r>
        <w:rPr>
          <w:rFonts w:hint="eastAsia"/>
        </w:rPr>
        <w:t xml:space="preserve"> 查乡莫村村级组织活动场所建设项目设立了项目绩效目标，与</w:t>
      </w:r>
      <w:r>
        <w:rPr>
          <w:rFonts w:hint="eastAsia"/>
          <w:lang w:eastAsia="zh-CN"/>
        </w:rPr>
        <w:t>加快查乡莫村村级组织活动场所建设</w:t>
      </w:r>
      <w:r>
        <w:rPr>
          <w:rFonts w:hint="eastAsia"/>
        </w:rPr>
        <w:t>具有相关性，项目的预期产出效益和效果也均能符合正常的业绩水平，并且与预算确定的项目投资额或资金量相匹配。</w:t>
      </w:r>
    </w:p>
    <w:p w14:paraId="482666C4">
      <w:pPr>
        <w:spacing w:line="360" w:lineRule="auto"/>
      </w:pPr>
      <w:r>
        <w:rPr>
          <w:rFonts w:hint="eastAsia"/>
        </w:rPr>
        <w:t>4、绩效指标明确性</w:t>
      </w:r>
    </w:p>
    <w:p w14:paraId="722B5E44">
      <w:pPr>
        <w:spacing w:line="360" w:lineRule="auto"/>
        <w:ind w:firstLine="600" w:firstLineChars="200"/>
        <w:rPr>
          <w:rFonts w:hint="eastAsia"/>
        </w:rPr>
      </w:pPr>
      <w:bookmarkStart w:id="12" w:name="_Hlk68699917"/>
      <w:r>
        <w:rPr>
          <w:rFonts w:hint="eastAsia"/>
        </w:rPr>
        <w:t>查乡莫村村级组织活动场所建设项目将项目绩效目标细化分解为具体的绩效指标，</w:t>
      </w:r>
      <w:r>
        <w:rPr>
          <w:rFonts w:hint="eastAsia"/>
          <w:highlight w:val="none"/>
        </w:rPr>
        <w:t>一级指标共</w:t>
      </w:r>
      <w:r>
        <w:rPr>
          <w:rFonts w:hint="eastAsia"/>
          <w:highlight w:val="none"/>
          <w:lang w:val="en-US" w:eastAsia="zh-CN"/>
        </w:rPr>
        <w:t>4</w:t>
      </w:r>
      <w:r>
        <w:rPr>
          <w:rFonts w:hint="eastAsia"/>
          <w:highlight w:val="none"/>
        </w:rPr>
        <w:t>条，二级指标共</w:t>
      </w:r>
      <w:r>
        <w:rPr>
          <w:rFonts w:hint="eastAsia"/>
          <w:highlight w:val="none"/>
          <w:lang w:val="en-US" w:eastAsia="zh-CN"/>
        </w:rPr>
        <w:t>6</w:t>
      </w:r>
      <w:r>
        <w:rPr>
          <w:rFonts w:hint="eastAsia"/>
          <w:highlight w:val="none"/>
        </w:rPr>
        <w:t>条，三级指标共</w:t>
      </w:r>
      <w:r>
        <w:rPr>
          <w:rFonts w:hint="eastAsia"/>
          <w:highlight w:val="none"/>
          <w:lang w:val="en-US" w:eastAsia="zh-CN"/>
        </w:rPr>
        <w:t>10</w:t>
      </w:r>
      <w:r>
        <w:rPr>
          <w:rFonts w:hint="eastAsia"/>
          <w:highlight w:val="none"/>
        </w:rPr>
        <w:t>条，其中量化指标条数共</w:t>
      </w:r>
      <w:r>
        <w:rPr>
          <w:rFonts w:hint="eastAsia"/>
          <w:highlight w:val="none"/>
          <w:lang w:val="en-US" w:eastAsia="zh-CN"/>
        </w:rPr>
        <w:t>10</w:t>
      </w:r>
      <w:r>
        <w:rPr>
          <w:rFonts w:hint="eastAsia"/>
          <w:highlight w:val="none"/>
        </w:rPr>
        <w:t>条，所有绩效指标均通过清晰、可衡量的指标值予以体现，并且做到了</w:t>
      </w:r>
      <w:r>
        <w:rPr>
          <w:rFonts w:hint="eastAsia"/>
        </w:rPr>
        <w:t>与项目目标任务数或计划数相对应。</w:t>
      </w:r>
      <w:bookmarkEnd w:id="12"/>
    </w:p>
    <w:p w14:paraId="68FFDE05">
      <w:pPr>
        <w:spacing w:line="360" w:lineRule="auto"/>
      </w:pPr>
      <w:r>
        <w:rPr>
          <w:rFonts w:hint="eastAsia"/>
        </w:rPr>
        <w:t>5、预算编制科学性</w:t>
      </w:r>
    </w:p>
    <w:p w14:paraId="5487151A">
      <w:pPr>
        <w:spacing w:line="360" w:lineRule="auto"/>
        <w:ind w:firstLine="600" w:firstLineChars="200"/>
        <w:rPr>
          <w:rFonts w:hint="eastAsia"/>
        </w:rPr>
      </w:pPr>
      <w:r>
        <w:rPr>
          <w:rFonts w:hint="eastAsia"/>
          <w:lang w:eastAsia="zh-CN"/>
        </w:rPr>
        <w:t>该项目</w:t>
      </w:r>
      <w:r>
        <w:rPr>
          <w:rFonts w:hint="eastAsia"/>
        </w:rPr>
        <w:t>预算编制经过科学论证</w:t>
      </w:r>
      <w:r>
        <w:rPr>
          <w:rFonts w:hint="eastAsia"/>
          <w:lang w:eastAsia="zh-CN"/>
        </w:rPr>
        <w:t>，</w:t>
      </w:r>
      <w:r>
        <w:rPr>
          <w:rFonts w:hint="eastAsia"/>
        </w:rPr>
        <w:t>预算内容与项目内容匹配</w:t>
      </w:r>
      <w:r>
        <w:rPr>
          <w:rFonts w:hint="eastAsia"/>
          <w:lang w:eastAsia="zh-CN"/>
        </w:rPr>
        <w:t>，</w:t>
      </w:r>
      <w:r>
        <w:rPr>
          <w:rFonts w:hint="eastAsia"/>
        </w:rPr>
        <w:t>预算额度测算依据充分，按照标准编制</w:t>
      </w:r>
      <w:r>
        <w:rPr>
          <w:rFonts w:hint="eastAsia"/>
          <w:lang w:eastAsia="zh-CN"/>
        </w:rPr>
        <w:t>，</w:t>
      </w:r>
      <w:r>
        <w:rPr>
          <w:rFonts w:hint="eastAsia"/>
        </w:rPr>
        <w:t>预算确定的项目投资额或资金量与工作任务相匹配。</w:t>
      </w:r>
    </w:p>
    <w:p w14:paraId="61BCBD5A">
      <w:pPr>
        <w:spacing w:line="360" w:lineRule="auto"/>
      </w:pPr>
      <w:r>
        <w:rPr>
          <w:rFonts w:hint="eastAsia"/>
        </w:rPr>
        <w:t>6、资金分配合理性</w:t>
      </w:r>
    </w:p>
    <w:p w14:paraId="47F189BB">
      <w:pPr>
        <w:spacing w:line="360" w:lineRule="auto"/>
        <w:ind w:firstLine="600" w:firstLineChars="200"/>
        <w:rPr>
          <w:rFonts w:hint="eastAsia"/>
        </w:rPr>
      </w:pPr>
      <w:r>
        <w:rPr>
          <w:rFonts w:hint="eastAsia"/>
          <w:lang w:eastAsia="zh-CN"/>
        </w:rPr>
        <w:t>该项目</w:t>
      </w:r>
      <w:r>
        <w:rPr>
          <w:rFonts w:hint="eastAsia"/>
        </w:rPr>
        <w:t>预算资金分配依据充分</w:t>
      </w:r>
      <w:r>
        <w:rPr>
          <w:rFonts w:hint="eastAsia"/>
          <w:lang w:eastAsia="zh-CN"/>
        </w:rPr>
        <w:t>，</w:t>
      </w:r>
      <w:r>
        <w:rPr>
          <w:rFonts w:hint="eastAsia"/>
        </w:rPr>
        <w:t>资金分配额度合理，与项目相适应。</w:t>
      </w:r>
    </w:p>
    <w:p w14:paraId="3DB67C61">
      <w:pPr>
        <w:pStyle w:val="8"/>
        <w:spacing w:line="360" w:lineRule="auto"/>
        <w:rPr>
          <w:rFonts w:ascii="仿宋_GB2312" w:eastAsia="仿宋_GB2312"/>
          <w:b w:val="0"/>
          <w:bCs w:val="0"/>
        </w:rPr>
      </w:pPr>
      <w:bookmarkStart w:id="13" w:name="_Toc68703839"/>
      <w:r>
        <w:rPr>
          <w:rFonts w:hint="eastAsia" w:ascii="仿宋_GB2312" w:eastAsia="仿宋_GB2312"/>
          <w:b w:val="0"/>
          <w:bCs w:val="0"/>
        </w:rPr>
        <w:t>（二）项目过程情况。</w:t>
      </w:r>
      <w:bookmarkEnd w:id="13"/>
    </w:p>
    <w:p w14:paraId="6AED1BC6">
      <w:pPr>
        <w:spacing w:line="360" w:lineRule="auto"/>
      </w:pPr>
      <w:r>
        <w:rPr>
          <w:rFonts w:hint="eastAsia"/>
        </w:rPr>
        <w:t>1、资金到位率：</w:t>
      </w:r>
    </w:p>
    <w:p w14:paraId="5A4AC5B3">
      <w:pPr>
        <w:spacing w:line="360" w:lineRule="auto"/>
        <w:ind w:firstLine="600" w:firstLineChars="200"/>
        <w:rPr>
          <w:rFonts w:hint="eastAsia" w:eastAsia="仿宋_GB2312"/>
          <w:color w:val="FF0000"/>
          <w:lang w:eastAsia="zh-CN"/>
        </w:rPr>
      </w:pPr>
      <w:r>
        <w:rPr>
          <w:rFonts w:hint="eastAsia"/>
          <w:color w:val="auto"/>
        </w:rPr>
        <w:t>实际到位资金</w:t>
      </w:r>
      <w:r>
        <w:rPr>
          <w:rFonts w:hint="eastAsia"/>
          <w:color w:val="auto"/>
          <w:lang w:val="en-US" w:eastAsia="zh-CN"/>
        </w:rPr>
        <w:t>60</w:t>
      </w:r>
      <w:r>
        <w:rPr>
          <w:rFonts w:hint="eastAsia"/>
          <w:color w:val="auto"/>
        </w:rPr>
        <w:t>万元，预算资金</w:t>
      </w:r>
      <w:r>
        <w:rPr>
          <w:rFonts w:hint="eastAsia"/>
          <w:color w:val="auto"/>
          <w:lang w:val="en-US" w:eastAsia="zh-CN"/>
        </w:rPr>
        <w:t>60</w:t>
      </w:r>
      <w:r>
        <w:rPr>
          <w:rFonts w:hint="eastAsia"/>
          <w:color w:val="auto"/>
        </w:rPr>
        <w:t>万元，资金到位率</w:t>
      </w:r>
      <w:r>
        <w:rPr>
          <w:color w:val="auto"/>
        </w:rPr>
        <w:t>100</w:t>
      </w:r>
      <w:r>
        <w:rPr>
          <w:rFonts w:hint="eastAsia"/>
          <w:color w:val="auto"/>
        </w:rPr>
        <w:t>%</w:t>
      </w:r>
      <w:r>
        <w:rPr>
          <w:rFonts w:hint="eastAsia"/>
          <w:color w:val="auto"/>
          <w:lang w:eastAsia="zh-CN"/>
        </w:rPr>
        <w:t>。</w:t>
      </w:r>
    </w:p>
    <w:p w14:paraId="02E166E9">
      <w:pPr>
        <w:spacing w:line="360" w:lineRule="auto"/>
      </w:pPr>
      <w:r>
        <w:rPr>
          <w:rFonts w:hint="eastAsia"/>
        </w:rPr>
        <w:t>2、预算执行率</w:t>
      </w:r>
    </w:p>
    <w:p w14:paraId="36919B86">
      <w:pPr>
        <w:spacing w:line="360" w:lineRule="auto"/>
        <w:ind w:firstLine="600" w:firstLineChars="200"/>
        <w:rPr>
          <w:rFonts w:hint="eastAsia" w:eastAsia="仿宋_GB2312"/>
          <w:color w:val="auto"/>
          <w:lang w:eastAsia="zh-CN"/>
        </w:rPr>
      </w:pPr>
      <w:r>
        <w:rPr>
          <w:rFonts w:hint="eastAsia"/>
          <w:color w:val="auto"/>
        </w:rPr>
        <w:t>年初预算数</w:t>
      </w:r>
      <w:r>
        <w:rPr>
          <w:rFonts w:hint="eastAsia"/>
          <w:color w:val="auto"/>
          <w:lang w:val="en-US" w:eastAsia="zh-CN"/>
        </w:rPr>
        <w:t>60</w:t>
      </w:r>
      <w:r>
        <w:rPr>
          <w:rFonts w:hint="eastAsia"/>
          <w:color w:val="auto"/>
        </w:rPr>
        <w:t>万元，全年预算数</w:t>
      </w:r>
      <w:r>
        <w:rPr>
          <w:rFonts w:hint="eastAsia"/>
          <w:color w:val="auto"/>
          <w:lang w:val="en-US" w:eastAsia="zh-CN"/>
        </w:rPr>
        <w:t>60</w:t>
      </w:r>
      <w:r>
        <w:rPr>
          <w:rFonts w:hint="eastAsia"/>
          <w:color w:val="auto"/>
        </w:rPr>
        <w:t>万元，全年执行数</w:t>
      </w:r>
      <w:r>
        <w:rPr>
          <w:rFonts w:hint="eastAsia"/>
          <w:color w:val="auto"/>
          <w:lang w:val="en-US" w:eastAsia="zh-CN"/>
        </w:rPr>
        <w:t>60</w:t>
      </w:r>
      <w:r>
        <w:rPr>
          <w:rFonts w:hint="eastAsia"/>
          <w:color w:val="auto"/>
        </w:rPr>
        <w:t>万元，预算执行率为</w:t>
      </w:r>
      <w:r>
        <w:rPr>
          <w:color w:val="auto"/>
        </w:rPr>
        <w:t>100</w:t>
      </w:r>
      <w:r>
        <w:rPr>
          <w:rFonts w:hint="eastAsia"/>
          <w:color w:val="auto"/>
        </w:rPr>
        <w:t>%</w:t>
      </w:r>
      <w:r>
        <w:rPr>
          <w:rFonts w:hint="eastAsia"/>
          <w:color w:val="auto"/>
          <w:lang w:eastAsia="zh-CN"/>
        </w:rPr>
        <w:t>。</w:t>
      </w:r>
    </w:p>
    <w:p w14:paraId="636D2F3A">
      <w:pPr>
        <w:spacing w:line="360" w:lineRule="auto"/>
      </w:pPr>
      <w:r>
        <w:rPr>
          <w:rFonts w:hint="eastAsia"/>
        </w:rPr>
        <w:t>3、资金使用合规性</w:t>
      </w:r>
    </w:p>
    <w:p w14:paraId="011E7E81">
      <w:pPr>
        <w:spacing w:line="360" w:lineRule="auto"/>
        <w:ind w:firstLine="600" w:firstLineChars="200"/>
        <w:rPr>
          <w:color w:val="auto"/>
        </w:rPr>
      </w:pPr>
      <w:r>
        <w:rPr>
          <w:rFonts w:hint="eastAsia"/>
          <w:color w:val="auto"/>
          <w:lang w:eastAsia="zh-CN"/>
        </w:rPr>
        <w:t>该</w:t>
      </w:r>
      <w:r>
        <w:rPr>
          <w:rFonts w:hint="eastAsia"/>
          <w:color w:val="auto"/>
        </w:rPr>
        <w:t>项目符合国家财经法规和财务管理制度以及有关专项资金管理办法的规定；资金的拨付有完整的审批程序和手续；项目使用符合项目预算批复或合同规定的用途；不存在截留、挤占、挪用、虚列支出等情况。</w:t>
      </w:r>
    </w:p>
    <w:p w14:paraId="65D09676">
      <w:pPr>
        <w:spacing w:line="360" w:lineRule="auto"/>
      </w:pPr>
      <w:r>
        <w:rPr>
          <w:rFonts w:hint="eastAsia"/>
        </w:rPr>
        <w:t>4、管理制度健全性</w:t>
      </w:r>
    </w:p>
    <w:p w14:paraId="669215F7">
      <w:pPr>
        <w:spacing w:line="360" w:lineRule="auto"/>
        <w:ind w:firstLine="600" w:firstLineChars="200"/>
        <w:rPr>
          <w:color w:val="auto"/>
        </w:rPr>
      </w:pPr>
      <w:r>
        <w:rPr>
          <w:rFonts w:hint="eastAsia"/>
          <w:color w:val="auto"/>
        </w:rPr>
        <w:t>严格遵守《会计法》、《预算法》、《行政单位财务规则》等法律和有关财政财务规章，财务和业务管理制度合法、合规、完整。</w:t>
      </w:r>
    </w:p>
    <w:p w14:paraId="76D15383">
      <w:pPr>
        <w:spacing w:line="360" w:lineRule="auto"/>
      </w:pPr>
      <w:r>
        <w:rPr>
          <w:rFonts w:hint="eastAsia"/>
        </w:rPr>
        <w:t>5、制度执行有效性</w:t>
      </w:r>
    </w:p>
    <w:p w14:paraId="17353A39">
      <w:pPr>
        <w:spacing w:line="360" w:lineRule="auto"/>
        <w:ind w:firstLine="600" w:firstLineChars="200"/>
        <w:rPr>
          <w:rFonts w:hint="eastAsia"/>
          <w:color w:val="auto"/>
        </w:rPr>
      </w:pPr>
      <w:r>
        <w:rPr>
          <w:rFonts w:hint="eastAsia"/>
          <w:color w:val="auto"/>
          <w:lang w:eastAsia="zh-CN"/>
        </w:rPr>
        <w:t>该</w:t>
      </w:r>
      <w:r>
        <w:rPr>
          <w:rFonts w:hint="eastAsia"/>
          <w:color w:val="auto"/>
        </w:rPr>
        <w:t>项目实施遵守相关法律法规和相关管理规定；项目调整及支出调整手续完备；项目合同书、验收报告、技术鉴定等资料齐全并及时归档；项目实施的人员条件、场地设备、信息支撑等落实到位。</w:t>
      </w:r>
    </w:p>
    <w:p w14:paraId="771A2B1E">
      <w:pPr>
        <w:pStyle w:val="8"/>
        <w:spacing w:line="360" w:lineRule="auto"/>
        <w:rPr>
          <w:rFonts w:ascii="仿宋_GB2312" w:eastAsia="仿宋_GB2312"/>
          <w:b w:val="0"/>
          <w:bCs w:val="0"/>
        </w:rPr>
      </w:pPr>
      <w:bookmarkStart w:id="14" w:name="_Toc68703840"/>
      <w:r>
        <w:rPr>
          <w:rFonts w:hint="eastAsia" w:ascii="仿宋_GB2312" w:eastAsia="仿宋_GB2312"/>
          <w:b w:val="0"/>
          <w:bCs w:val="0"/>
        </w:rPr>
        <w:t>（三）项目产出情况。</w:t>
      </w:r>
      <w:bookmarkEnd w:id="14"/>
    </w:p>
    <w:p w14:paraId="716256EA">
      <w:pPr>
        <w:spacing w:line="360" w:lineRule="auto"/>
        <w:ind w:firstLine="600" w:firstLineChars="200"/>
        <w:rPr>
          <w:rFonts w:hint="eastAsia"/>
          <w:color w:val="auto"/>
          <w:highlight w:val="yellow"/>
          <w:lang w:eastAsia="zh-CN"/>
        </w:rPr>
      </w:pPr>
      <w:r>
        <w:rPr>
          <w:rFonts w:hint="eastAsia"/>
          <w:color w:val="auto"/>
          <w:lang w:val="en-US" w:eastAsia="zh-CN"/>
        </w:rPr>
        <w:t>1、</w:t>
      </w:r>
      <w:r>
        <w:rPr>
          <w:rFonts w:hint="eastAsia"/>
          <w:color w:val="auto"/>
        </w:rPr>
        <w:t>产出</w:t>
      </w:r>
      <w:r>
        <w:rPr>
          <w:rFonts w:hint="eastAsia"/>
          <w:color w:val="auto"/>
          <w:lang w:eastAsia="zh-CN"/>
        </w:rPr>
        <w:t>数量</w:t>
      </w:r>
      <w:r>
        <w:rPr>
          <w:rFonts w:hint="eastAsia"/>
          <w:color w:val="auto"/>
        </w:rPr>
        <w:t>指标：指标</w:t>
      </w:r>
      <w:r>
        <w:rPr>
          <w:rFonts w:hint="eastAsia"/>
          <w:color w:val="auto"/>
          <w:lang w:eastAsia="zh-CN"/>
        </w:rPr>
        <w:t>①</w:t>
      </w:r>
      <w:r>
        <w:rPr>
          <w:rFonts w:hint="eastAsia"/>
          <w:color w:val="auto"/>
        </w:rPr>
        <w:t>：</w:t>
      </w:r>
      <w:r>
        <w:rPr>
          <w:rFonts w:hint="eastAsia" w:ascii="Times New Roman" w:hAnsi="Times New Roman" w:cs="Times New Roman"/>
          <w:color w:val="auto"/>
        </w:rPr>
        <w:t>活动场所建设工程量，</w:t>
      </w:r>
      <w:r>
        <w:rPr>
          <w:rFonts w:hint="eastAsia"/>
          <w:color w:val="auto"/>
        </w:rPr>
        <w:t>指标值：</w:t>
      </w:r>
      <w:r>
        <w:rPr>
          <w:rFonts w:hint="eastAsia" w:ascii="Times New Roman" w:hAnsi="Times New Roman" w:cs="Times New Roman"/>
          <w:color w:val="auto"/>
        </w:rPr>
        <w:t>=300平方米，实际完成值</w:t>
      </w:r>
      <w:r>
        <w:rPr>
          <w:rFonts w:hint="eastAsia" w:ascii="Times New Roman" w:hAnsi="Times New Roman" w:cs="Times New Roman"/>
          <w:color w:val="auto"/>
          <w:lang w:val="en-US" w:eastAsia="zh-CN"/>
        </w:rPr>
        <w:t>300平方米</w:t>
      </w:r>
      <w:r>
        <w:rPr>
          <w:rFonts w:hint="eastAsia" w:ascii="Times New Roman" w:hAnsi="Times New Roman" w:cs="Times New Roman"/>
          <w:color w:val="auto"/>
          <w:lang w:eastAsia="zh-CN"/>
        </w:rPr>
        <w:t>，</w:t>
      </w:r>
      <w:r>
        <w:rPr>
          <w:rFonts w:hint="eastAsia" w:ascii="Times New Roman" w:hAnsi="Times New Roman" w:cs="Times New Roman"/>
          <w:color w:val="auto"/>
        </w:rPr>
        <w:t>指标完成100%</w:t>
      </w:r>
      <w:r>
        <w:rPr>
          <w:rFonts w:hint="eastAsia" w:cs="Times New Roman"/>
          <w:color w:val="auto"/>
          <w:lang w:eastAsia="zh-CN"/>
        </w:rPr>
        <w:t>，</w:t>
      </w:r>
      <w:r>
        <w:rPr>
          <w:rFonts w:hint="eastAsia" w:cs="Times New Roman"/>
          <w:color w:val="auto"/>
          <w:lang w:val="en-US" w:eastAsia="zh-CN"/>
        </w:rPr>
        <w:t>无偏差</w:t>
      </w:r>
      <w:r>
        <w:rPr>
          <w:rFonts w:hint="eastAsia" w:ascii="Times New Roman" w:hAnsi="Times New Roman" w:cs="Times New Roman"/>
          <w:color w:val="auto"/>
        </w:rPr>
        <w:t>；</w:t>
      </w:r>
      <w:r>
        <w:rPr>
          <w:rFonts w:hint="eastAsia" w:ascii="Times New Roman" w:hAnsi="Times New Roman" w:cs="Times New Roman"/>
          <w:color w:val="auto"/>
          <w:lang w:eastAsia="zh-CN"/>
        </w:rPr>
        <w:t>指标②：</w:t>
      </w:r>
      <w:r>
        <w:rPr>
          <w:rFonts w:hint="eastAsia" w:ascii="Times New Roman" w:hAnsi="Times New Roman" w:cs="Times New Roman"/>
          <w:color w:val="auto"/>
          <w:lang w:val="en-US" w:eastAsia="zh-CN"/>
        </w:rPr>
        <w:t>活动场所建设工程数量，指标值：=1个，</w:t>
      </w:r>
      <w:r>
        <w:rPr>
          <w:rFonts w:hint="eastAsia"/>
          <w:color w:val="auto"/>
          <w:highlight w:val="none"/>
        </w:rPr>
        <w:t>实际完成值</w:t>
      </w:r>
      <w:r>
        <w:rPr>
          <w:rFonts w:hint="eastAsia"/>
          <w:color w:val="auto"/>
          <w:highlight w:val="none"/>
          <w:lang w:val="en-US" w:eastAsia="zh-CN"/>
        </w:rPr>
        <w:t>1个</w:t>
      </w:r>
      <w:r>
        <w:rPr>
          <w:rFonts w:hint="eastAsia"/>
          <w:color w:val="auto"/>
          <w:highlight w:val="none"/>
          <w:lang w:eastAsia="zh-CN"/>
        </w:rPr>
        <w:t>，</w:t>
      </w:r>
      <w:r>
        <w:rPr>
          <w:rFonts w:hint="eastAsia"/>
          <w:color w:val="auto"/>
          <w:highlight w:val="none"/>
        </w:rPr>
        <w:t>指标完成100%</w:t>
      </w:r>
      <w:r>
        <w:rPr>
          <w:rFonts w:hint="eastAsia"/>
          <w:color w:val="auto"/>
          <w:highlight w:val="none"/>
          <w:lang w:eastAsia="zh-CN"/>
        </w:rPr>
        <w:t>，</w:t>
      </w:r>
      <w:r>
        <w:rPr>
          <w:rFonts w:hint="eastAsia"/>
          <w:color w:val="auto"/>
          <w:highlight w:val="none"/>
          <w:lang w:val="en-US" w:eastAsia="zh-CN"/>
        </w:rPr>
        <w:t>无偏差</w:t>
      </w:r>
      <w:r>
        <w:rPr>
          <w:rFonts w:hint="eastAsia"/>
          <w:color w:val="auto"/>
          <w:highlight w:val="none"/>
          <w:lang w:eastAsia="zh-CN"/>
        </w:rPr>
        <w:t>；</w:t>
      </w:r>
    </w:p>
    <w:p w14:paraId="6DBD1B3A">
      <w:pPr>
        <w:spacing w:line="360" w:lineRule="auto"/>
        <w:ind w:firstLine="600" w:firstLineChars="200"/>
        <w:rPr>
          <w:rFonts w:hint="eastAsia" w:eastAsia="仿宋_GB2312"/>
          <w:color w:val="auto"/>
          <w:highlight w:val="yellow"/>
          <w:lang w:val="en-US" w:eastAsia="zh-CN"/>
        </w:rPr>
      </w:pPr>
      <w:r>
        <w:rPr>
          <w:rFonts w:hint="eastAsia"/>
          <w:color w:val="auto"/>
          <w:highlight w:val="none"/>
          <w:lang w:val="en-US" w:eastAsia="zh-CN"/>
        </w:rPr>
        <w:t>2、产出</w:t>
      </w:r>
      <w:r>
        <w:rPr>
          <w:rFonts w:hint="eastAsia"/>
          <w:color w:val="auto"/>
          <w:highlight w:val="none"/>
        </w:rPr>
        <w:t>质量指标：</w:t>
      </w:r>
      <w:r>
        <w:rPr>
          <w:rFonts w:hint="eastAsia"/>
          <w:color w:val="auto"/>
          <w:highlight w:val="none"/>
          <w:lang w:eastAsia="zh-CN"/>
        </w:rPr>
        <w:t>指标①：</w:t>
      </w:r>
      <w:r>
        <w:rPr>
          <w:rFonts w:hint="eastAsia" w:ascii="Times New Roman" w:hAnsi="Times New Roman" w:cs="Times New Roman"/>
          <w:color w:val="auto"/>
          <w:highlight w:val="none"/>
        </w:rPr>
        <w:t>竣工验收合格率</w:t>
      </w:r>
      <w:r>
        <w:rPr>
          <w:rFonts w:hint="eastAsia"/>
          <w:color w:val="auto"/>
          <w:highlight w:val="none"/>
        </w:rPr>
        <w:t>，</w:t>
      </w:r>
      <w:bookmarkStart w:id="15" w:name="_Hlk98607777"/>
      <w:r>
        <w:rPr>
          <w:rFonts w:hint="eastAsia"/>
          <w:color w:val="auto"/>
          <w:highlight w:val="none"/>
        </w:rPr>
        <w:t>指标值：</w:t>
      </w:r>
      <w:r>
        <w:rPr>
          <w:rFonts w:hint="eastAsia" w:ascii="Times New Roman" w:hAnsi="Times New Roman" w:cs="Times New Roman"/>
          <w:color w:val="auto"/>
          <w:highlight w:val="none"/>
        </w:rPr>
        <w:t>&gt;=98%，</w:t>
      </w:r>
      <w:r>
        <w:rPr>
          <w:rFonts w:hint="eastAsia"/>
          <w:color w:val="auto"/>
          <w:highlight w:val="none"/>
        </w:rPr>
        <w:t>实际完成值</w:t>
      </w:r>
      <w:r>
        <w:rPr>
          <w:rFonts w:hint="eastAsia"/>
          <w:color w:val="auto"/>
          <w:highlight w:val="none"/>
          <w:lang w:val="en-US" w:eastAsia="zh-CN"/>
        </w:rPr>
        <w:t>98</w:t>
      </w:r>
      <w:r>
        <w:rPr>
          <w:rFonts w:hint="eastAsia"/>
          <w:color w:val="auto"/>
          <w:highlight w:val="none"/>
        </w:rPr>
        <w:t>%，</w:t>
      </w:r>
      <w:bookmarkStart w:id="16" w:name="_Hlk98607678"/>
      <w:r>
        <w:rPr>
          <w:rFonts w:hint="eastAsia"/>
          <w:color w:val="auto"/>
          <w:highlight w:val="none"/>
        </w:rPr>
        <w:t>指标完成率</w:t>
      </w:r>
      <w:r>
        <w:rPr>
          <w:rFonts w:hint="eastAsia"/>
          <w:color w:val="auto"/>
          <w:highlight w:val="none"/>
          <w:lang w:val="en-US" w:eastAsia="zh-CN"/>
        </w:rPr>
        <w:t>100</w:t>
      </w:r>
      <w:r>
        <w:rPr>
          <w:rFonts w:hint="eastAsia"/>
          <w:color w:val="auto"/>
          <w:highlight w:val="none"/>
        </w:rPr>
        <w:t xml:space="preserve">% </w:t>
      </w:r>
      <w:r>
        <w:rPr>
          <w:rFonts w:hint="eastAsia"/>
          <w:color w:val="auto"/>
          <w:highlight w:val="none"/>
          <w:lang w:eastAsia="zh-CN"/>
        </w:rPr>
        <w:t>，</w:t>
      </w:r>
      <w:r>
        <w:rPr>
          <w:rFonts w:hint="eastAsia"/>
          <w:color w:val="auto"/>
          <w:highlight w:val="none"/>
          <w:lang w:val="en-US" w:eastAsia="zh-CN"/>
        </w:rPr>
        <w:t>无偏差</w:t>
      </w:r>
      <w:r>
        <w:rPr>
          <w:rFonts w:hint="eastAsia"/>
          <w:color w:val="auto"/>
          <w:highlight w:val="none"/>
        </w:rPr>
        <w:t>；</w:t>
      </w:r>
      <w:bookmarkEnd w:id="15"/>
      <w:bookmarkEnd w:id="16"/>
      <w:r>
        <w:rPr>
          <w:rFonts w:hint="eastAsia" w:ascii="Times New Roman" w:hAnsi="Times New Roman" w:cs="Times New Roman"/>
          <w:color w:val="auto"/>
          <w:highlight w:val="none"/>
          <w:lang w:eastAsia="zh-CN"/>
        </w:rPr>
        <w:t>指标②：</w:t>
      </w:r>
      <w:r>
        <w:rPr>
          <w:rFonts w:hint="eastAsia" w:ascii="Times New Roman" w:hAnsi="Times New Roman" w:cs="Times New Roman"/>
          <w:color w:val="auto"/>
          <w:highlight w:val="none"/>
          <w:lang w:val="en-US" w:eastAsia="zh-CN"/>
        </w:rPr>
        <w:t>项目资金支付及时率，指标值：</w:t>
      </w:r>
      <w:r>
        <w:rPr>
          <w:rFonts w:hint="eastAsia" w:ascii="Times New Roman" w:hAnsi="Times New Roman" w:cs="Times New Roman"/>
          <w:color w:val="auto"/>
          <w:highlight w:val="none"/>
        </w:rPr>
        <w:t>&gt;=98%</w:t>
      </w:r>
      <w:r>
        <w:rPr>
          <w:rFonts w:hint="eastAsia" w:ascii="Times New Roman" w:hAnsi="Times New Roman" w:cs="Times New Roman"/>
          <w:color w:val="auto"/>
          <w:lang w:val="en-US" w:eastAsia="zh-CN"/>
        </w:rPr>
        <w:t>，</w:t>
      </w:r>
      <w:r>
        <w:rPr>
          <w:rFonts w:hint="eastAsia"/>
          <w:color w:val="auto"/>
          <w:highlight w:val="none"/>
        </w:rPr>
        <w:t>实际完成值</w:t>
      </w:r>
      <w:r>
        <w:rPr>
          <w:rFonts w:hint="eastAsia"/>
          <w:color w:val="auto"/>
          <w:highlight w:val="none"/>
          <w:lang w:val="en-US" w:eastAsia="zh-CN"/>
        </w:rPr>
        <w:t>98%</w:t>
      </w:r>
      <w:r>
        <w:rPr>
          <w:rFonts w:hint="eastAsia"/>
          <w:color w:val="auto"/>
          <w:highlight w:val="none"/>
          <w:lang w:eastAsia="zh-CN"/>
        </w:rPr>
        <w:t>，</w:t>
      </w:r>
      <w:r>
        <w:rPr>
          <w:rFonts w:hint="eastAsia"/>
          <w:color w:val="auto"/>
          <w:highlight w:val="none"/>
        </w:rPr>
        <w:t>指标完成100%</w:t>
      </w:r>
      <w:r>
        <w:rPr>
          <w:rFonts w:hint="eastAsia"/>
          <w:color w:val="auto"/>
          <w:highlight w:val="none"/>
          <w:lang w:eastAsia="zh-CN"/>
        </w:rPr>
        <w:t>，</w:t>
      </w:r>
      <w:r>
        <w:rPr>
          <w:rFonts w:hint="eastAsia"/>
          <w:color w:val="auto"/>
          <w:highlight w:val="none"/>
          <w:lang w:val="en-US" w:eastAsia="zh-CN"/>
        </w:rPr>
        <w:t>无偏差</w:t>
      </w:r>
      <w:r>
        <w:rPr>
          <w:rFonts w:hint="eastAsia"/>
          <w:color w:val="auto"/>
          <w:highlight w:val="none"/>
          <w:lang w:eastAsia="zh-CN"/>
        </w:rPr>
        <w:t>；</w:t>
      </w:r>
      <w:r>
        <w:rPr>
          <w:rFonts w:hint="eastAsia" w:ascii="Times New Roman" w:hAnsi="Times New Roman" w:cs="Times New Roman"/>
          <w:color w:val="auto"/>
          <w:lang w:eastAsia="zh-CN"/>
        </w:rPr>
        <w:t>指标</w:t>
      </w:r>
      <w:r>
        <w:rPr>
          <w:rFonts w:hint="default" w:ascii="Times New Roman" w:hAnsi="Times New Roman" w:cs="Times New Roman"/>
          <w:color w:val="auto"/>
          <w:lang w:eastAsia="zh-CN"/>
        </w:rPr>
        <w:t>③</w:t>
      </w:r>
      <w:r>
        <w:rPr>
          <w:rFonts w:hint="eastAsia" w:ascii="Times New Roman" w:hAnsi="Times New Roman" w:cs="Times New Roman"/>
          <w:color w:val="auto"/>
          <w:lang w:eastAsia="zh-CN"/>
        </w:rPr>
        <w:t>：</w:t>
      </w:r>
      <w:r>
        <w:rPr>
          <w:rFonts w:hint="eastAsia" w:ascii="Times New Roman" w:hAnsi="Times New Roman" w:cs="Times New Roman"/>
          <w:color w:val="auto"/>
          <w:highlight w:val="none"/>
        </w:rPr>
        <w:t>项目设计变更率</w:t>
      </w:r>
      <w:r>
        <w:rPr>
          <w:rFonts w:hint="eastAsia" w:ascii="Times New Roman" w:hAnsi="Times New Roman" w:cs="Times New Roman"/>
          <w:color w:val="auto"/>
          <w:lang w:val="en-US" w:eastAsia="zh-CN"/>
        </w:rPr>
        <w:t>，指标值：&lt;=98%，</w:t>
      </w:r>
      <w:r>
        <w:rPr>
          <w:rFonts w:hint="eastAsia"/>
          <w:color w:val="auto"/>
          <w:highlight w:val="none"/>
        </w:rPr>
        <w:t>实际完成值</w:t>
      </w:r>
      <w:r>
        <w:rPr>
          <w:rFonts w:hint="eastAsia"/>
          <w:color w:val="auto"/>
          <w:highlight w:val="none"/>
          <w:lang w:val="en-US" w:eastAsia="zh-CN"/>
        </w:rPr>
        <w:t>98%</w:t>
      </w:r>
      <w:r>
        <w:rPr>
          <w:rFonts w:hint="eastAsia"/>
          <w:color w:val="auto"/>
          <w:highlight w:val="none"/>
          <w:lang w:eastAsia="zh-CN"/>
        </w:rPr>
        <w:t>，</w:t>
      </w:r>
      <w:r>
        <w:rPr>
          <w:rFonts w:hint="eastAsia"/>
          <w:color w:val="auto"/>
          <w:highlight w:val="none"/>
        </w:rPr>
        <w:t>指标完成100%</w:t>
      </w:r>
      <w:r>
        <w:rPr>
          <w:rFonts w:hint="eastAsia"/>
          <w:color w:val="auto"/>
          <w:highlight w:val="none"/>
          <w:lang w:eastAsia="zh-CN"/>
        </w:rPr>
        <w:t>，</w:t>
      </w:r>
      <w:r>
        <w:rPr>
          <w:rFonts w:hint="eastAsia"/>
          <w:color w:val="auto"/>
          <w:highlight w:val="none"/>
          <w:lang w:val="en-US" w:eastAsia="zh-CN"/>
        </w:rPr>
        <w:t>无偏差</w:t>
      </w:r>
      <w:r>
        <w:rPr>
          <w:rFonts w:hint="eastAsia"/>
          <w:color w:val="auto"/>
          <w:highlight w:val="none"/>
          <w:lang w:eastAsia="zh-CN"/>
        </w:rPr>
        <w:t>。</w:t>
      </w:r>
    </w:p>
    <w:p w14:paraId="45213963">
      <w:pPr>
        <w:spacing w:line="360" w:lineRule="auto"/>
        <w:ind w:firstLine="600" w:firstLineChars="200"/>
        <w:rPr>
          <w:rFonts w:hint="eastAsia" w:eastAsia="仿宋_GB2312"/>
          <w:color w:val="auto"/>
          <w:highlight w:val="yellow"/>
          <w:lang w:val="en-US" w:eastAsia="zh-CN"/>
        </w:rPr>
      </w:pPr>
      <w:r>
        <w:rPr>
          <w:rFonts w:hint="eastAsia"/>
          <w:color w:val="auto"/>
          <w:highlight w:val="none"/>
          <w:lang w:val="en-US" w:eastAsia="zh-CN"/>
        </w:rPr>
        <w:t>3、产出</w:t>
      </w:r>
      <w:r>
        <w:rPr>
          <w:rFonts w:hint="eastAsia"/>
          <w:color w:val="auto"/>
          <w:highlight w:val="none"/>
        </w:rPr>
        <w:t>时效指标：</w:t>
      </w:r>
      <w:r>
        <w:rPr>
          <w:rFonts w:hint="eastAsia"/>
          <w:color w:val="auto"/>
          <w:highlight w:val="none"/>
          <w:lang w:eastAsia="zh-CN"/>
        </w:rPr>
        <w:t>指标①：</w:t>
      </w:r>
      <w:r>
        <w:rPr>
          <w:rFonts w:hint="eastAsia" w:ascii="Times New Roman" w:hAnsi="Times New Roman" w:cs="Times New Roman"/>
          <w:color w:val="auto"/>
          <w:highlight w:val="none"/>
        </w:rPr>
        <w:t>项目按计划开工及时率</w:t>
      </w:r>
      <w:r>
        <w:rPr>
          <w:rFonts w:hint="eastAsia"/>
          <w:color w:val="auto"/>
          <w:highlight w:val="none"/>
          <w:lang w:eastAsia="zh-CN"/>
        </w:rPr>
        <w:t>，</w:t>
      </w:r>
      <w:r>
        <w:rPr>
          <w:rFonts w:hint="eastAsia"/>
          <w:color w:val="auto"/>
          <w:highlight w:val="none"/>
        </w:rPr>
        <w:t>指标值</w:t>
      </w:r>
      <w:r>
        <w:rPr>
          <w:rFonts w:hint="eastAsia" w:ascii="Times New Roman" w:hAnsi="Times New Roman" w:cs="Times New Roman"/>
          <w:color w:val="auto"/>
          <w:highlight w:val="none"/>
        </w:rPr>
        <w:t>&lt;=100%，</w:t>
      </w:r>
      <w:r>
        <w:rPr>
          <w:rFonts w:hint="eastAsia"/>
          <w:color w:val="auto"/>
          <w:highlight w:val="none"/>
        </w:rPr>
        <w:t>完成值</w:t>
      </w:r>
      <w:r>
        <w:rPr>
          <w:rFonts w:hint="eastAsia"/>
          <w:color w:val="auto"/>
          <w:highlight w:val="none"/>
          <w:lang w:val="en-US" w:eastAsia="zh-CN"/>
        </w:rPr>
        <w:t>100%</w:t>
      </w:r>
      <w:r>
        <w:rPr>
          <w:rFonts w:hint="eastAsia"/>
          <w:color w:val="auto"/>
          <w:highlight w:val="none"/>
        </w:rPr>
        <w:t>。指标完成率</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r>
        <w:rPr>
          <w:rFonts w:hint="eastAsia"/>
          <w:color w:val="auto"/>
          <w:highlight w:val="none"/>
          <w:lang w:val="en-US" w:eastAsia="zh-CN"/>
        </w:rPr>
        <w:t>无偏差</w:t>
      </w:r>
      <w:r>
        <w:rPr>
          <w:rFonts w:hint="eastAsia"/>
          <w:color w:val="auto"/>
          <w:highlight w:val="none"/>
          <w:lang w:eastAsia="zh-CN"/>
        </w:rPr>
        <w:t>。</w:t>
      </w:r>
      <w:r>
        <w:rPr>
          <w:rFonts w:hint="eastAsia" w:ascii="Times New Roman" w:hAnsi="Times New Roman" w:cs="Times New Roman"/>
          <w:color w:val="auto"/>
          <w:highlight w:val="none"/>
          <w:lang w:eastAsia="zh-CN"/>
        </w:rPr>
        <w:t>指标②：项目按计划完工及时率</w:t>
      </w:r>
      <w:r>
        <w:rPr>
          <w:rFonts w:hint="eastAsia" w:ascii="Times New Roman" w:hAnsi="Times New Roman" w:cs="Times New Roman"/>
          <w:color w:val="auto"/>
          <w:highlight w:val="none"/>
          <w:lang w:val="en-US" w:eastAsia="zh-CN"/>
        </w:rPr>
        <w:t>，指标值：</w:t>
      </w:r>
      <w:r>
        <w:rPr>
          <w:rFonts w:hint="eastAsia" w:ascii="Times New Roman" w:hAnsi="Times New Roman" w:cs="Times New Roman"/>
          <w:color w:val="auto"/>
          <w:highlight w:val="none"/>
        </w:rPr>
        <w:t>&lt;=98%</w:t>
      </w:r>
      <w:r>
        <w:rPr>
          <w:rFonts w:hint="eastAsia" w:ascii="Times New Roman" w:hAnsi="Times New Roman" w:cs="Times New Roman"/>
          <w:color w:val="auto"/>
          <w:highlight w:val="none"/>
          <w:lang w:val="en-US" w:eastAsia="zh-CN"/>
        </w:rPr>
        <w:t>，</w:t>
      </w:r>
      <w:r>
        <w:rPr>
          <w:rFonts w:hint="eastAsia"/>
          <w:color w:val="auto"/>
          <w:highlight w:val="none"/>
        </w:rPr>
        <w:t>实际完成值</w:t>
      </w:r>
      <w:r>
        <w:rPr>
          <w:rFonts w:hint="eastAsia"/>
          <w:color w:val="auto"/>
          <w:highlight w:val="none"/>
          <w:lang w:val="en-US" w:eastAsia="zh-CN"/>
        </w:rPr>
        <w:t>98%</w:t>
      </w:r>
      <w:r>
        <w:rPr>
          <w:rFonts w:hint="eastAsia"/>
          <w:color w:val="auto"/>
          <w:highlight w:val="none"/>
          <w:lang w:eastAsia="zh-CN"/>
        </w:rPr>
        <w:t>，</w:t>
      </w:r>
      <w:r>
        <w:rPr>
          <w:rFonts w:hint="eastAsia"/>
          <w:color w:val="auto"/>
          <w:highlight w:val="none"/>
        </w:rPr>
        <w:t>指标完成100%</w:t>
      </w:r>
      <w:r>
        <w:rPr>
          <w:rFonts w:hint="eastAsia"/>
          <w:color w:val="auto"/>
          <w:highlight w:val="none"/>
          <w:lang w:eastAsia="zh-CN"/>
        </w:rPr>
        <w:t>，</w:t>
      </w:r>
      <w:r>
        <w:rPr>
          <w:rFonts w:hint="eastAsia"/>
          <w:color w:val="auto"/>
          <w:highlight w:val="none"/>
          <w:lang w:val="en-US" w:eastAsia="zh-CN"/>
        </w:rPr>
        <w:t>无偏差</w:t>
      </w:r>
      <w:r>
        <w:rPr>
          <w:rFonts w:hint="eastAsia"/>
          <w:color w:val="auto"/>
          <w:highlight w:val="none"/>
          <w:lang w:eastAsia="zh-CN"/>
        </w:rPr>
        <w:t>。</w:t>
      </w:r>
    </w:p>
    <w:p w14:paraId="7C126A41">
      <w:pPr>
        <w:spacing w:line="360" w:lineRule="auto"/>
        <w:ind w:firstLine="600" w:firstLineChars="200"/>
        <w:rPr>
          <w:rFonts w:hint="eastAsia"/>
          <w:highlight w:val="yellow"/>
          <w:lang w:eastAsia="zh-CN"/>
        </w:rPr>
      </w:pPr>
      <w:r>
        <w:rPr>
          <w:rFonts w:hint="eastAsia" w:cs="Times New Roman"/>
          <w:b w:val="0"/>
          <w:bCs w:val="0"/>
          <w:color w:val="auto"/>
          <w:kern w:val="2"/>
          <w:sz w:val="30"/>
          <w:szCs w:val="24"/>
          <w:highlight w:val="none"/>
          <w:lang w:val="en-US" w:eastAsia="zh-CN" w:bidi="ar-SA"/>
        </w:rPr>
        <w:t>4、经济成本指标：指标①</w:t>
      </w:r>
      <w:r>
        <w:rPr>
          <w:rFonts w:hint="eastAsia" w:ascii="Times New Roman" w:hAnsi="Times New Roman" w:cs="Times New Roman"/>
          <w:color w:val="auto"/>
          <w:highlight w:val="none"/>
          <w:lang w:val="en-US" w:eastAsia="zh-CN"/>
        </w:rPr>
        <w:t>：</w:t>
      </w:r>
      <w:r>
        <w:rPr>
          <w:rFonts w:hint="eastAsia" w:ascii="Times New Roman" w:hAnsi="Times New Roman" w:cs="Times New Roman"/>
          <w:color w:val="auto"/>
          <w:highlight w:val="none"/>
        </w:rPr>
        <w:t>预算控制率</w:t>
      </w:r>
      <w:r>
        <w:rPr>
          <w:rFonts w:hint="eastAsia" w:cs="Times New Roman"/>
          <w:b w:val="0"/>
          <w:bCs w:val="0"/>
          <w:color w:val="auto"/>
          <w:kern w:val="2"/>
          <w:sz w:val="30"/>
          <w:szCs w:val="24"/>
          <w:highlight w:val="none"/>
          <w:lang w:val="en-US" w:eastAsia="zh-CN" w:bidi="ar-SA"/>
        </w:rPr>
        <w:t>，</w:t>
      </w:r>
      <w:r>
        <w:rPr>
          <w:rFonts w:hint="eastAsia"/>
          <w:color w:val="auto"/>
          <w:highlight w:val="none"/>
        </w:rPr>
        <w:t>指标值：</w:t>
      </w:r>
      <w:r>
        <w:rPr>
          <w:rFonts w:hint="eastAsia" w:ascii="Times New Roman" w:hAnsi="Times New Roman" w:cs="Times New Roman"/>
          <w:color w:val="auto"/>
          <w:highlight w:val="none"/>
        </w:rPr>
        <w:t>&lt;=100%，</w:t>
      </w:r>
      <w:r>
        <w:rPr>
          <w:rFonts w:hint="eastAsia"/>
          <w:color w:val="auto"/>
          <w:highlight w:val="none"/>
        </w:rPr>
        <w:t>实际完成值100%，指标完成率</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r>
        <w:rPr>
          <w:rFonts w:hint="eastAsia"/>
          <w:color w:val="auto"/>
          <w:highlight w:val="none"/>
          <w:lang w:val="en-US" w:eastAsia="zh-CN"/>
        </w:rPr>
        <w:t>无偏差</w:t>
      </w:r>
      <w:r>
        <w:rPr>
          <w:rFonts w:hint="eastAsia"/>
          <w:color w:val="auto"/>
          <w:highlight w:val="none"/>
        </w:rPr>
        <w:t xml:space="preserve"> </w:t>
      </w:r>
      <w:r>
        <w:rPr>
          <w:rFonts w:hint="eastAsia"/>
          <w:color w:val="auto"/>
          <w:highlight w:val="none"/>
          <w:lang w:eastAsia="zh-CN"/>
        </w:rPr>
        <w:t>。</w:t>
      </w:r>
    </w:p>
    <w:p w14:paraId="740BA8AB">
      <w:pPr>
        <w:pStyle w:val="8"/>
        <w:spacing w:line="360" w:lineRule="auto"/>
        <w:rPr>
          <w:rFonts w:ascii="仿宋_GB2312" w:eastAsia="仿宋_GB2312"/>
          <w:b w:val="0"/>
          <w:bCs w:val="0"/>
        </w:rPr>
      </w:pPr>
      <w:bookmarkStart w:id="17" w:name="_Toc68703841"/>
      <w:r>
        <w:rPr>
          <w:rFonts w:hint="eastAsia" w:ascii="仿宋_GB2312" w:eastAsia="仿宋_GB2312"/>
          <w:b w:val="0"/>
          <w:bCs w:val="0"/>
        </w:rPr>
        <w:t>（四）项目效益情况。</w:t>
      </w:r>
      <w:bookmarkEnd w:id="17"/>
    </w:p>
    <w:p w14:paraId="68C595DD">
      <w:pPr>
        <w:spacing w:line="360" w:lineRule="auto"/>
        <w:ind w:firstLine="600" w:firstLineChars="200"/>
        <w:rPr>
          <w:rFonts w:hint="eastAsia"/>
          <w:color w:val="auto"/>
          <w:highlight w:val="none"/>
          <w:lang w:val="en-US" w:eastAsia="zh-CN"/>
        </w:rPr>
      </w:pPr>
      <w:r>
        <w:rPr>
          <w:rFonts w:hint="eastAsia"/>
          <w:color w:val="auto"/>
          <w:highlight w:val="none"/>
          <w:lang w:val="en-US" w:eastAsia="zh-CN"/>
        </w:rPr>
        <w:t>1、社会效益指标：指标①：</w:t>
      </w:r>
      <w:r>
        <w:rPr>
          <w:rFonts w:hint="eastAsia" w:ascii="Times New Roman" w:hAnsi="Times New Roman" w:cs="Times New Roman"/>
          <w:color w:val="auto"/>
          <w:highlight w:val="none"/>
          <w:lang w:val="en-US" w:eastAsia="zh-CN"/>
        </w:rPr>
        <w:t>项目受益人数，指标值：=1000人</w:t>
      </w:r>
      <w:r>
        <w:rPr>
          <w:rFonts w:hint="eastAsia"/>
          <w:color w:val="auto"/>
          <w:highlight w:val="none"/>
          <w:lang w:val="en-US" w:eastAsia="zh-CN"/>
        </w:rPr>
        <w:t>，实际完成值：1000人，指标完成率100%，无偏差。</w:t>
      </w:r>
    </w:p>
    <w:p w14:paraId="70584BDA">
      <w:pPr>
        <w:spacing w:line="360" w:lineRule="auto"/>
        <w:ind w:firstLine="600" w:firstLineChars="200"/>
        <w:rPr>
          <w:rFonts w:hint="default" w:ascii="Times New Roman" w:hAnsi="Times New Roman" w:eastAsia="仿宋_GB2312" w:cs="Times New Roman"/>
          <w:b w:val="0"/>
          <w:bCs w:val="0"/>
          <w:color w:val="auto"/>
          <w:kern w:val="2"/>
          <w:sz w:val="30"/>
          <w:szCs w:val="24"/>
          <w:highlight w:val="yellow"/>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2、</w:t>
      </w:r>
      <w:r>
        <w:rPr>
          <w:rFonts w:hint="eastAsia" w:cs="Times New Roman"/>
          <w:b w:val="0"/>
          <w:bCs w:val="0"/>
          <w:color w:val="auto"/>
          <w:kern w:val="2"/>
          <w:sz w:val="30"/>
          <w:szCs w:val="24"/>
          <w:highlight w:val="none"/>
          <w:lang w:val="en-US" w:eastAsia="zh-CN" w:bidi="ar-SA"/>
        </w:rPr>
        <w:t>满意度指标：指标①：</w:t>
      </w:r>
      <w:r>
        <w:rPr>
          <w:rFonts w:hint="eastAsia" w:ascii="Times New Roman" w:hAnsi="Times New Roman" w:cs="Times New Roman"/>
          <w:color w:val="auto"/>
          <w:highlight w:val="none"/>
        </w:rPr>
        <w:t>受益群众满意度</w:t>
      </w:r>
      <w:r>
        <w:rPr>
          <w:rFonts w:hint="eastAsia" w:ascii="Times New Roman" w:hAnsi="Times New Roman" w:cs="Times New Roman"/>
          <w:color w:val="auto"/>
          <w:highlight w:val="none"/>
          <w:lang w:val="en-US" w:eastAsia="zh-CN"/>
        </w:rPr>
        <w:t>，</w:t>
      </w:r>
      <w:r>
        <w:rPr>
          <w:rFonts w:hint="eastAsia"/>
          <w:color w:val="auto"/>
          <w:highlight w:val="none"/>
        </w:rPr>
        <w:t>指标值：&gt;=</w:t>
      </w:r>
      <w:r>
        <w:rPr>
          <w:rFonts w:hint="eastAsia"/>
          <w:color w:val="auto"/>
          <w:highlight w:val="none"/>
          <w:lang w:val="en-US" w:eastAsia="zh-CN"/>
        </w:rPr>
        <w:t>98</w:t>
      </w:r>
      <w:r>
        <w:rPr>
          <w:rFonts w:hint="eastAsia"/>
          <w:color w:val="auto"/>
          <w:highlight w:val="none"/>
        </w:rPr>
        <w:t>%，实际完成值</w:t>
      </w:r>
      <w:r>
        <w:rPr>
          <w:rFonts w:hint="eastAsia"/>
          <w:color w:val="auto"/>
          <w:highlight w:val="none"/>
          <w:lang w:val="en-US" w:eastAsia="zh-CN"/>
        </w:rPr>
        <w:t>98</w:t>
      </w:r>
      <w:r>
        <w:rPr>
          <w:rFonts w:hint="eastAsia"/>
          <w:color w:val="auto"/>
          <w:highlight w:val="none"/>
        </w:rPr>
        <w:t>%，指标完成率</w:t>
      </w:r>
      <w:r>
        <w:rPr>
          <w:rFonts w:hint="eastAsia"/>
          <w:color w:val="auto"/>
          <w:highlight w:val="none"/>
          <w:lang w:val="en-US" w:eastAsia="zh-CN"/>
        </w:rPr>
        <w:t>100</w:t>
      </w:r>
      <w:r>
        <w:rPr>
          <w:rFonts w:hint="eastAsia"/>
          <w:color w:val="auto"/>
          <w:highlight w:val="none"/>
        </w:rPr>
        <w:t xml:space="preserve">% </w:t>
      </w:r>
      <w:r>
        <w:rPr>
          <w:rFonts w:hint="eastAsia"/>
          <w:color w:val="auto"/>
          <w:highlight w:val="none"/>
          <w:lang w:eastAsia="zh-CN"/>
        </w:rPr>
        <w:t>，</w:t>
      </w:r>
      <w:r>
        <w:rPr>
          <w:rFonts w:hint="eastAsia"/>
          <w:color w:val="auto"/>
          <w:highlight w:val="none"/>
          <w:lang w:val="en-US" w:eastAsia="zh-CN"/>
        </w:rPr>
        <w:t>无偏差</w:t>
      </w:r>
      <w:r>
        <w:rPr>
          <w:rFonts w:hint="eastAsia"/>
          <w:color w:val="auto"/>
          <w:highlight w:val="none"/>
          <w:lang w:eastAsia="zh-CN"/>
        </w:rPr>
        <w:t>。</w:t>
      </w:r>
    </w:p>
    <w:p w14:paraId="4C6A3C46">
      <w:pPr>
        <w:pStyle w:val="7"/>
        <w:spacing w:line="360" w:lineRule="auto"/>
        <w:rPr>
          <w:rFonts w:ascii="宋体" w:hAnsi="宋体" w:eastAsia="宋体"/>
          <w:sz w:val="32"/>
          <w:szCs w:val="32"/>
        </w:rPr>
      </w:pPr>
      <w:bookmarkStart w:id="18" w:name="_Toc68703842"/>
      <w:r>
        <w:rPr>
          <w:rFonts w:hint="eastAsia" w:ascii="宋体" w:hAnsi="宋体" w:eastAsia="宋体"/>
          <w:sz w:val="32"/>
          <w:szCs w:val="32"/>
        </w:rPr>
        <w:t>五、主要经验及做法、存在的问题及原因分析</w:t>
      </w:r>
      <w:bookmarkEnd w:id="18"/>
    </w:p>
    <w:p w14:paraId="388C0472">
      <w:pPr>
        <w:pStyle w:val="8"/>
        <w:spacing w:line="360" w:lineRule="auto"/>
        <w:rPr>
          <w:rFonts w:hint="eastAsia" w:ascii="仿宋_GB2312" w:eastAsia="仿宋_GB2312"/>
          <w:b w:val="0"/>
          <w:bCs w:val="0"/>
        </w:rPr>
      </w:pPr>
      <w:bookmarkStart w:id="19" w:name="_Toc68703843"/>
      <w:r>
        <w:rPr>
          <w:rFonts w:hint="eastAsia" w:ascii="仿宋_GB2312" w:eastAsia="仿宋_GB2312"/>
          <w:b w:val="0"/>
          <w:bCs w:val="0"/>
        </w:rPr>
        <w:t>（一）主要经验及做法</w:t>
      </w:r>
      <w:bookmarkEnd w:id="19"/>
    </w:p>
    <w:p w14:paraId="3E7E81F0">
      <w:pPr>
        <w:spacing w:line="360" w:lineRule="auto"/>
        <w:ind w:firstLine="600" w:firstLineChars="200"/>
        <w:rPr>
          <w:rFonts w:hint="eastAsia"/>
          <w:color w:val="auto"/>
        </w:rPr>
      </w:pPr>
      <w:r>
        <w:rPr>
          <w:rFonts w:hint="eastAsia"/>
          <w:color w:val="auto"/>
          <w:lang w:val="en-US" w:eastAsia="zh-CN"/>
        </w:rPr>
        <w:t>1、</w:t>
      </w:r>
      <w:r>
        <w:rPr>
          <w:rFonts w:hint="eastAsia"/>
          <w:color w:val="auto"/>
        </w:rPr>
        <w:t>项目实施过程中，按照年度计划规范地组织实施，有条不紊开展相关工作，并做好资料收集整理工作。</w:t>
      </w:r>
    </w:p>
    <w:p w14:paraId="05FE5529">
      <w:pPr>
        <w:spacing w:line="360" w:lineRule="auto"/>
        <w:ind w:firstLine="600" w:firstLineChars="200"/>
        <w:rPr>
          <w:rFonts w:hint="eastAsia"/>
          <w:color w:val="auto"/>
        </w:rPr>
      </w:pPr>
      <w:r>
        <w:rPr>
          <w:rFonts w:hint="eastAsia"/>
          <w:color w:val="auto"/>
          <w:lang w:val="en-US" w:eastAsia="zh-CN"/>
        </w:rPr>
        <w:t>2、</w:t>
      </w:r>
      <w:r>
        <w:rPr>
          <w:rFonts w:hint="eastAsia"/>
          <w:color w:val="auto"/>
        </w:rPr>
        <w:t>成立项目绩效管理领导小组，将项目的运行，资金使用情况全部纳入领导小组的全程监管之下。</w:t>
      </w:r>
    </w:p>
    <w:p w14:paraId="353DB8A2">
      <w:pPr>
        <w:pStyle w:val="8"/>
        <w:spacing w:line="360" w:lineRule="auto"/>
        <w:ind w:firstLine="640" w:firstLineChars="200"/>
        <w:rPr>
          <w:rFonts w:hint="eastAsia" w:ascii="仿宋_GB2312" w:eastAsia="仿宋_GB2312"/>
          <w:b w:val="0"/>
          <w:bCs w:val="0"/>
        </w:rPr>
      </w:pPr>
      <w:bookmarkStart w:id="20" w:name="_Toc68703844"/>
      <w:r>
        <w:rPr>
          <w:rFonts w:hint="eastAsia" w:ascii="仿宋_GB2312" w:eastAsia="仿宋_GB2312"/>
          <w:b w:val="0"/>
          <w:bCs w:val="0"/>
        </w:rPr>
        <w:t>（二）存在的问题及原因分析</w:t>
      </w:r>
      <w:bookmarkEnd w:id="20"/>
    </w:p>
    <w:p w14:paraId="722C1959">
      <w:pPr>
        <w:pageBreakBefore w:val="0"/>
        <w:kinsoku/>
        <w:wordWrap/>
        <w:overflowPunct/>
        <w:topLinePunct w:val="0"/>
        <w:autoSpaceDE/>
        <w:autoSpaceDN/>
        <w:bidi w:val="0"/>
        <w:adjustRightInd/>
        <w:spacing w:line="50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hAnsiTheme="majorHAnsi" w:cstheme="majorBidi"/>
          <w:b w:val="0"/>
          <w:bCs w:val="0"/>
          <w:kern w:val="2"/>
          <w:sz w:val="32"/>
          <w:szCs w:val="32"/>
          <w:lang w:val="en-US" w:eastAsia="zh-CN" w:bidi="ar-SA"/>
        </w:rPr>
        <w:t>1、存在问题：</w:t>
      </w:r>
      <w:r>
        <w:rPr>
          <w:rFonts w:hint="eastAsia" w:ascii="仿宋_GB2312" w:eastAsia="仿宋_GB2312" w:hAnsiTheme="majorHAnsi" w:cstheme="majorBidi"/>
          <w:b w:val="0"/>
          <w:bCs w:val="0"/>
          <w:kern w:val="2"/>
          <w:sz w:val="32"/>
          <w:szCs w:val="32"/>
          <w:lang w:val="en-US" w:eastAsia="zh-CN" w:bidi="ar-SA"/>
        </w:rPr>
        <w:t>财政绩效管理有待提高。</w:t>
      </w:r>
    </w:p>
    <w:p w14:paraId="5BD94F15">
      <w:pPr>
        <w:pageBreakBefore w:val="0"/>
        <w:kinsoku/>
        <w:wordWrap/>
        <w:overflowPunct/>
        <w:topLinePunct w:val="0"/>
        <w:autoSpaceDE/>
        <w:autoSpaceDN/>
        <w:bidi w:val="0"/>
        <w:adjustRightInd/>
        <w:spacing w:line="500" w:lineRule="exact"/>
        <w:ind w:firstLine="640" w:firstLineChars="200"/>
        <w:textAlignment w:val="auto"/>
      </w:pPr>
      <w:r>
        <w:rPr>
          <w:rFonts w:hint="eastAsia" w:ascii="仿宋_GB2312" w:hAnsiTheme="majorHAnsi" w:cstheme="majorBidi"/>
          <w:b w:val="0"/>
          <w:bCs w:val="0"/>
          <w:kern w:val="2"/>
          <w:sz w:val="32"/>
          <w:szCs w:val="32"/>
          <w:lang w:val="en-US" w:eastAsia="zh-CN" w:bidi="ar-SA"/>
        </w:rPr>
        <w:t>2、原因分析：</w:t>
      </w:r>
      <w:r>
        <w:rPr>
          <w:rFonts w:hint="eastAsia" w:ascii="仿宋_GB2312" w:eastAsia="仿宋_GB2312" w:hAnsiTheme="majorHAnsi" w:cstheme="majorBidi"/>
          <w:b w:val="0"/>
          <w:bCs w:val="0"/>
          <w:kern w:val="2"/>
          <w:sz w:val="32"/>
          <w:szCs w:val="32"/>
          <w:lang w:val="en-US" w:eastAsia="zh-CN" w:bidi="ar-SA"/>
        </w:rPr>
        <w:t>按照财政支出绩效管理要求，不断完善绩效评价的评价体系及工作流程，提高财政资金使用管理的水平和效率。</w:t>
      </w:r>
    </w:p>
    <w:p w14:paraId="7095D4BF">
      <w:pPr>
        <w:pStyle w:val="7"/>
        <w:numPr>
          <w:ilvl w:val="0"/>
          <w:numId w:val="2"/>
        </w:numPr>
        <w:spacing w:line="360" w:lineRule="auto"/>
        <w:rPr>
          <w:rFonts w:hint="eastAsia" w:ascii="宋体" w:hAnsi="宋体" w:eastAsia="宋体"/>
          <w:sz w:val="32"/>
          <w:szCs w:val="32"/>
        </w:rPr>
      </w:pPr>
      <w:bookmarkStart w:id="21" w:name="_Toc68703845"/>
      <w:r>
        <w:rPr>
          <w:rFonts w:hint="eastAsia" w:ascii="宋体" w:hAnsi="宋体" w:eastAsia="宋体"/>
          <w:sz w:val="32"/>
          <w:szCs w:val="32"/>
        </w:rPr>
        <w:t>有关建议</w:t>
      </w:r>
      <w:bookmarkEnd w:id="21"/>
    </w:p>
    <w:p w14:paraId="2A229BDA">
      <w:pPr>
        <w:spacing w:line="360" w:lineRule="auto"/>
        <w:ind w:firstLine="600" w:firstLineChars="200"/>
        <w:rPr>
          <w:rFonts w:hint="eastAsia"/>
          <w:color w:val="auto"/>
        </w:rPr>
      </w:pPr>
      <w:r>
        <w:rPr>
          <w:rFonts w:hint="eastAsia"/>
          <w:color w:val="auto"/>
        </w:rPr>
        <w:t>1、进一步提高绩效管理水平，加强与财政部门的紧密配合,开展好整体支出及项目资金绩效管理工作；</w:t>
      </w:r>
    </w:p>
    <w:p w14:paraId="08633BFB">
      <w:pPr>
        <w:spacing w:line="360" w:lineRule="auto"/>
        <w:ind w:firstLine="600" w:firstLineChars="200"/>
        <w:rPr>
          <w:rFonts w:hint="eastAsia"/>
          <w:color w:val="auto"/>
        </w:rPr>
      </w:pPr>
      <w:r>
        <w:rPr>
          <w:rFonts w:hint="eastAsia"/>
          <w:color w:val="auto"/>
        </w:rPr>
        <w:t>2、加强学习。进一步明确全面实施预算绩效管理的要求，</w:t>
      </w:r>
    </w:p>
    <w:p w14:paraId="5F4AC3DA">
      <w:pPr>
        <w:spacing w:line="360" w:lineRule="auto"/>
        <w:rPr>
          <w:rFonts w:hint="eastAsia"/>
          <w:color w:val="auto"/>
        </w:rPr>
      </w:pPr>
      <w:r>
        <w:rPr>
          <w:rFonts w:hint="eastAsia"/>
          <w:color w:val="auto"/>
        </w:rPr>
        <w:t>充分发挥预算绩效管理工作效用。</w:t>
      </w:r>
    </w:p>
    <w:p w14:paraId="135AC21F">
      <w:pPr>
        <w:pStyle w:val="7"/>
        <w:spacing w:line="360" w:lineRule="auto"/>
        <w:rPr>
          <w:rFonts w:ascii="宋体" w:hAnsi="宋体" w:eastAsia="宋体"/>
          <w:sz w:val="32"/>
          <w:szCs w:val="32"/>
        </w:rPr>
      </w:pPr>
      <w:bookmarkStart w:id="22" w:name="_Toc68703846"/>
      <w:r>
        <w:rPr>
          <w:rFonts w:hint="eastAsia" w:ascii="宋体" w:hAnsi="宋体" w:eastAsia="宋体"/>
          <w:sz w:val="32"/>
          <w:szCs w:val="32"/>
        </w:rPr>
        <w:t>七、其他需要说明的问题</w:t>
      </w:r>
      <w:bookmarkEnd w:id="22"/>
    </w:p>
    <w:p w14:paraId="70D5D756">
      <w:pPr>
        <w:spacing w:line="560" w:lineRule="exact"/>
        <w:ind w:firstLine="600" w:firstLineChars="200"/>
        <w:jc w:val="left"/>
        <w:rPr>
          <w:rFonts w:hint="eastAsia"/>
          <w:color w:val="auto"/>
        </w:rPr>
      </w:pPr>
      <w:r>
        <w:rPr>
          <w:rFonts w:hint="eastAsia"/>
          <w:color w:val="auto"/>
        </w:rPr>
        <w:t>本次预算绩效评价所采集的数据因为采集时间、数据来源等诸多因素的影响，可能会出现一定的偏差，进而对评价结果存在影响。</w:t>
      </w:r>
    </w:p>
    <w:p w14:paraId="45C8D831">
      <w:pPr>
        <w:spacing w:line="360" w:lineRule="auto"/>
      </w:pPr>
    </w:p>
    <w:p w14:paraId="3CC1675D"/>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FEC075"/>
    <w:multiLevelType w:val="singleLevel"/>
    <w:tmpl w:val="02FEC075"/>
    <w:lvl w:ilvl="0" w:tentative="0">
      <w:start w:val="6"/>
      <w:numFmt w:val="chineseCounting"/>
      <w:suff w:val="nothing"/>
      <w:lvlText w:val="%1、"/>
      <w:lvlJc w:val="left"/>
      <w:rPr>
        <w:rFonts w:hint="eastAsia"/>
      </w:rPr>
    </w:lvl>
  </w:abstractNum>
  <w:abstractNum w:abstractNumId="1">
    <w:nsid w:val="1356D5CD"/>
    <w:multiLevelType w:val="singleLevel"/>
    <w:tmpl w:val="1356D5CD"/>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yNTI4NGJhN2ZmZTdkNmEyZWY2Y2ZmNDAxYmY4MjYifQ=="/>
  </w:docVars>
  <w:rsids>
    <w:rsidRoot w:val="007D49C5"/>
    <w:rsid w:val="000B223C"/>
    <w:rsid w:val="001822A6"/>
    <w:rsid w:val="00376D6A"/>
    <w:rsid w:val="004850D4"/>
    <w:rsid w:val="00571796"/>
    <w:rsid w:val="00614288"/>
    <w:rsid w:val="007D49C5"/>
    <w:rsid w:val="008032CD"/>
    <w:rsid w:val="008464B5"/>
    <w:rsid w:val="008C631D"/>
    <w:rsid w:val="00977705"/>
    <w:rsid w:val="00987A38"/>
    <w:rsid w:val="00BA7845"/>
    <w:rsid w:val="00EF1FE3"/>
    <w:rsid w:val="01372051"/>
    <w:rsid w:val="01E52B01"/>
    <w:rsid w:val="053A67A0"/>
    <w:rsid w:val="08A70B11"/>
    <w:rsid w:val="08D2211B"/>
    <w:rsid w:val="0ACB31DC"/>
    <w:rsid w:val="0C5A4558"/>
    <w:rsid w:val="0EDF58BD"/>
    <w:rsid w:val="0EF56BB3"/>
    <w:rsid w:val="0FC41FA8"/>
    <w:rsid w:val="1105601C"/>
    <w:rsid w:val="11494E5B"/>
    <w:rsid w:val="11826EDE"/>
    <w:rsid w:val="11B034C2"/>
    <w:rsid w:val="11E931F7"/>
    <w:rsid w:val="12643F6B"/>
    <w:rsid w:val="14A30D26"/>
    <w:rsid w:val="15210A86"/>
    <w:rsid w:val="15DA37C6"/>
    <w:rsid w:val="190E0109"/>
    <w:rsid w:val="192128CC"/>
    <w:rsid w:val="19B86374"/>
    <w:rsid w:val="1C146065"/>
    <w:rsid w:val="1D1F2F14"/>
    <w:rsid w:val="1F3B0574"/>
    <w:rsid w:val="1F574BE7"/>
    <w:rsid w:val="251956B6"/>
    <w:rsid w:val="2732278A"/>
    <w:rsid w:val="276C4FA7"/>
    <w:rsid w:val="285C58B2"/>
    <w:rsid w:val="2A757CA7"/>
    <w:rsid w:val="2AF50EB8"/>
    <w:rsid w:val="2B67049F"/>
    <w:rsid w:val="2C684675"/>
    <w:rsid w:val="2CB74F17"/>
    <w:rsid w:val="2DD218DC"/>
    <w:rsid w:val="2E644C2A"/>
    <w:rsid w:val="2EAF7625"/>
    <w:rsid w:val="2EB538B8"/>
    <w:rsid w:val="2F7D2448"/>
    <w:rsid w:val="3017391D"/>
    <w:rsid w:val="318C415C"/>
    <w:rsid w:val="32BF32C1"/>
    <w:rsid w:val="39334989"/>
    <w:rsid w:val="395C61FB"/>
    <w:rsid w:val="39810D86"/>
    <w:rsid w:val="3BEB40E5"/>
    <w:rsid w:val="3CD4741F"/>
    <w:rsid w:val="3CDE7BB8"/>
    <w:rsid w:val="3D2757A1"/>
    <w:rsid w:val="3EA21D03"/>
    <w:rsid w:val="3F3020FF"/>
    <w:rsid w:val="401A060A"/>
    <w:rsid w:val="40393BFA"/>
    <w:rsid w:val="419B3797"/>
    <w:rsid w:val="42440BA3"/>
    <w:rsid w:val="424F7D01"/>
    <w:rsid w:val="43361289"/>
    <w:rsid w:val="46317690"/>
    <w:rsid w:val="46600A25"/>
    <w:rsid w:val="4861761A"/>
    <w:rsid w:val="497A68DE"/>
    <w:rsid w:val="49E87BE5"/>
    <w:rsid w:val="4A080708"/>
    <w:rsid w:val="4DBA0BF6"/>
    <w:rsid w:val="4ED432AF"/>
    <w:rsid w:val="4EED596B"/>
    <w:rsid w:val="4FF31B0C"/>
    <w:rsid w:val="50493828"/>
    <w:rsid w:val="50975B0F"/>
    <w:rsid w:val="50C65FC7"/>
    <w:rsid w:val="52402036"/>
    <w:rsid w:val="540B56FD"/>
    <w:rsid w:val="542720D3"/>
    <w:rsid w:val="542D76E9"/>
    <w:rsid w:val="54EB72AE"/>
    <w:rsid w:val="562B7C58"/>
    <w:rsid w:val="56A63FEE"/>
    <w:rsid w:val="573C40E7"/>
    <w:rsid w:val="588C0756"/>
    <w:rsid w:val="58C919AA"/>
    <w:rsid w:val="58C92347"/>
    <w:rsid w:val="59CD1026"/>
    <w:rsid w:val="5ABC5332"/>
    <w:rsid w:val="5B130FC6"/>
    <w:rsid w:val="5B694A37"/>
    <w:rsid w:val="5CC26747"/>
    <w:rsid w:val="5D41191E"/>
    <w:rsid w:val="5E827D40"/>
    <w:rsid w:val="60C05441"/>
    <w:rsid w:val="6192502F"/>
    <w:rsid w:val="622575EA"/>
    <w:rsid w:val="62BC40AF"/>
    <w:rsid w:val="62C62F46"/>
    <w:rsid w:val="643E5896"/>
    <w:rsid w:val="68CA50AF"/>
    <w:rsid w:val="692017AF"/>
    <w:rsid w:val="69D63F27"/>
    <w:rsid w:val="6AF9611F"/>
    <w:rsid w:val="6C4A06C1"/>
    <w:rsid w:val="6C4B4758"/>
    <w:rsid w:val="6CF52916"/>
    <w:rsid w:val="6E0077C5"/>
    <w:rsid w:val="727453AB"/>
    <w:rsid w:val="755C3532"/>
    <w:rsid w:val="75792336"/>
    <w:rsid w:val="77640DC4"/>
    <w:rsid w:val="776A1A98"/>
    <w:rsid w:val="77884AB3"/>
    <w:rsid w:val="77F27A3E"/>
    <w:rsid w:val="79077C59"/>
    <w:rsid w:val="79694470"/>
    <w:rsid w:val="79DA536E"/>
    <w:rsid w:val="7A1B7E60"/>
    <w:rsid w:val="7A7D6401"/>
    <w:rsid w:val="7B1C0F6D"/>
    <w:rsid w:val="7B901215"/>
    <w:rsid w:val="7C3D3992"/>
    <w:rsid w:val="7C7970C0"/>
    <w:rsid w:val="7CE56503"/>
    <w:rsid w:val="7E721C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qFormat="1" w:unhideWhenUsed="0" w:uiPriority="0" w:semiHidden="0"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7">
    <w:name w:val="heading 1"/>
    <w:basedOn w:val="1"/>
    <w:next w:val="1"/>
    <w:link w:val="19"/>
    <w:autoRedefine/>
    <w:qFormat/>
    <w:uiPriority w:val="9"/>
    <w:pPr>
      <w:keepNext/>
      <w:keepLines/>
      <w:spacing w:before="340" w:after="330" w:line="578" w:lineRule="auto"/>
      <w:outlineLvl w:val="0"/>
    </w:pPr>
    <w:rPr>
      <w:b/>
      <w:bCs/>
      <w:kern w:val="44"/>
      <w:sz w:val="44"/>
      <w:szCs w:val="44"/>
    </w:rPr>
  </w:style>
  <w:style w:type="paragraph" w:styleId="8">
    <w:name w:val="heading 2"/>
    <w:basedOn w:val="1"/>
    <w:next w:val="1"/>
    <w:link w:val="20"/>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9">
    <w:name w:val="heading 3"/>
    <w:basedOn w:val="1"/>
    <w:next w:val="1"/>
    <w:autoRedefine/>
    <w:semiHidden/>
    <w:unhideWhenUsed/>
    <w:qFormat/>
    <w:uiPriority w:val="9"/>
    <w:pPr>
      <w:keepNext/>
      <w:keepLines/>
      <w:spacing w:before="260" w:after="260" w:line="416" w:lineRule="auto"/>
      <w:outlineLvl w:val="2"/>
    </w:pPr>
    <w:rPr>
      <w:b/>
      <w:bCs/>
      <w:sz w:val="32"/>
      <w:szCs w:val="32"/>
    </w:rPr>
  </w:style>
  <w:style w:type="character" w:default="1" w:styleId="17">
    <w:name w:val="Default Paragraph Font"/>
    <w:autoRedefine/>
    <w:semiHidden/>
    <w:unhideWhenUsed/>
    <w:qFormat/>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next w:val="5"/>
    <w:unhideWhenUsed/>
    <w:qFormat/>
    <w:uiPriority w:val="99"/>
    <w:pPr>
      <w:spacing w:before="0" w:after="120" w:line="312" w:lineRule="auto"/>
      <w:ind w:left="420" w:leftChars="200" w:firstLine="420"/>
      <w:jc w:val="both"/>
    </w:pPr>
    <w:rPr>
      <w:rFonts w:eastAsia="宋体" w:cs="Times New Roman"/>
      <w:sz w:val="24"/>
    </w:rPr>
  </w:style>
  <w:style w:type="paragraph" w:styleId="3">
    <w:name w:val="Body Text Indent"/>
    <w:basedOn w:val="1"/>
    <w:next w:val="4"/>
    <w:unhideWhenUsed/>
    <w:qFormat/>
    <w:uiPriority w:val="99"/>
    <w:pPr>
      <w:spacing w:line="360" w:lineRule="auto"/>
      <w:ind w:firstLine="468"/>
    </w:pPr>
    <w:rPr>
      <w:rFonts w:ascii="宋体"/>
      <w:bCs/>
      <w:sz w:val="28"/>
    </w:rPr>
  </w:style>
  <w:style w:type="paragraph" w:styleId="4">
    <w:name w:val="Body Text"/>
    <w:basedOn w:val="1"/>
    <w:next w:val="5"/>
    <w:qFormat/>
    <w:uiPriority w:val="1"/>
    <w:rPr>
      <w:rFonts w:ascii="宋体" w:hAnsi="宋体" w:eastAsia="宋体" w:cs="宋体"/>
      <w:sz w:val="28"/>
      <w:szCs w:val="28"/>
      <w:lang w:val="zh-CN" w:eastAsia="zh-CN" w:bidi="zh-CN"/>
    </w:rPr>
  </w:style>
  <w:style w:type="paragraph" w:styleId="5">
    <w:name w:val="Body Text First Indent"/>
    <w:basedOn w:val="4"/>
    <w:next w:val="6"/>
    <w:qFormat/>
    <w:uiPriority w:val="0"/>
    <w:pPr>
      <w:ind w:firstLine="420" w:firstLineChars="100"/>
    </w:pPr>
    <w:rPr>
      <w:rFonts w:ascii="Times New Roman" w:hAnsi="Times New Roman" w:eastAsia="宋体" w:cs="Times New Roman"/>
    </w:rPr>
  </w:style>
  <w:style w:type="paragraph" w:styleId="6">
    <w:name w:val="index 6"/>
    <w:basedOn w:val="1"/>
    <w:next w:val="1"/>
    <w:qFormat/>
    <w:uiPriority w:val="0"/>
    <w:pPr>
      <w:ind w:firstLine="840"/>
    </w:pPr>
  </w:style>
  <w:style w:type="paragraph" w:styleId="10">
    <w:name w:val="footer"/>
    <w:basedOn w:val="1"/>
    <w:link w:val="23"/>
    <w:autoRedefine/>
    <w:unhideWhenUsed/>
    <w:qFormat/>
    <w:uiPriority w:val="99"/>
    <w:pPr>
      <w:tabs>
        <w:tab w:val="center" w:pos="4153"/>
        <w:tab w:val="right" w:pos="8306"/>
      </w:tabs>
      <w:snapToGrid w:val="0"/>
      <w:jc w:val="left"/>
    </w:pPr>
    <w:rPr>
      <w:sz w:val="18"/>
      <w:szCs w:val="18"/>
    </w:rPr>
  </w:style>
  <w:style w:type="paragraph" w:styleId="11">
    <w:name w:val="header"/>
    <w:basedOn w:val="1"/>
    <w:link w:val="2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3">
    <w:name w:val="footnote text"/>
    <w:basedOn w:val="1"/>
    <w:autoRedefine/>
    <w:qFormat/>
    <w:uiPriority w:val="0"/>
    <w:pPr>
      <w:snapToGrid w:val="0"/>
      <w:jc w:val="left"/>
    </w:pPr>
    <w:rPr>
      <w:sz w:val="18"/>
      <w:szCs w:val="18"/>
    </w:rPr>
  </w:style>
  <w:style w:type="paragraph" w:styleId="14">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5">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Hyperlink"/>
    <w:basedOn w:val="17"/>
    <w:autoRedefine/>
    <w:unhideWhenUsed/>
    <w:qFormat/>
    <w:uiPriority w:val="99"/>
    <w:rPr>
      <w:color w:val="0563C1" w:themeColor="hyperlink"/>
      <w:u w:val="single"/>
      <w14:textFill>
        <w14:solidFill>
          <w14:schemeClr w14:val="hlink"/>
        </w14:solidFill>
      </w14:textFill>
    </w:rPr>
  </w:style>
  <w:style w:type="character" w:customStyle="1" w:styleId="19">
    <w:name w:val="标题 1 字符"/>
    <w:basedOn w:val="17"/>
    <w:link w:val="7"/>
    <w:autoRedefine/>
    <w:qFormat/>
    <w:uiPriority w:val="9"/>
    <w:rPr>
      <w:rFonts w:ascii="Times New Roman" w:hAnsi="Times New Roman" w:eastAsia="仿宋_GB2312" w:cs="Times New Roman"/>
      <w:b/>
      <w:bCs/>
      <w:kern w:val="44"/>
      <w:sz w:val="44"/>
      <w:szCs w:val="44"/>
    </w:rPr>
  </w:style>
  <w:style w:type="character" w:customStyle="1" w:styleId="20">
    <w:name w:val="标题 2 字符"/>
    <w:basedOn w:val="17"/>
    <w:link w:val="8"/>
    <w:autoRedefine/>
    <w:qFormat/>
    <w:uiPriority w:val="9"/>
    <w:rPr>
      <w:rFonts w:asciiTheme="majorHAnsi" w:hAnsiTheme="majorHAnsi" w:eastAsiaTheme="majorEastAsia" w:cstheme="majorBidi"/>
      <w:b/>
      <w:bCs/>
      <w:sz w:val="32"/>
      <w:szCs w:val="32"/>
    </w:rPr>
  </w:style>
  <w:style w:type="paragraph" w:customStyle="1" w:styleId="21">
    <w:name w:val="TOC Heading"/>
    <w:basedOn w:val="7"/>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2">
    <w:name w:val="页眉 字符"/>
    <w:basedOn w:val="17"/>
    <w:link w:val="11"/>
    <w:autoRedefine/>
    <w:qFormat/>
    <w:uiPriority w:val="99"/>
    <w:rPr>
      <w:rFonts w:ascii="Times New Roman" w:hAnsi="Times New Roman" w:eastAsia="仿宋_GB2312" w:cs="Times New Roman"/>
      <w:sz w:val="18"/>
      <w:szCs w:val="18"/>
    </w:rPr>
  </w:style>
  <w:style w:type="character" w:customStyle="1" w:styleId="23">
    <w:name w:val="页脚 字符"/>
    <w:basedOn w:val="17"/>
    <w:link w:val="10"/>
    <w:autoRedefine/>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1097</Words>
  <Characters>6259</Characters>
  <Lines>52</Lines>
  <Paragraphs>14</Paragraphs>
  <TotalTime>0</TotalTime>
  <ScaleCrop>false</ScaleCrop>
  <LinksUpToDate>false</LinksUpToDate>
  <CharactersWithSpaces>7342</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2025-02-07T05:59:31Z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C10A60A6D9144BF185A63F71A217C929_12</vt:lpwstr>
  </property>
</Properties>
</file>