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仿宋_GB2312"/>
          <w:color w:val="000000"/>
          <w:kern w:val="0"/>
          <w:sz w:val="32"/>
          <w:szCs w:val="32"/>
          <w:lang w:eastAsia="zh-CN"/>
        </w:rPr>
        <w:t>巴州创建国家食品安全示范城市补助资金</w:t>
      </w:r>
    </w:p>
    <w:p>
      <w:pPr>
        <w:spacing w:line="560" w:lineRule="exact"/>
        <w:ind w:firstLine="321" w:firstLineChars="100"/>
        <w:rPr>
          <w:rFonts w:ascii="宋体" w:hAnsi="宋体" w:eastAsia="宋体" w:cs="宋体"/>
          <w:b w:val="0"/>
          <w:bCs w:val="0"/>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val="0"/>
          <w:bCs w:val="0"/>
          <w:color w:val="000000"/>
          <w:kern w:val="0"/>
          <w:sz w:val="32"/>
          <w:szCs w:val="32"/>
          <w:lang w:eastAsia="zh-CN"/>
        </w:rPr>
        <w:t>焉耆县市场监督管理局</w:t>
      </w:r>
      <w:r>
        <w:rPr>
          <w:rFonts w:ascii="宋体" w:hAnsi="宋体" w:eastAsia="宋体" w:cs="宋体"/>
          <w:b w:val="0"/>
          <w:bCs w:val="0"/>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val="0"/>
          <w:bCs w:val="0"/>
          <w:color w:val="000000"/>
          <w:kern w:val="0"/>
          <w:sz w:val="32"/>
          <w:szCs w:val="32"/>
          <w:lang w:eastAsia="zh-CN"/>
        </w:rPr>
        <w:t>焉耆县市场监督管理局</w:t>
      </w:r>
      <w:r>
        <w:rPr>
          <w:rFonts w:ascii="宋体" w:hAnsi="宋体" w:eastAsia="宋体" w:cs="宋体"/>
          <w:b w:val="0"/>
          <w:bCs w:val="0"/>
          <w:kern w:val="0"/>
          <w:sz w:val="32"/>
          <w:szCs w:val="32"/>
        </w:rPr>
        <w:t xml:space="preserve"> </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林锐</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widowControl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widowControl w:val="0"/>
        <w:kinsoku/>
        <w:wordWrap/>
        <w:overflowPunct/>
        <w:topLinePunct w:val="0"/>
        <w:autoSpaceDE/>
        <w:autoSpaceDN/>
        <w:bidi w:val="0"/>
        <w:spacing w:line="560" w:lineRule="exact"/>
        <w:ind w:firstLine="600" w:firstLineChars="200"/>
        <w:textAlignment w:val="auto"/>
        <w:rPr>
          <w:rFonts w:hint="eastAsia" w:ascii="仿宋_GB2312"/>
        </w:rPr>
      </w:pPr>
      <w:r>
        <w:rPr>
          <w:rFonts w:hint="eastAsia" w:ascii="仿宋_GB2312"/>
        </w:rPr>
        <w:t>1、项目背景</w:t>
      </w:r>
    </w:p>
    <w:p>
      <w:pPr>
        <w:pageBreakBefore w:val="0"/>
        <w:widowControl w:val="0"/>
        <w:kinsoku/>
        <w:wordWrap/>
        <w:overflowPunct/>
        <w:topLinePunct w:val="0"/>
        <w:autoSpaceDE/>
        <w:autoSpaceDN/>
        <w:bidi w:val="0"/>
        <w:spacing w:line="560" w:lineRule="exact"/>
        <w:ind w:firstLine="600" w:firstLineChars="200"/>
        <w:textAlignment w:val="auto"/>
        <w:rPr>
          <w:rFonts w:hint="eastAsia" w:ascii="仿宋_GB2312"/>
        </w:rPr>
      </w:pPr>
      <w:r>
        <w:rPr>
          <w:rFonts w:hint="eastAsia" w:ascii="仿宋_GB2312"/>
        </w:rPr>
        <w:t>根据《财政部、市场监管总局、国家药监局关于下达2023年食品药品监管补助资金预算的通知》（财行〔2023〕109号）</w:t>
      </w:r>
      <w:r>
        <w:rPr>
          <w:rFonts w:hint="eastAsia" w:ascii="仿宋_GB2312"/>
          <w:lang w:eastAsia="zh-CN"/>
        </w:rPr>
        <w:t>。</w:t>
      </w:r>
      <w:r>
        <w:rPr>
          <w:rFonts w:hint="eastAsia" w:ascii="仿宋_GB2312"/>
        </w:rPr>
        <w:t>经研究，拨付</w:t>
      </w:r>
      <w:r>
        <w:rPr>
          <w:rFonts w:hint="eastAsia" w:ascii="仿宋_GB2312"/>
          <w:lang w:eastAsia="zh-CN"/>
        </w:rPr>
        <w:t>焉耆县市场监督管理局</w:t>
      </w:r>
      <w:r>
        <w:rPr>
          <w:rFonts w:hint="eastAsia" w:ascii="仿宋_GB2312"/>
        </w:rPr>
        <w:t>202</w:t>
      </w:r>
      <w:r>
        <w:rPr>
          <w:rFonts w:hint="eastAsia" w:ascii="仿宋_GB2312"/>
          <w:lang w:val="en-US" w:eastAsia="zh-CN"/>
        </w:rPr>
        <w:t>3</w:t>
      </w:r>
      <w:r>
        <w:rPr>
          <w:rFonts w:hint="eastAsia" w:ascii="仿宋_GB2312"/>
          <w:lang w:eastAsia="zh-CN"/>
        </w:rPr>
        <w:t>年巴州创建国家食品安全示范城市补助资金</w:t>
      </w:r>
      <w:r>
        <w:rPr>
          <w:rFonts w:hint="eastAsia" w:ascii="仿宋_GB2312"/>
          <w:lang w:val="en-US" w:eastAsia="zh-CN"/>
        </w:rPr>
        <w:t>5</w:t>
      </w:r>
      <w:r>
        <w:rPr>
          <w:rFonts w:hint="eastAsia" w:ascii="仿宋_GB2312"/>
          <w:lang w:eastAsia="zh-CN"/>
        </w:rPr>
        <w:t>万元，将此项经</w:t>
      </w:r>
      <w:r>
        <w:rPr>
          <w:rFonts w:hint="eastAsia" w:ascii="仿宋_GB2312"/>
        </w:rPr>
        <w:t>费</w:t>
      </w:r>
      <w:r>
        <w:rPr>
          <w:rFonts w:hint="eastAsia" w:ascii="仿宋_GB2312"/>
          <w:lang w:eastAsia="zh-CN"/>
        </w:rPr>
        <w:t>列</w:t>
      </w:r>
      <w:r>
        <w:rPr>
          <w:rFonts w:hint="eastAsia" w:ascii="仿宋_GB2312"/>
          <w:lang w:val="en-US" w:eastAsia="zh-CN"/>
        </w:rPr>
        <w:t>2023年政府收支分类科目“2013816食品安全监管”</w:t>
      </w:r>
      <w:r>
        <w:rPr>
          <w:rFonts w:hint="eastAsia" w:ascii="仿宋_GB2312"/>
        </w:rPr>
        <w:t>。</w:t>
      </w:r>
    </w:p>
    <w:p>
      <w:pPr>
        <w:pageBreakBefore w:val="0"/>
        <w:widowControl w:val="0"/>
        <w:kinsoku/>
        <w:wordWrap/>
        <w:overflowPunct/>
        <w:topLinePunct w:val="0"/>
        <w:autoSpaceDE/>
        <w:autoSpaceDN/>
        <w:bidi w:val="0"/>
        <w:spacing w:line="560" w:lineRule="exact"/>
        <w:ind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pPr>
        <w:pageBreakBefore w:val="0"/>
        <w:widowControl w:val="0"/>
        <w:kinsoku/>
        <w:wordWrap/>
        <w:overflowPunct/>
        <w:topLinePunct w:val="0"/>
        <w:autoSpaceDE/>
        <w:autoSpaceDN/>
        <w:bidi w:val="0"/>
        <w:spacing w:line="560" w:lineRule="exact"/>
        <w:ind w:firstLine="600" w:firstLineChars="200"/>
        <w:textAlignment w:val="auto"/>
        <w:rPr>
          <w:rFonts w:hint="eastAsia" w:ascii="仿宋_GB2312"/>
        </w:rPr>
      </w:pPr>
      <w:r>
        <w:rPr>
          <w:rFonts w:hint="eastAsia" w:ascii="仿宋_GB2312"/>
        </w:rPr>
        <w:t>主要内容：巴州创建国家食品安全示范城市补助资金经费项目，投入经费5万元,主要用于开展创建国家食品安全示范城市食品安全宣传覆盖，提高人员监督能力和水平、科普宣传及队伍能力建设等工作，提高全县人民群众、餐饮经营者、生产经营者的安全意识，人民群众满意度提升。</w:t>
      </w:r>
    </w:p>
    <w:p>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Times New Roman" w:eastAsia="仿宋_GB2312" w:cs="Times New Roman"/>
          <w:kern w:val="2"/>
          <w:sz w:val="30"/>
          <w:szCs w:val="24"/>
          <w:lang w:val="en-US" w:eastAsia="zh-CN" w:bidi="ar-SA"/>
        </w:rPr>
      </w:pPr>
      <w:r>
        <w:rPr>
          <w:rFonts w:hint="eastAsia" w:ascii="仿宋_GB2312"/>
          <w:lang w:val="en-US" w:eastAsia="zh-CN"/>
        </w:rPr>
        <w:t>3、</w:t>
      </w:r>
      <w:r>
        <w:rPr>
          <w:rFonts w:hint="eastAsia" w:ascii="仿宋_GB2312"/>
        </w:rPr>
        <w:t>实施情况：</w:t>
      </w:r>
      <w:r>
        <w:rPr>
          <w:rFonts w:hint="eastAsia" w:ascii="仿宋_GB2312" w:hAnsi="Times New Roman" w:eastAsia="仿宋_GB2312" w:cs="Times New Roman"/>
          <w:kern w:val="2"/>
          <w:sz w:val="30"/>
          <w:szCs w:val="24"/>
          <w:lang w:val="en-US" w:eastAsia="zh-CN" w:bidi="ar-SA"/>
        </w:rPr>
        <w:t>2023年5月30前完成办公用品3批6次，政府采购率100%、验收合格率95%、质量合格率95%。完成全年专项经费支付5万元，8月前完成完成全部指标任务。</w:t>
      </w:r>
    </w:p>
    <w:p>
      <w:pPr>
        <w:pageBreakBefore w:val="0"/>
        <w:widowControl w:val="0"/>
        <w:kinsoku/>
        <w:wordWrap/>
        <w:overflowPunct/>
        <w:topLinePunct w:val="0"/>
        <w:autoSpaceDE/>
        <w:autoSpaceDN/>
        <w:bidi w:val="0"/>
        <w:spacing w:line="560" w:lineRule="exact"/>
        <w:ind w:firstLine="600" w:firstLineChars="200"/>
        <w:textAlignment w:val="auto"/>
        <w:rPr>
          <w:rFonts w:ascii="仿宋_GB2312"/>
        </w:rPr>
      </w:pPr>
      <w:r>
        <w:rPr>
          <w:rFonts w:ascii="仿宋_GB2312"/>
        </w:rPr>
        <w:t>4</w:t>
      </w:r>
      <w:r>
        <w:rPr>
          <w:rFonts w:hint="eastAsia" w:ascii="仿宋_GB2312"/>
        </w:rPr>
        <w:t>、资金投入和使用情况</w:t>
      </w:r>
    </w:p>
    <w:p>
      <w:pPr>
        <w:pageBreakBefore w:val="0"/>
        <w:widowControl w:val="0"/>
        <w:kinsoku/>
        <w:wordWrap/>
        <w:overflowPunct/>
        <w:topLinePunct w:val="0"/>
        <w:autoSpaceDE/>
        <w:autoSpaceDN/>
        <w:bidi w:val="0"/>
        <w:spacing w:line="560" w:lineRule="exact"/>
        <w:ind w:firstLine="600" w:firstLineChars="200"/>
        <w:textAlignment w:val="auto"/>
        <w:rPr>
          <w:rFonts w:hint="eastAsia"/>
        </w:rPr>
      </w:pPr>
      <w:r>
        <w:rPr>
          <w:rFonts w:hint="eastAsia"/>
        </w:rPr>
        <w:t>资金投入情况：该项目年初预算数</w:t>
      </w:r>
      <w:r>
        <w:rPr>
          <w:rFonts w:hint="eastAsia"/>
          <w:lang w:val="en-US" w:eastAsia="zh-CN"/>
        </w:rPr>
        <w:t>5</w:t>
      </w:r>
      <w:r>
        <w:rPr>
          <w:rFonts w:hint="eastAsia"/>
        </w:rPr>
        <w:t>万元，全年预算数</w:t>
      </w:r>
      <w:r>
        <w:rPr>
          <w:rFonts w:hint="eastAsia"/>
          <w:lang w:val="en-US" w:eastAsia="zh-CN"/>
        </w:rPr>
        <w:t>5</w:t>
      </w:r>
      <w:r>
        <w:rPr>
          <w:rFonts w:hint="eastAsia"/>
        </w:rPr>
        <w:t>万元实际总投入</w:t>
      </w:r>
      <w:r>
        <w:rPr>
          <w:rFonts w:hint="eastAsia"/>
          <w:lang w:val="en-US" w:eastAsia="zh-CN"/>
        </w:rPr>
        <w:t>5</w:t>
      </w:r>
      <w:r>
        <w:rPr>
          <w:rFonts w:hint="eastAsia"/>
        </w:rPr>
        <w:t>万元，该项目资金已全部落实到位，资金来源为</w:t>
      </w:r>
      <w:r>
        <w:rPr>
          <w:rFonts w:hint="eastAsia"/>
          <w:lang w:eastAsia="zh-CN"/>
        </w:rPr>
        <w:t>中央食品药品监管补助资金</w:t>
      </w:r>
      <w:r>
        <w:rPr>
          <w:rFonts w:hint="eastAsia"/>
        </w:rPr>
        <w:t>。</w:t>
      </w:r>
    </w:p>
    <w:p>
      <w:pPr>
        <w:pageBreakBefore w:val="0"/>
        <w:widowControl w:val="0"/>
        <w:kinsoku/>
        <w:wordWrap/>
        <w:overflowPunct/>
        <w:topLinePunct w:val="0"/>
        <w:autoSpaceDE/>
        <w:autoSpaceDN/>
        <w:bidi w:val="0"/>
        <w:spacing w:line="560" w:lineRule="exact"/>
        <w:ind w:firstLine="600" w:firstLineChars="200"/>
        <w:textAlignment w:val="auto"/>
        <w:rPr>
          <w:rFonts w:hint="eastAsia"/>
        </w:rPr>
      </w:pPr>
      <w:r>
        <w:rPr>
          <w:rFonts w:hint="eastAsia"/>
        </w:rPr>
        <w:t>资金使用情况：该项目年初预算数</w:t>
      </w:r>
      <w:r>
        <w:rPr>
          <w:rFonts w:hint="eastAsia"/>
          <w:lang w:val="en-US" w:eastAsia="zh-CN"/>
        </w:rPr>
        <w:t>5</w:t>
      </w:r>
      <w:r>
        <w:rPr>
          <w:rFonts w:hint="eastAsia"/>
        </w:rPr>
        <w:t>万元，全年预算数</w:t>
      </w:r>
      <w:r>
        <w:rPr>
          <w:rFonts w:hint="eastAsia"/>
          <w:lang w:val="en-US" w:eastAsia="zh-CN"/>
        </w:rPr>
        <w:t>5</w:t>
      </w:r>
      <w:r>
        <w:rPr>
          <w:rFonts w:hint="eastAsia"/>
        </w:rPr>
        <w:t>万元，全年执行数</w:t>
      </w:r>
      <w:r>
        <w:rPr>
          <w:rFonts w:hint="eastAsia"/>
          <w:lang w:val="en-US" w:eastAsia="zh-CN"/>
        </w:rPr>
        <w:t>5</w:t>
      </w:r>
      <w:r>
        <w:rPr>
          <w:rFonts w:hint="eastAsia"/>
        </w:rPr>
        <w:t>万元，预算执行率为</w:t>
      </w:r>
      <w:r>
        <w:rPr>
          <w:rFonts w:hint="eastAsia"/>
          <w:lang w:val="en-US" w:eastAsia="zh-CN"/>
        </w:rPr>
        <w:t>100</w:t>
      </w:r>
      <w:r>
        <w:rPr>
          <w:rFonts w:hint="eastAsia"/>
        </w:rPr>
        <w:t>%，用于：</w:t>
      </w:r>
      <w:r>
        <w:rPr>
          <w:rFonts w:hint="eastAsia"/>
          <w:lang w:eastAsia="zh-CN"/>
        </w:rPr>
        <w:t>办公用品采购</w:t>
      </w:r>
      <w:r>
        <w:rPr>
          <w:rFonts w:hint="eastAsia"/>
          <w:lang w:val="en-US" w:eastAsia="zh-CN"/>
        </w:rPr>
        <w:t>5</w:t>
      </w:r>
      <w:r>
        <w:rPr>
          <w:rFonts w:hint="eastAsia"/>
        </w:rPr>
        <w:t>万元。</w:t>
      </w:r>
      <w:bookmarkStart w:id="2" w:name="_Toc68703829"/>
    </w:p>
    <w:p>
      <w:pPr>
        <w:pStyle w:val="4"/>
        <w:pageBreakBefore w:val="0"/>
        <w:widowControl w:val="0"/>
        <w:kinsoku/>
        <w:wordWrap/>
        <w:overflowPunct/>
        <w:topLinePunct w:val="0"/>
        <w:autoSpaceDE/>
        <w:autoSpaceDN/>
        <w:bidi w:val="0"/>
        <w:spacing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（二）项目绩效目标。</w:t>
      </w:r>
      <w:bookmarkEnd w:id="2"/>
    </w:p>
    <w:p>
      <w:pPr>
        <w:pageBreakBefore w:val="0"/>
        <w:widowControl w:val="0"/>
        <w:numPr>
          <w:ilvl w:val="0"/>
          <w:numId w:val="1"/>
        </w:numPr>
        <w:kinsoku/>
        <w:wordWrap/>
        <w:overflowPunct/>
        <w:topLinePunct w:val="0"/>
        <w:autoSpaceDE/>
        <w:autoSpaceDN/>
        <w:bidi w:val="0"/>
        <w:spacing w:line="560" w:lineRule="exact"/>
        <w:ind w:firstLine="600" w:firstLineChars="200"/>
        <w:textAlignment w:val="auto"/>
        <w:rPr>
          <w:rFonts w:hint="eastAsia"/>
        </w:rPr>
      </w:pPr>
      <w:r>
        <w:rPr>
          <w:rFonts w:hint="eastAsia"/>
        </w:rPr>
        <w:t>总体目标：</w:t>
      </w:r>
      <w:r>
        <w:rPr>
          <w:rFonts w:hint="eastAsia" w:ascii="仿宋_GB2312"/>
          <w:lang w:eastAsia="zh-CN"/>
        </w:rPr>
        <w:t>完成办公用品采购数量三批</w:t>
      </w:r>
      <w:r>
        <w:rPr>
          <w:rFonts w:hint="eastAsia" w:ascii="仿宋_GB2312"/>
          <w:lang w:val="en-US" w:eastAsia="zh-CN"/>
        </w:rPr>
        <w:t>6次，提高办公质量</w:t>
      </w:r>
    </w:p>
    <w:p>
      <w:pPr>
        <w:pStyle w:val="5"/>
        <w:pageBreakBefore w:val="0"/>
        <w:widowControl w:val="0"/>
        <w:tabs>
          <w:tab w:val="left" w:pos="6372"/>
        </w:tabs>
        <w:kinsoku/>
        <w:wordWrap/>
        <w:overflowPunct/>
        <w:topLinePunct w:val="0"/>
        <w:autoSpaceDE/>
        <w:autoSpaceDN/>
        <w:bidi w:val="0"/>
        <w:adjustRightInd w:val="0"/>
        <w:snapToGrid w:val="0"/>
        <w:spacing w:line="560" w:lineRule="exact"/>
        <w:ind w:firstLine="600" w:firstLineChars="200"/>
        <w:textAlignment w:val="auto"/>
        <w:rPr>
          <w:rFonts w:hint="eastAsia"/>
          <w:lang w:val="en-US" w:eastAsia="zh-CN"/>
        </w:rPr>
      </w:pPr>
      <w:r>
        <w:t>2</w:t>
      </w:r>
      <w:r>
        <w:rPr>
          <w:rFonts w:hint="eastAsia"/>
        </w:rPr>
        <w:t>、阶段性目标：</w:t>
      </w:r>
      <w:r>
        <w:rPr>
          <w:rFonts w:hint="eastAsia"/>
          <w:lang w:eastAsia="zh-CN"/>
        </w:rPr>
        <w:t>首先制定三批次政府采购计划；其次与供应商签订采购合同；</w:t>
      </w:r>
      <w:r>
        <w:rPr>
          <w:rFonts w:hint="eastAsia"/>
          <w:lang w:val="en-US" w:eastAsia="zh-CN"/>
        </w:rPr>
        <w:t>2023年5月30前完成办公用品3批6次政府采购验收，验收合格率达到95%、质量合格率达到95%。完成全年专项经费支付5万元，8月前完成完成全部指标任务。</w:t>
      </w:r>
    </w:p>
    <w:p>
      <w:pPr>
        <w:pStyle w:val="3"/>
        <w:pageBreakBefore w:val="0"/>
        <w:widowControl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bookmarkStart w:id="24" w:name="_GoBack"/>
      <w:bookmarkEnd w:id="24"/>
    </w:p>
    <w:p>
      <w:pPr>
        <w:pStyle w:val="4"/>
        <w:pageBreakBefore w:val="0"/>
        <w:widowControl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pageBreakBefore w:val="0"/>
        <w:widowControl w:val="0"/>
        <w:kinsoku/>
        <w:wordWrap/>
        <w:overflowPunct/>
        <w:topLinePunct w:val="0"/>
        <w:autoSpaceDE/>
        <w:autoSpaceDN/>
        <w:bidi w:val="0"/>
        <w:spacing w:line="560" w:lineRule="exact"/>
        <w:ind w:firstLine="600" w:firstLineChars="200"/>
        <w:textAlignment w:val="auto"/>
      </w:pPr>
      <w:r>
        <w:rPr>
          <w:rFonts w:hint="eastAsia"/>
        </w:rPr>
        <w:t>1、绩效评价目的：</w:t>
      </w:r>
    </w:p>
    <w:p>
      <w:pPr>
        <w:pageBreakBefore w:val="0"/>
        <w:widowControl w:val="0"/>
        <w:numPr>
          <w:ilvl w:val="0"/>
          <w:numId w:val="0"/>
        </w:numPr>
        <w:kinsoku/>
        <w:wordWrap/>
        <w:overflowPunct/>
        <w:topLinePunct w:val="0"/>
        <w:autoSpaceDE/>
        <w:autoSpaceDN/>
        <w:bidi w:val="0"/>
        <w:spacing w:line="560" w:lineRule="exact"/>
        <w:ind w:firstLine="600" w:firstLineChars="200"/>
        <w:textAlignment w:val="auto"/>
        <w:rPr>
          <w:rFonts w:hint="eastAsia"/>
        </w:rPr>
      </w:pPr>
      <w:r>
        <w:rPr>
          <w:rFonts w:hint="eastAsia"/>
        </w:rPr>
        <w:t>通过绩效评价，客观地评判项目的管理绩效，了解和掌握</w:t>
      </w:r>
      <w:r>
        <w:rPr>
          <w:rFonts w:hint="eastAsia"/>
          <w:lang w:eastAsia="zh-CN"/>
        </w:rPr>
        <w:t>“</w:t>
      </w:r>
      <w:r>
        <w:rPr>
          <w:rFonts w:hint="eastAsia"/>
        </w:rPr>
        <w:t>巴州创建国家食品安全示范城市补助资金</w:t>
      </w:r>
      <w:r>
        <w:rPr>
          <w:rFonts w:hint="eastAsia"/>
          <w:lang w:eastAsia="zh-CN"/>
        </w:rPr>
        <w:t>”</w:t>
      </w:r>
      <w:r>
        <w:rPr>
          <w:rFonts w:hint="eastAsia"/>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widowControl w:val="0"/>
        <w:kinsoku/>
        <w:wordWrap/>
        <w:overflowPunct/>
        <w:topLinePunct w:val="0"/>
        <w:autoSpaceDE/>
        <w:autoSpaceDN/>
        <w:bidi w:val="0"/>
        <w:spacing w:line="560" w:lineRule="exact"/>
        <w:ind w:firstLine="600" w:firstLineChars="200"/>
        <w:jc w:val="left"/>
        <w:textAlignment w:val="auto"/>
      </w:pPr>
      <w:r>
        <w:rPr>
          <w:rFonts w:hint="eastAsia"/>
        </w:rPr>
        <w:t>2、绩效评价对象：</w:t>
      </w:r>
    </w:p>
    <w:p>
      <w:pPr>
        <w:pageBreakBefore w:val="0"/>
        <w:widowControl w:val="0"/>
        <w:kinsoku/>
        <w:wordWrap/>
        <w:overflowPunct/>
        <w:topLinePunct w:val="0"/>
        <w:autoSpaceDE/>
        <w:autoSpaceDN/>
        <w:bidi w:val="0"/>
        <w:spacing w:line="560" w:lineRule="exact"/>
        <w:ind w:firstLine="600" w:firstLineChars="200"/>
        <w:textAlignment w:val="auto"/>
        <w:rPr>
          <w:rFonts w:hint="eastAsia"/>
          <w:color w:val="auto"/>
          <w:lang w:eastAsia="zh-CN"/>
        </w:rPr>
      </w:pPr>
      <w:r>
        <w:rPr>
          <w:rFonts w:hint="eastAsia"/>
          <w:color w:val="auto"/>
        </w:rPr>
        <w:t>巴州创建国家食品安全示范城市补助资金</w:t>
      </w:r>
    </w:p>
    <w:p>
      <w:pPr>
        <w:pageBreakBefore w:val="0"/>
        <w:widowControl w:val="0"/>
        <w:kinsoku/>
        <w:wordWrap/>
        <w:overflowPunct/>
        <w:topLinePunct w:val="0"/>
        <w:autoSpaceDE/>
        <w:autoSpaceDN/>
        <w:bidi w:val="0"/>
        <w:spacing w:line="560" w:lineRule="exact"/>
        <w:ind w:firstLine="600" w:firstLineChars="200"/>
        <w:textAlignment w:val="auto"/>
      </w:pPr>
      <w:r>
        <w:rPr>
          <w:rFonts w:hint="eastAsia"/>
        </w:rPr>
        <w:t>3、绩效评价范围：</w:t>
      </w:r>
    </w:p>
    <w:p>
      <w:pPr>
        <w:pageBreakBefore w:val="0"/>
        <w:widowControl w:val="0"/>
        <w:kinsoku/>
        <w:wordWrap/>
        <w:overflowPunct/>
        <w:topLinePunct w:val="0"/>
        <w:autoSpaceDE/>
        <w:autoSpaceDN/>
        <w:bidi w:val="0"/>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巴州创建国家食品安全示范城市补助资金评价，评价核心为专项资金的支出完成情况和效果。</w:t>
      </w:r>
    </w:p>
    <w:p>
      <w:pPr>
        <w:pStyle w:val="4"/>
        <w:pageBreakBefore w:val="0"/>
        <w:widowControl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widowControl w:val="0"/>
        <w:kinsoku/>
        <w:wordWrap/>
        <w:overflowPunct/>
        <w:topLinePunct w:val="0"/>
        <w:autoSpaceDE/>
        <w:autoSpaceDN/>
        <w:bidi w:val="0"/>
        <w:spacing w:line="560" w:lineRule="exact"/>
        <w:ind w:firstLine="600" w:firstLineChars="200"/>
        <w:textAlignment w:val="auto"/>
      </w:pPr>
      <w:r>
        <w:rPr>
          <w:rFonts w:hint="eastAsia"/>
        </w:rPr>
        <w:t>1、绩效评价原则</w:t>
      </w:r>
    </w:p>
    <w:p>
      <w:pPr>
        <w:pageBreakBefore w:val="0"/>
        <w:widowControl w:val="0"/>
        <w:kinsoku/>
        <w:wordWrap/>
        <w:overflowPunct/>
        <w:topLinePunct w:val="0"/>
        <w:autoSpaceDE/>
        <w:autoSpaceDN/>
        <w:bidi w:val="0"/>
        <w:spacing w:line="560" w:lineRule="exact"/>
        <w:ind w:firstLine="600" w:firstLineChars="200"/>
        <w:textAlignment w:val="auto"/>
        <w:rPr>
          <w:rFonts w:hint="eastAsia" w:ascii="仿宋_GB2312"/>
          <w:lang w:val="en-US" w:eastAsia="zh-CN"/>
        </w:rPr>
      </w:pPr>
      <w:r>
        <w:rPr>
          <w:rFonts w:hint="eastAsia"/>
        </w:rPr>
        <w:t>（一）科学公正。</w:t>
      </w:r>
      <w:r>
        <w:rPr>
          <w:rFonts w:hint="eastAsia" w:ascii="仿宋_GB2312"/>
        </w:rPr>
        <w:t>根据《财政部、市场监管总局、国家药监局关于下达2023年食品药品监管补助资金预算的通知》（财行〔2023〕109号）</w:t>
      </w:r>
      <w:r>
        <w:rPr>
          <w:rFonts w:hint="eastAsia" w:ascii="仿宋_GB2312"/>
          <w:lang w:eastAsia="zh-CN"/>
        </w:rPr>
        <w:t>。</w:t>
      </w:r>
      <w:r>
        <w:rPr>
          <w:rFonts w:hint="eastAsia" w:ascii="仿宋_GB2312"/>
        </w:rPr>
        <w:t>经研究，拨付</w:t>
      </w:r>
      <w:r>
        <w:rPr>
          <w:rFonts w:hint="eastAsia" w:ascii="仿宋_GB2312"/>
          <w:lang w:eastAsia="zh-CN"/>
        </w:rPr>
        <w:t>焉耆县市场监督管理局</w:t>
      </w:r>
      <w:r>
        <w:rPr>
          <w:rFonts w:hint="eastAsia" w:ascii="仿宋_GB2312"/>
        </w:rPr>
        <w:t>202</w:t>
      </w:r>
      <w:r>
        <w:rPr>
          <w:rFonts w:hint="eastAsia" w:ascii="仿宋_GB2312"/>
          <w:lang w:val="en-US" w:eastAsia="zh-CN"/>
        </w:rPr>
        <w:t>3</w:t>
      </w:r>
      <w:r>
        <w:rPr>
          <w:rFonts w:hint="eastAsia" w:ascii="仿宋_GB2312"/>
          <w:lang w:eastAsia="zh-CN"/>
        </w:rPr>
        <w:t>年巴州创建国家食品安全示范城市补助资金</w:t>
      </w:r>
      <w:r>
        <w:rPr>
          <w:rFonts w:hint="eastAsia" w:ascii="仿宋_GB2312"/>
          <w:lang w:val="en-US" w:eastAsia="zh-CN"/>
        </w:rPr>
        <w:t>5</w:t>
      </w:r>
      <w:r>
        <w:rPr>
          <w:rFonts w:hint="eastAsia" w:ascii="仿宋_GB2312"/>
          <w:lang w:eastAsia="zh-CN"/>
        </w:rPr>
        <w:t>万元，将此项经费列</w:t>
      </w:r>
      <w:r>
        <w:rPr>
          <w:rFonts w:hint="eastAsia" w:ascii="仿宋_GB2312"/>
          <w:lang w:val="en-US" w:eastAsia="zh-CN"/>
        </w:rPr>
        <w:t>2023年政府收支分类科目“2013816食品安全监管”</w:t>
      </w:r>
      <w:r>
        <w:rPr>
          <w:rFonts w:hint="eastAsia" w:ascii="仿宋_GB2312"/>
          <w:lang w:eastAsia="zh-CN"/>
        </w:rPr>
        <w:t>。</w:t>
      </w:r>
      <w:r>
        <w:rPr>
          <w:rFonts w:hint="eastAsia" w:ascii="仿宋_GB2312"/>
          <w:lang w:val="en-US" w:eastAsia="zh-CN"/>
        </w:rPr>
        <w:t>我单位组织评价小组，对</w:t>
      </w:r>
      <w:r>
        <w:rPr>
          <w:rFonts w:hint="eastAsia" w:ascii="仿宋_GB2312"/>
          <w:lang w:eastAsia="zh-CN"/>
        </w:rPr>
        <w:t>巴州创建国家食品安全示范城市补助资金</w:t>
      </w:r>
      <w:r>
        <w:rPr>
          <w:rFonts w:hint="eastAsia" w:ascii="仿宋_GB2312"/>
          <w:lang w:val="en-US" w:eastAsia="zh-CN"/>
        </w:rPr>
        <w:t>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_GB2312"/>
          <w:lang w:eastAsia="zh-CN"/>
        </w:rPr>
      </w:pPr>
      <w:r>
        <w:rPr>
          <w:rFonts w:hint="eastAsia"/>
        </w:rPr>
        <w:t>（二）统筹兼顾。</w:t>
      </w:r>
      <w:r>
        <w:rPr>
          <w:rFonts w:hint="eastAsia" w:ascii="仿宋_GB2312"/>
          <w:lang w:val="en-US" w:eastAsia="zh-CN"/>
        </w:rPr>
        <w:t>我单位组织评价小组，对</w:t>
      </w:r>
      <w:r>
        <w:rPr>
          <w:rFonts w:hint="eastAsia" w:ascii="仿宋_GB2312"/>
          <w:lang w:eastAsia="zh-CN"/>
        </w:rPr>
        <w:t>巴州创建国家食品安全示范城市补助资金</w:t>
      </w:r>
      <w:r>
        <w:rPr>
          <w:rFonts w:hint="eastAsia" w:ascii="仿宋_GB2312"/>
          <w:lang w:val="en-US" w:eastAsia="zh-CN"/>
        </w:rPr>
        <w:t>项目实施情况评价，部门评价和财政评价在单位自评的基础上开展，职责明确，各有侧重，相互衔接。</w:t>
      </w:r>
    </w:p>
    <w:p>
      <w:pPr>
        <w:pageBreakBefore w:val="0"/>
        <w:widowControl w:val="0"/>
        <w:kinsoku/>
        <w:wordWrap/>
        <w:overflowPunct/>
        <w:topLinePunct w:val="0"/>
        <w:autoSpaceDE/>
        <w:autoSpaceDN/>
        <w:bidi w:val="0"/>
        <w:spacing w:line="560" w:lineRule="exact"/>
        <w:ind w:firstLine="600" w:firstLineChars="200"/>
        <w:textAlignment w:val="auto"/>
        <w:rPr>
          <w:rFonts w:hint="eastAsia"/>
        </w:rPr>
      </w:pPr>
      <w:r>
        <w:rPr>
          <w:rFonts w:hint="eastAsia"/>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rPr>
      </w:pPr>
      <w:r>
        <w:rPr>
          <w:rFonts w:hint="eastAsia"/>
        </w:rPr>
        <w:t>（四）公开透明。</w:t>
      </w:r>
      <w:r>
        <w:rPr>
          <w:rFonts w:hint="eastAsia"/>
          <w:lang w:val="en-US" w:eastAsia="zh-CN"/>
        </w:rPr>
        <w:t>我单位绩效评价结束以后，将根据</w:t>
      </w:r>
      <w:r>
        <w:rPr>
          <w:rFonts w:hint="eastAsia"/>
        </w:rPr>
        <w:t>《财政部、市场监管总局、国家药监局关于下达2023年食品药品监管补助资金预算的通知》（财行〔2023〕109号）</w:t>
      </w:r>
      <w:r>
        <w:rPr>
          <w:rFonts w:hint="eastAsia"/>
          <w:lang w:val="en-US" w:eastAsia="zh-CN"/>
        </w:rPr>
        <w:t>规定，将自评结果向上级主管部门进行汇报，让主管部门全面了解政府绩效评价过程和评价结果。</w:t>
      </w:r>
    </w:p>
    <w:p>
      <w:pPr>
        <w:spacing w:line="360" w:lineRule="auto"/>
        <w:ind w:firstLine="600" w:firstLineChars="200"/>
        <w:rPr>
          <w:rFonts w:hint="eastAsia"/>
        </w:rPr>
      </w:pPr>
      <w:r>
        <w:rPr>
          <w:rFonts w:hint="eastAsia"/>
        </w:rPr>
        <w:t>2、评价指标体系（附表说明）</w:t>
      </w:r>
    </w:p>
    <w:p>
      <w:pPr>
        <w:spacing w:line="360" w:lineRule="auto"/>
        <w:jc w:val="center"/>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巴州创建国家食品安全示范城市补助资金项目</w:t>
      </w:r>
    </w:p>
    <w:p>
      <w:pPr>
        <w:spacing w:line="36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支出绩效评价指标</w:t>
      </w:r>
      <w:r>
        <w:rPr>
          <w:rFonts w:hint="eastAsia" w:ascii="Times New Roman" w:hAnsi="Times New Roman" w:eastAsia="仿宋_GB2312" w:cs="Times New Roman"/>
          <w:b w:val="0"/>
          <w:bCs w:val="0"/>
          <w:sz w:val="30"/>
          <w:szCs w:val="24"/>
          <w:lang w:eastAsia="zh-CN"/>
        </w:rPr>
        <w:t>体</w:t>
      </w:r>
      <w:r>
        <w:rPr>
          <w:rFonts w:hint="eastAsia" w:ascii="Times New Roman" w:hAnsi="Times New Roman" w:eastAsia="仿宋_GB2312" w:cs="Times New Roman"/>
          <w:b w:val="0"/>
          <w:bCs w:val="0"/>
          <w:sz w:val="30"/>
          <w:szCs w:val="24"/>
        </w:rPr>
        <w:t>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bookmarkStart w:id="6" w:name="OLE_LINK1" w:colFirst="4" w:colLast="4"/>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c>
          <w:tcPr>
            <w:tcW w:w="874" w:type="dxa"/>
            <w:tcBorders>
              <w:bottom w:val="single" w:color="auto" w:sz="4" w:space="0"/>
            </w:tcBorders>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c>
          <w:tcPr>
            <w:tcW w:w="874" w:type="dxa"/>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874" w:type="dxa"/>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874" w:type="dxa"/>
            <w:tcBorders>
              <w:bottom w:val="single" w:color="auto" w:sz="4" w:space="0"/>
            </w:tcBorders>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874" w:type="dxa"/>
            <w:tcBorders>
              <w:bottom w:val="single" w:color="auto" w:sz="4" w:space="0"/>
            </w:tcBorders>
            <w:shd w:val="clear" w:color="auto"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874" w:type="dxa"/>
            <w:shd w:val="clear" w:color="auto"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874" w:type="dxa"/>
            <w:tcBorders>
              <w:bottom w:val="single" w:color="auto" w:sz="4" w:space="0"/>
            </w:tcBorders>
            <w:shd w:val="clear" w:color="000000" w:fill="FFFFFF"/>
            <w:vAlign w:val="center"/>
          </w:tcPr>
          <w:p>
            <w:pPr>
              <w:keepNext w:val="0"/>
              <w:keepLines w:val="0"/>
              <w:widowControl/>
              <w:suppressLineNumbers w:val="0"/>
              <w:jc w:val="right"/>
              <w:textAlignment w:val="center"/>
              <w:rPr>
                <w:rFonts w:hint="eastAsia"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874" w:type="dxa"/>
            <w:tcBorders>
              <w:bottom w:val="single" w:color="auto" w:sz="4" w:space="0"/>
            </w:tcBorders>
            <w:shd w:val="clear" w:color="auto"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874" w:type="dxa"/>
            <w:tcBorders>
              <w:bottom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874" w:type="dxa"/>
            <w:tcBorders>
              <w:bottom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874" w:type="dxa"/>
            <w:tcBorders>
              <w:bottom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c>
          <w:tcPr>
            <w:tcW w:w="874" w:type="dxa"/>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c>
          <w:tcPr>
            <w:tcW w:w="874" w:type="dxa"/>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c>
          <w:tcPr>
            <w:tcW w:w="874" w:type="dxa"/>
            <w:shd w:val="clear" w:color="000000"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c>
          <w:tcPr>
            <w:tcW w:w="874" w:type="dxa"/>
            <w:shd w:val="clear" w:color="auto" w:fill="FFFFFF"/>
            <w:vAlign w:val="center"/>
          </w:tcPr>
          <w:p>
            <w:pPr>
              <w:keepNext w:val="0"/>
              <w:keepLines w:val="0"/>
              <w:widowControl/>
              <w:suppressLineNumbers w:val="0"/>
              <w:jc w:val="right"/>
              <w:textAlignment w:val="center"/>
              <w:rPr>
                <w:rFonts w:hint="eastAsia"/>
                <w:lang w:val="en-US" w:eastAsia="zh-CN"/>
              </w:rPr>
            </w:pPr>
            <w:r>
              <w:rPr>
                <w:rFonts w:hint="eastAsia" w:ascii="宋体" w:hAnsi="宋体" w:eastAsia="宋体" w:cs="宋体"/>
                <w:i w:val="0"/>
                <w:iCs w:val="0"/>
                <w:color w:val="000000"/>
                <w:kern w:val="0"/>
                <w:sz w:val="24"/>
                <w:szCs w:val="24"/>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15</w:t>
            </w:r>
          </w:p>
        </w:tc>
        <w:tc>
          <w:tcPr>
            <w:tcW w:w="874" w:type="dxa"/>
            <w:shd w:val="clear" w:color="auto"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c>
          <w:tcPr>
            <w:tcW w:w="874" w:type="dxa"/>
            <w:shd w:val="clear" w:color="000000" w:fill="FFFFFF"/>
            <w:vAlign w:val="center"/>
          </w:tcPr>
          <w:p>
            <w:pPr>
              <w:keepNext w:val="0"/>
              <w:keepLines w:val="0"/>
              <w:widowControl/>
              <w:suppressLineNumbers w:val="0"/>
              <w:jc w:val="right"/>
              <w:textAlignment w:val="center"/>
              <w:rPr>
                <w:rFonts w:ascii="Times New Roman" w:hAnsi="Times New Roman" w:eastAsia="仿宋_GB2312" w:cs="Times New Roman"/>
                <w:kern w:val="2"/>
                <w:sz w:val="30"/>
                <w:szCs w:val="24"/>
                <w:lang w:val="en-US" w:eastAsia="zh-CN" w:bidi="ar-SA"/>
              </w:rPr>
            </w:pPr>
            <w:r>
              <w:rPr>
                <w:rFonts w:hint="eastAsia" w:ascii="宋体" w:hAnsi="宋体" w:eastAsia="宋体" w:cs="宋体"/>
                <w:i w:val="0"/>
                <w:iCs w:val="0"/>
                <w:color w:val="000000"/>
                <w:kern w:val="0"/>
                <w:sz w:val="24"/>
                <w:szCs w:val="24"/>
                <w:u w:val="none"/>
                <w:lang w:val="en-US" w:eastAsia="zh-CN" w:bidi="ar"/>
              </w:rPr>
              <w:t>5</w:t>
            </w:r>
          </w:p>
        </w:tc>
      </w:tr>
      <w:bookmarkEnd w:id="6"/>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总分</w:t>
            </w:r>
          </w:p>
        </w:tc>
        <w:tc>
          <w:tcPr>
            <w:tcW w:w="3885" w:type="dxa"/>
            <w:tcBorders>
              <w:right w:val="single" w:color="auto" w:sz="4" w:space="0"/>
            </w:tcBorders>
            <w:shd w:val="clear" w:color="auto" w:fill="FFFFFF"/>
          </w:tcPr>
          <w:p>
            <w:pPr>
              <w:keepNext w:val="0"/>
              <w:keepLines w:val="0"/>
              <w:widowControl/>
              <w:suppressLineNumbers w:val="0"/>
              <w:jc w:val="right"/>
              <w:textAlignment w:val="center"/>
              <w:rPr>
                <w:rFonts w:hint="eastAsia" w:ascii="宋体" w:hAnsi="宋体" w:eastAsia="宋体" w:cs="宋体"/>
                <w:i w:val="0"/>
                <w:iCs w:val="0"/>
                <w:color w:val="000000"/>
                <w:kern w:val="0"/>
                <w:sz w:val="24"/>
                <w:szCs w:val="24"/>
                <w:u w:val="none"/>
                <w:lang w:val="en-US" w:eastAsia="zh-CN" w:bidi="ar"/>
              </w:rPr>
            </w:pPr>
          </w:p>
        </w:tc>
        <w:tc>
          <w:tcPr>
            <w:tcW w:w="990" w:type="dxa"/>
            <w:tcBorders>
              <w:left w:val="single" w:color="auto" w:sz="4" w:space="0"/>
            </w:tcBorders>
            <w:shd w:val="clear" w:color="auto" w:fill="FFFFFF"/>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c>
          <w:tcPr>
            <w:tcW w:w="874" w:type="dxa"/>
            <w:shd w:val="clear" w:color="auto" w:fill="FFFFFF"/>
            <w:vAlign w:val="center"/>
          </w:tcPr>
          <w:p>
            <w:pPr>
              <w:keepNext w:val="0"/>
              <w:keepLines w:val="0"/>
              <w:widowControl/>
              <w:suppressLineNumbers w:val="0"/>
              <w:jc w:val="right"/>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r>
    </w:tbl>
    <w:p>
      <w:pPr>
        <w:sectPr>
          <w:pgSz w:w="11906" w:h="16838"/>
          <w:pgMar w:top="1928" w:right="1531" w:bottom="1701" w:left="1531" w:header="737" w:footer="851" w:gutter="0"/>
          <w:cols w:space="720" w:num="1"/>
          <w:docGrid w:type="lines" w:linePitch="408" w:charSpace="0"/>
        </w:sectPr>
      </w:pPr>
    </w:p>
    <w:p>
      <w:pPr>
        <w:spacing w:line="360" w:lineRule="auto"/>
        <w:ind w:firstLine="600" w:firstLineChars="200"/>
      </w:pPr>
      <w:r>
        <w:rPr>
          <w:rFonts w:hint="eastAsia"/>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本次项目支出绩效自评主要采用了因素分析法法，主要原因是：因素分析法能结合我单位实际，组织相关人员根据项目绩效报表指标内容，对所有项目内容进行核实和考评。</w:t>
      </w:r>
    </w:p>
    <w:p>
      <w:pPr>
        <w:spacing w:line="360" w:lineRule="auto"/>
        <w:ind w:firstLine="600" w:firstLineChars="200"/>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highlight w:val="none"/>
        </w:rPr>
      </w:pPr>
      <w:bookmarkStart w:id="7" w:name="_Toc68703833"/>
      <w:r>
        <w:rPr>
          <w:rFonts w:hint="eastAsia" w:ascii="Times New Roman" w:hAnsi="Times New Roman" w:eastAsia="仿宋_GB2312" w:cs="Times New Roman"/>
          <w:b w:val="0"/>
          <w:bCs w:val="0"/>
          <w:kern w:val="2"/>
          <w:sz w:val="30"/>
          <w:szCs w:val="24"/>
          <w:lang w:val="en-US" w:eastAsia="zh-CN" w:bidi="ar-SA"/>
        </w:rPr>
        <w:t>本次评价主要采用了计划标准。该项目设置年初绩效目标申报表时结合本辖区实际情况和本部门年初工作计划，提高预算编制和预算额度测算准确率，使评价结果更加科学真实。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bookmarkStart w:id="8" w:name="_Toc6870383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8"/>
    </w:p>
    <w:p>
      <w:pPr>
        <w:pStyle w:val="4"/>
        <w:spacing w:line="360" w:lineRule="auto"/>
        <w:ind w:firstLine="320" w:firstLineChars="100"/>
        <w:rPr>
          <w:rFonts w:ascii="仿宋_GB2312" w:eastAsia="仿宋_GB2312"/>
          <w:b w:val="0"/>
          <w:bCs w:val="0"/>
        </w:rPr>
      </w:pPr>
      <w:bookmarkStart w:id="9" w:name="_Toc68703835"/>
      <w:r>
        <w:rPr>
          <w:rFonts w:hint="eastAsia" w:ascii="仿宋_GB2312" w:eastAsia="仿宋_GB2312"/>
          <w:b w:val="0"/>
          <w:bCs w:val="0"/>
        </w:rPr>
        <w:t>（一）综合评价情况</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w:t>
      </w:r>
    </w:p>
    <w:p>
      <w:pPr>
        <w:spacing w:line="360" w:lineRule="auto"/>
        <w:jc w:val="center"/>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巴州创建国家食品安全示范城市补助资金</w:t>
      </w:r>
    </w:p>
    <w:p>
      <w:pPr>
        <w:spacing w:line="360" w:lineRule="auto"/>
        <w:jc w:val="center"/>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40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ind w:firstLine="640" w:firstLineChars="200"/>
        <w:rPr>
          <w:rFonts w:ascii="仿宋_GB2312" w:eastAsia="仿宋_GB2312"/>
          <w:b w:val="0"/>
          <w:bCs w:val="0"/>
        </w:rPr>
      </w:pPr>
      <w:bookmarkStart w:id="10" w:name="_Toc68703836"/>
      <w:r>
        <w:rPr>
          <w:rFonts w:hint="eastAsia" w:ascii="仿宋_GB2312" w:eastAsia="仿宋_GB2312"/>
          <w:b w:val="0"/>
          <w:bCs w:val="0"/>
        </w:rPr>
        <w:t>（二）评价结论</w:t>
      </w:r>
      <w:bookmarkEnd w:id="10"/>
    </w:p>
    <w:p>
      <w:pPr>
        <w:spacing w:line="560" w:lineRule="exact"/>
        <w:ind w:firstLine="600" w:firstLineChars="200"/>
        <w:rPr>
          <w:rFonts w:hint="eastAsia"/>
          <w:color w:val="auto"/>
        </w:rPr>
      </w:pPr>
      <w:r>
        <w:rPr>
          <w:rFonts w:hint="eastAsia"/>
          <w:color w:val="auto"/>
        </w:rPr>
        <w:t>本项目的项目决策、项目过程、项目产出、项目效益均达到了预期要求，最终得分为100分，项目达成年度指标。</w:t>
      </w:r>
    </w:p>
    <w:p>
      <w:pPr>
        <w:pStyle w:val="3"/>
        <w:spacing w:line="360" w:lineRule="auto"/>
        <w:ind w:firstLine="643" w:firstLineChars="200"/>
        <w:rPr>
          <w:rFonts w:hint="eastAsia" w:ascii="宋体" w:hAnsi="宋体" w:eastAsia="宋体"/>
          <w:sz w:val="32"/>
          <w:szCs w:val="32"/>
        </w:rPr>
      </w:pPr>
      <w:bookmarkStart w:id="11" w:name="_Toc68703837"/>
      <w:r>
        <w:rPr>
          <w:rFonts w:hint="eastAsia" w:ascii="宋体" w:hAnsi="宋体" w:eastAsia="宋体"/>
          <w:sz w:val="32"/>
          <w:szCs w:val="32"/>
        </w:rPr>
        <w:t>四、绩效评价指标分析</w:t>
      </w:r>
      <w:bookmarkEnd w:id="11"/>
      <w:bookmarkStart w:id="12" w:name="_Toc68703838"/>
    </w:p>
    <w:p>
      <w:pPr>
        <w:pStyle w:val="4"/>
        <w:spacing w:line="360" w:lineRule="auto"/>
        <w:ind w:firstLine="640" w:firstLineChars="200"/>
        <w:rPr>
          <w:rFonts w:hint="eastAsia" w:ascii="仿宋_GB2312" w:eastAsia="仿宋_GB2312"/>
          <w:b w:val="0"/>
          <w:bCs w:val="0"/>
        </w:rPr>
      </w:pPr>
      <w:r>
        <w:rPr>
          <w:rFonts w:hint="eastAsia" w:ascii="仿宋_GB2312" w:eastAsia="仿宋_GB2312"/>
          <w:b w:val="0"/>
          <w:bCs w:val="0"/>
        </w:rPr>
        <w:t>（一）项目决策情况。</w:t>
      </w:r>
      <w:bookmarkEnd w:id="12"/>
    </w:p>
    <w:p>
      <w:pPr>
        <w:spacing w:line="360" w:lineRule="auto"/>
        <w:ind w:firstLine="600" w:firstLineChars="200"/>
      </w:pPr>
      <w:r>
        <w:rPr>
          <w:rFonts w:hint="eastAsia"/>
        </w:rPr>
        <w:t>1、立项依据充分性</w:t>
      </w:r>
    </w:p>
    <w:p>
      <w:pPr>
        <w:spacing w:line="560" w:lineRule="exact"/>
        <w:ind w:firstLine="600" w:firstLineChars="200"/>
        <w:jc w:val="left"/>
        <w:rPr>
          <w:rFonts w:hint="eastAsia" w:ascii="仿宋_GB2312"/>
          <w:lang w:eastAsia="zh-CN"/>
        </w:rPr>
      </w:pPr>
      <w:r>
        <w:rPr>
          <w:rFonts w:hint="eastAsia" w:ascii="仿宋_GB2312"/>
        </w:rPr>
        <w:t>项目立项依据根据《财政部、市场监管总局、国家药监局关于下达2023年食品药品监管补助资金预算的通知》（财行〔2023〕109号）</w:t>
      </w:r>
      <w:r>
        <w:rPr>
          <w:rFonts w:hint="eastAsia" w:ascii="仿宋_GB2312"/>
          <w:lang w:eastAsia="zh-CN"/>
        </w:rPr>
        <w:t>。</w:t>
      </w:r>
      <w:r>
        <w:rPr>
          <w:rFonts w:hint="eastAsia" w:ascii="仿宋_GB2312"/>
        </w:rPr>
        <w:t>立项符合行业发展规划和政策要求，与部门职责范围相符，属于部门履职所需；项目属于公共财政支持范围，符合中央、地方事权支出责任划分原则；不存在与相关部门同类项目或部门内部相关项目重复。</w:t>
      </w:r>
    </w:p>
    <w:p>
      <w:pPr>
        <w:spacing w:line="360" w:lineRule="auto"/>
        <w:ind w:firstLine="600" w:firstLineChars="200"/>
      </w:pPr>
      <w:r>
        <w:rPr>
          <w:rFonts w:hint="eastAsia"/>
        </w:rPr>
        <w:t>2、立项程序规范性</w:t>
      </w:r>
    </w:p>
    <w:p>
      <w:pPr>
        <w:spacing w:line="360" w:lineRule="auto"/>
        <w:ind w:firstLine="600" w:firstLineChars="200"/>
        <w:rPr>
          <w:rFonts w:hint="eastAsia"/>
          <w:color w:val="auto"/>
        </w:rPr>
      </w:pPr>
      <w:r>
        <w:rPr>
          <w:rFonts w:hint="eastAsia"/>
          <w:color w:val="auto"/>
        </w:rPr>
        <w:t>项目预算批复等材料符合相关要求，事前已经过必要的可行性研究、风险评估、绩效评估、集体决策。</w:t>
      </w:r>
    </w:p>
    <w:p>
      <w:pPr>
        <w:spacing w:line="360" w:lineRule="auto"/>
        <w:ind w:firstLine="600" w:firstLineChars="200"/>
        <w:rPr>
          <w:color w:val="FF0000"/>
        </w:rPr>
      </w:pPr>
      <w:r>
        <w:rPr>
          <w:rFonts w:hint="eastAsia"/>
        </w:rPr>
        <w:t>3、绩效目标合理性</w:t>
      </w:r>
    </w:p>
    <w:p>
      <w:pPr>
        <w:spacing w:line="360" w:lineRule="auto"/>
        <w:ind w:firstLine="600" w:firstLineChars="200"/>
        <w:rPr>
          <w:color w:val="auto"/>
        </w:rPr>
      </w:pPr>
      <w:r>
        <w:rPr>
          <w:rFonts w:hint="eastAsia"/>
          <w:color w:val="auto"/>
        </w:rPr>
        <w:t>202</w:t>
      </w:r>
      <w:r>
        <w:rPr>
          <w:rFonts w:hint="eastAsia"/>
          <w:color w:val="auto"/>
          <w:lang w:val="en-US" w:eastAsia="zh-CN"/>
        </w:rPr>
        <w:t>3</w:t>
      </w:r>
      <w:r>
        <w:rPr>
          <w:rFonts w:hint="eastAsia"/>
          <w:color w:val="auto"/>
        </w:rPr>
        <w:t>项目设立了项目绩效目标，与创建国家食品安全示范城市具有相关性，项目的预期产出效益和效果也均能符合正常的业绩水平，并且与预算确定的项目投资额或资金量相匹配。</w:t>
      </w:r>
    </w:p>
    <w:p>
      <w:pPr>
        <w:spacing w:line="360" w:lineRule="auto"/>
        <w:ind w:firstLine="600" w:firstLineChars="200"/>
      </w:pPr>
      <w:r>
        <w:rPr>
          <w:rFonts w:hint="eastAsia"/>
        </w:rPr>
        <w:t>4、绩效指标明确性</w:t>
      </w:r>
    </w:p>
    <w:p>
      <w:pPr>
        <w:spacing w:line="360" w:lineRule="auto"/>
        <w:ind w:firstLine="600" w:firstLineChars="200"/>
        <w:rPr>
          <w:color w:val="auto"/>
        </w:rPr>
      </w:pPr>
      <w:bookmarkStart w:id="13" w:name="_Hlk68699917"/>
      <w:r>
        <w:rPr>
          <w:rFonts w:hint="eastAsia"/>
          <w:color w:val="auto"/>
        </w:rPr>
        <w:t>2</w:t>
      </w:r>
      <w:r>
        <w:rPr>
          <w:color w:val="auto"/>
        </w:rPr>
        <w:t>02</w:t>
      </w:r>
      <w:r>
        <w:rPr>
          <w:rFonts w:hint="eastAsia"/>
          <w:color w:val="auto"/>
          <w:lang w:val="en-US" w:eastAsia="zh-CN"/>
        </w:rPr>
        <w:t>3</w:t>
      </w:r>
      <w:r>
        <w:rPr>
          <w:color w:val="auto"/>
        </w:rPr>
        <w:t xml:space="preserve"> </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9</w:t>
      </w:r>
      <w:r>
        <w:rPr>
          <w:rFonts w:hint="eastAsia"/>
          <w:color w:val="auto"/>
        </w:rPr>
        <w:t>条，其中量化指标条数共</w:t>
      </w:r>
      <w:r>
        <w:rPr>
          <w:rFonts w:hint="eastAsia"/>
          <w:color w:val="auto"/>
          <w:lang w:val="en-US" w:eastAsia="zh-CN"/>
        </w:rPr>
        <w:t>8</w:t>
      </w:r>
      <w:r>
        <w:rPr>
          <w:rFonts w:hint="eastAsia"/>
          <w:color w:val="auto"/>
        </w:rPr>
        <w:t>条，所有绩效指标均通过清晰、可衡量的指标值予以体现，并且做到了与项目目标任务数或计划数相对应。</w:t>
      </w:r>
      <w:bookmarkEnd w:id="13"/>
    </w:p>
    <w:p>
      <w:pPr>
        <w:spacing w:line="360" w:lineRule="auto"/>
        <w:ind w:firstLine="600" w:firstLineChars="200"/>
      </w:pPr>
      <w:r>
        <w:rPr>
          <w:rFonts w:hint="eastAsia"/>
        </w:rPr>
        <w:t>5、预算编制科学性</w:t>
      </w:r>
    </w:p>
    <w:p>
      <w:pPr>
        <w:spacing w:line="580" w:lineRule="exact"/>
        <w:ind w:firstLine="600" w:firstLineChars="200"/>
        <w:rPr>
          <w:rFonts w:hint="eastAsia"/>
          <w:color w:val="auto"/>
        </w:rPr>
      </w:pPr>
      <w:r>
        <w:rPr>
          <w:rFonts w:hint="eastAsia"/>
          <w:color w:val="auto"/>
        </w:rPr>
        <w:t>预算编制经过科学论证，预算内容与项目内容相匹配，预算额度测算依据充分且按照标准编制，预算确定的项目资金量与工作任务相匹配。</w:t>
      </w:r>
    </w:p>
    <w:p>
      <w:pPr>
        <w:spacing w:line="360" w:lineRule="auto"/>
        <w:ind w:firstLine="600" w:firstLineChars="200"/>
      </w:pPr>
      <w:r>
        <w:rPr>
          <w:rFonts w:hint="eastAsia"/>
        </w:rPr>
        <w:t>6、资金分配合理性</w:t>
      </w:r>
    </w:p>
    <w:p>
      <w:pPr>
        <w:spacing w:line="580" w:lineRule="exact"/>
        <w:ind w:firstLine="600" w:firstLineChars="200"/>
        <w:rPr>
          <w:rFonts w:hint="eastAsia" w:eastAsia="仿宋_GB2312"/>
          <w:color w:val="auto"/>
          <w:lang w:eastAsia="zh-CN"/>
        </w:rPr>
      </w:pPr>
      <w:bookmarkStart w:id="14" w:name="_Toc68703839"/>
      <w:r>
        <w:rPr>
          <w:rFonts w:hint="eastAsia"/>
          <w:color w:val="auto"/>
        </w:rPr>
        <w:t>预算资金分配依据充分</w:t>
      </w:r>
      <w:r>
        <w:rPr>
          <w:rFonts w:hint="eastAsia"/>
          <w:color w:val="auto"/>
          <w:lang w:eastAsia="zh-CN"/>
        </w:rPr>
        <w:t>，</w:t>
      </w:r>
      <w:r>
        <w:rPr>
          <w:rFonts w:hint="eastAsia"/>
          <w:color w:val="auto"/>
        </w:rPr>
        <w:t>资金分配额度合理，与项目单位相适应</w:t>
      </w:r>
      <w:r>
        <w:rPr>
          <w:rFonts w:hint="eastAsia"/>
          <w:color w:val="auto"/>
          <w:lang w:eastAsia="zh-CN"/>
        </w:rPr>
        <w:t>。</w:t>
      </w:r>
    </w:p>
    <w:p>
      <w:pPr>
        <w:pStyle w:val="4"/>
        <w:spacing w:line="360" w:lineRule="auto"/>
        <w:ind w:firstLine="640" w:firstLineChars="200"/>
        <w:rPr>
          <w:rFonts w:ascii="仿宋_GB2312" w:eastAsia="仿宋_GB2312"/>
          <w:b w:val="0"/>
          <w:bCs w:val="0"/>
        </w:rPr>
      </w:pPr>
      <w:r>
        <w:rPr>
          <w:rFonts w:hint="eastAsia" w:ascii="仿宋_GB2312" w:eastAsia="仿宋_GB2312"/>
          <w:b w:val="0"/>
          <w:bCs w:val="0"/>
        </w:rPr>
        <w:t>（二）项目过程情况。</w:t>
      </w:r>
      <w:bookmarkEnd w:id="14"/>
    </w:p>
    <w:p>
      <w:pPr>
        <w:spacing w:line="360" w:lineRule="auto"/>
        <w:ind w:firstLine="600" w:firstLineChars="200"/>
        <w:rPr>
          <w:rFonts w:hint="eastAsia"/>
          <w:color w:val="auto"/>
        </w:rPr>
      </w:pPr>
      <w:r>
        <w:rPr>
          <w:rFonts w:hint="eastAsia"/>
          <w:color w:val="auto"/>
        </w:rPr>
        <w:t>1、资金到位率：</w:t>
      </w:r>
    </w:p>
    <w:p>
      <w:pPr>
        <w:spacing w:line="360" w:lineRule="auto"/>
        <w:ind w:firstLine="600" w:firstLineChars="200"/>
        <w:rPr>
          <w:rFonts w:hint="eastAsia"/>
          <w:color w:val="auto"/>
          <w:lang w:val="en-US" w:eastAsia="zh-CN"/>
        </w:rPr>
      </w:pPr>
      <w:r>
        <w:rPr>
          <w:rFonts w:hint="eastAsia"/>
          <w:color w:val="auto"/>
        </w:rPr>
        <w:t xml:space="preserve">实际到位资金 </w:t>
      </w:r>
      <w:r>
        <w:rPr>
          <w:rFonts w:hint="eastAsia"/>
          <w:color w:val="auto"/>
          <w:lang w:val="en-US" w:eastAsia="zh-CN"/>
        </w:rPr>
        <w:t>5</w:t>
      </w:r>
      <w:r>
        <w:rPr>
          <w:rFonts w:hint="eastAsia"/>
          <w:color w:val="auto"/>
        </w:rPr>
        <w:t xml:space="preserve"> 万元，预算资金 </w:t>
      </w:r>
      <w:r>
        <w:rPr>
          <w:rFonts w:hint="eastAsia"/>
          <w:color w:val="auto"/>
          <w:lang w:val="en-US" w:eastAsia="zh-CN"/>
        </w:rPr>
        <w:t>5</w:t>
      </w:r>
      <w:r>
        <w:rPr>
          <w:rFonts w:hint="eastAsia"/>
          <w:color w:val="auto"/>
        </w:rPr>
        <w:t xml:space="preserve"> 万元，资金到位率100%</w:t>
      </w:r>
      <w:r>
        <w:rPr>
          <w:rFonts w:hint="eastAsia"/>
          <w:color w:val="auto"/>
          <w:lang w:eastAsia="zh-CN"/>
        </w:rPr>
        <w:t>。</w:t>
      </w:r>
    </w:p>
    <w:p>
      <w:pPr>
        <w:spacing w:line="360" w:lineRule="auto"/>
        <w:ind w:firstLine="600" w:firstLineChars="200"/>
        <w:rPr>
          <w:rFonts w:hint="eastAsia"/>
          <w:color w:val="auto"/>
        </w:rPr>
      </w:pPr>
      <w:r>
        <w:rPr>
          <w:rFonts w:hint="eastAsia"/>
          <w:color w:val="auto"/>
        </w:rPr>
        <w:t>2、预算执行率</w:t>
      </w:r>
    </w:p>
    <w:p>
      <w:pPr>
        <w:spacing w:line="360" w:lineRule="auto"/>
        <w:ind w:firstLine="600" w:firstLineChars="200"/>
        <w:rPr>
          <w:rFonts w:hint="eastAsia"/>
          <w:color w:val="auto"/>
          <w:lang w:eastAsia="zh-CN"/>
        </w:rPr>
      </w:pPr>
      <w:r>
        <w:rPr>
          <w:rFonts w:hint="eastAsia"/>
          <w:color w:val="auto"/>
        </w:rPr>
        <w:t>年初预算数</w:t>
      </w:r>
      <w:r>
        <w:rPr>
          <w:rFonts w:hint="eastAsia"/>
          <w:color w:val="auto"/>
          <w:lang w:val="en-US" w:eastAsia="zh-CN"/>
        </w:rPr>
        <w:t>5</w:t>
      </w:r>
      <w:r>
        <w:rPr>
          <w:rFonts w:hint="eastAsia"/>
          <w:color w:val="auto"/>
        </w:rPr>
        <w:t>万元，全年预算数</w:t>
      </w:r>
      <w:r>
        <w:rPr>
          <w:rFonts w:hint="eastAsia"/>
          <w:color w:val="auto"/>
          <w:lang w:val="en-US" w:eastAsia="zh-CN"/>
        </w:rPr>
        <w:t>5</w:t>
      </w:r>
      <w:r>
        <w:rPr>
          <w:rFonts w:hint="eastAsia"/>
          <w:color w:val="auto"/>
        </w:rPr>
        <w:t>万元，全年执行数</w:t>
      </w:r>
      <w:r>
        <w:rPr>
          <w:rFonts w:hint="eastAsia"/>
          <w:color w:val="auto"/>
          <w:lang w:val="en-US" w:eastAsia="zh-CN"/>
        </w:rPr>
        <w:t>5</w:t>
      </w:r>
      <w:r>
        <w:rPr>
          <w:rFonts w:hint="eastAsia"/>
          <w:color w:val="auto"/>
        </w:rPr>
        <w:t>万元，预算执行率为100%</w:t>
      </w:r>
      <w:r>
        <w:rPr>
          <w:rFonts w:hint="eastAsia"/>
          <w:color w:val="auto"/>
          <w:lang w:eastAsia="zh-CN"/>
        </w:rPr>
        <w:t>。</w:t>
      </w:r>
    </w:p>
    <w:p>
      <w:pPr>
        <w:spacing w:line="360" w:lineRule="auto"/>
        <w:ind w:firstLine="600" w:firstLineChars="200"/>
        <w:rPr>
          <w:rFonts w:hint="eastAsia"/>
          <w:color w:val="auto"/>
        </w:rPr>
      </w:pPr>
      <w:r>
        <w:rPr>
          <w:rFonts w:hint="eastAsia"/>
          <w:color w:val="auto"/>
        </w:rPr>
        <w:t>3、资金使用合规性</w:t>
      </w:r>
    </w:p>
    <w:p>
      <w:pPr>
        <w:spacing w:line="360" w:lineRule="auto"/>
        <w:ind w:firstLine="600" w:firstLineChars="200"/>
        <w:rPr>
          <w:rFonts w:hint="eastAsia"/>
          <w:color w:val="auto"/>
        </w:rPr>
      </w:pPr>
      <w:r>
        <w:rPr>
          <w:rFonts w:hint="eastAsia"/>
          <w:color w:val="auto"/>
        </w:rPr>
        <w:t>县财政下达资金告知单，本单位向县委财经领导小组申请资金拨付；经县委财经领导小组通过后拨付资金，此项目按照预算批复资金5万元实施，不存在截留、挤占、挪用、虚列支出等情况。</w:t>
      </w:r>
    </w:p>
    <w:p>
      <w:pPr>
        <w:spacing w:line="360" w:lineRule="auto"/>
        <w:ind w:firstLine="600" w:firstLineChars="200"/>
        <w:rPr>
          <w:rFonts w:hint="eastAsia"/>
          <w:color w:val="auto"/>
        </w:rPr>
      </w:pPr>
      <w:r>
        <w:rPr>
          <w:rFonts w:hint="eastAsia"/>
          <w:color w:val="auto"/>
        </w:rPr>
        <w:t>4、管理制度健全性</w:t>
      </w:r>
    </w:p>
    <w:p>
      <w:pPr>
        <w:spacing w:line="360" w:lineRule="auto"/>
        <w:ind w:firstLine="600" w:firstLineChars="200"/>
        <w:rPr>
          <w:rFonts w:hint="eastAsia"/>
          <w:color w:val="auto"/>
        </w:rPr>
      </w:pPr>
      <w:r>
        <w:rPr>
          <w:rFonts w:hint="eastAsia"/>
          <w:color w:val="auto"/>
        </w:rPr>
        <w:t>项目实施制定相应的财务和业务管理制度：《市场监督管理局财务管理制度》和《食品药品监督管理工作制度》，财务和业务管理制度合法、合规、完整。</w:t>
      </w:r>
    </w:p>
    <w:p>
      <w:pPr>
        <w:spacing w:line="360" w:lineRule="auto"/>
        <w:ind w:firstLine="600" w:firstLineChars="200"/>
        <w:rPr>
          <w:rFonts w:hint="eastAsia"/>
          <w:color w:val="auto"/>
        </w:rPr>
      </w:pPr>
      <w:r>
        <w:rPr>
          <w:rFonts w:hint="eastAsia"/>
          <w:color w:val="auto"/>
        </w:rPr>
        <w:t>5、制度执行有效性</w:t>
      </w:r>
    </w:p>
    <w:p>
      <w:pPr>
        <w:spacing w:line="360" w:lineRule="auto"/>
        <w:ind w:firstLine="600" w:firstLineChars="200"/>
        <w:rPr>
          <w:rFonts w:hint="eastAsia"/>
          <w:color w:val="auto"/>
        </w:rPr>
      </w:pPr>
      <w:r>
        <w:rPr>
          <w:rFonts w:hint="eastAsia"/>
          <w:color w:val="auto"/>
        </w:rPr>
        <w:t>项目实施遵守相关法律法规和相关管理规定</w:t>
      </w:r>
      <w:r>
        <w:rPr>
          <w:rFonts w:hint="eastAsia"/>
          <w:color w:val="auto"/>
          <w:lang w:eastAsia="zh-CN"/>
        </w:rPr>
        <w:t>，</w:t>
      </w:r>
      <w:r>
        <w:rPr>
          <w:rFonts w:hint="eastAsia"/>
          <w:color w:val="auto"/>
        </w:rPr>
        <w:t>项目调整及支出调整手续完备</w:t>
      </w:r>
      <w:r>
        <w:rPr>
          <w:rFonts w:hint="eastAsia"/>
          <w:color w:val="auto"/>
          <w:lang w:eastAsia="zh-CN"/>
        </w:rPr>
        <w:t>，</w:t>
      </w:r>
      <w:r>
        <w:rPr>
          <w:rFonts w:hint="eastAsia"/>
          <w:color w:val="auto"/>
        </w:rPr>
        <w:t>项目合同书、验收报告、技术鉴定等资料齐全并及时归档</w:t>
      </w:r>
      <w:r>
        <w:rPr>
          <w:rFonts w:hint="eastAsia"/>
          <w:color w:val="auto"/>
          <w:lang w:eastAsia="zh-CN"/>
        </w:rPr>
        <w:t>，</w:t>
      </w:r>
      <w:r>
        <w:rPr>
          <w:rFonts w:hint="eastAsia"/>
          <w:color w:val="auto"/>
        </w:rPr>
        <w:t>项目实施的人员条件、场地设备、信息支撑等落实到位。</w:t>
      </w:r>
    </w:p>
    <w:p>
      <w:pPr>
        <w:pStyle w:val="4"/>
        <w:spacing w:line="360" w:lineRule="auto"/>
        <w:ind w:firstLine="640" w:firstLineChars="200"/>
        <w:rPr>
          <w:rFonts w:ascii="仿宋_GB2312" w:eastAsia="仿宋_GB2312"/>
          <w:b w:val="0"/>
          <w:bCs w:val="0"/>
        </w:rPr>
      </w:pPr>
      <w:bookmarkStart w:id="15" w:name="_Toc68703840"/>
      <w:r>
        <w:rPr>
          <w:rFonts w:hint="eastAsia" w:ascii="仿宋_GB2312" w:eastAsia="仿宋_GB2312"/>
          <w:b w:val="0"/>
          <w:bCs w:val="0"/>
        </w:rPr>
        <w:t>（三）项目产出情况。</w:t>
      </w:r>
      <w:bookmarkEnd w:id="15"/>
    </w:p>
    <w:p>
      <w:pPr>
        <w:spacing w:line="360" w:lineRule="auto"/>
        <w:ind w:firstLine="600" w:firstLineChars="200"/>
        <w:rPr>
          <w:rFonts w:hint="eastAsia"/>
          <w:color w:val="auto"/>
        </w:rPr>
      </w:pPr>
      <w:r>
        <w:rPr>
          <w:rFonts w:hint="eastAsia"/>
          <w:color w:val="auto"/>
        </w:rPr>
        <w:t>1、产出数量指标：指标1：</w:t>
      </w:r>
      <w:r>
        <w:rPr>
          <w:rFonts w:hint="eastAsia"/>
          <w:color w:val="auto"/>
          <w:lang w:eastAsia="zh-CN"/>
        </w:rPr>
        <w:t>办公用品采购数量</w:t>
      </w:r>
      <w:r>
        <w:rPr>
          <w:rFonts w:hint="eastAsia"/>
          <w:color w:val="auto"/>
        </w:rPr>
        <w:t>，指标值：≥</w:t>
      </w:r>
      <w:r>
        <w:rPr>
          <w:rFonts w:hint="eastAsia"/>
          <w:color w:val="auto"/>
          <w:lang w:val="en-US" w:eastAsia="zh-CN"/>
        </w:rPr>
        <w:t>3批次</w:t>
      </w:r>
      <w:r>
        <w:rPr>
          <w:rFonts w:hint="eastAsia"/>
          <w:color w:val="auto"/>
        </w:rPr>
        <w:t>，实际完成值</w:t>
      </w:r>
      <w:r>
        <w:rPr>
          <w:rFonts w:hint="eastAsia"/>
          <w:color w:val="auto"/>
          <w:lang w:val="en-US" w:eastAsia="zh-CN"/>
        </w:rPr>
        <w:t>3批次</w:t>
      </w:r>
      <w:r>
        <w:rPr>
          <w:rFonts w:hint="eastAsia"/>
          <w:color w:val="auto"/>
        </w:rPr>
        <w:t>，指标完成</w:t>
      </w:r>
      <w:r>
        <w:rPr>
          <w:rFonts w:hint="eastAsia"/>
          <w:color w:val="auto"/>
          <w:lang w:eastAsia="zh-CN"/>
        </w:rPr>
        <w:t>率</w:t>
      </w:r>
      <w:r>
        <w:rPr>
          <w:rFonts w:hint="eastAsia"/>
          <w:color w:val="auto"/>
        </w:rPr>
        <w:t>100%，偏差原因：</w:t>
      </w:r>
      <w:r>
        <w:rPr>
          <w:rFonts w:hint="eastAsia"/>
          <w:color w:val="auto"/>
          <w:lang w:eastAsia="zh-CN"/>
        </w:rPr>
        <w:t>无</w:t>
      </w:r>
      <w:r>
        <w:rPr>
          <w:rFonts w:hint="eastAsia"/>
          <w:color w:val="auto"/>
        </w:rPr>
        <w:t>；</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w:t>
      </w:r>
      <w:r>
        <w:rPr>
          <w:rFonts w:hint="eastAsia"/>
          <w:color w:val="auto"/>
          <w:lang w:eastAsia="zh-CN"/>
        </w:rPr>
        <w:t>办公用品采购次数</w:t>
      </w:r>
      <w:r>
        <w:rPr>
          <w:rFonts w:hint="eastAsia"/>
          <w:color w:val="auto"/>
        </w:rPr>
        <w:t>，指标值：≥</w:t>
      </w:r>
      <w:r>
        <w:rPr>
          <w:rFonts w:hint="eastAsia"/>
          <w:color w:val="auto"/>
          <w:lang w:val="en-US" w:eastAsia="zh-CN"/>
        </w:rPr>
        <w:t>6次</w:t>
      </w:r>
      <w:r>
        <w:rPr>
          <w:rFonts w:hint="eastAsia"/>
          <w:color w:val="auto"/>
        </w:rPr>
        <w:t>，实际完成值</w:t>
      </w:r>
      <w:r>
        <w:rPr>
          <w:rFonts w:hint="eastAsia"/>
          <w:color w:val="auto"/>
          <w:lang w:val="en-US" w:eastAsia="zh-CN"/>
        </w:rPr>
        <w:t>6次</w:t>
      </w:r>
      <w:r>
        <w:rPr>
          <w:rFonts w:hint="eastAsia"/>
          <w:color w:val="auto"/>
        </w:rPr>
        <w:t>，指标完成</w:t>
      </w:r>
      <w:r>
        <w:rPr>
          <w:rFonts w:hint="eastAsia"/>
          <w:color w:val="auto"/>
          <w:lang w:eastAsia="zh-CN"/>
        </w:rPr>
        <w:t>率</w:t>
      </w:r>
      <w:r>
        <w:rPr>
          <w:rFonts w:hint="eastAsia"/>
          <w:color w:val="auto"/>
        </w:rPr>
        <w:t>100%，偏差原因：</w:t>
      </w:r>
      <w:r>
        <w:rPr>
          <w:rFonts w:hint="eastAsia"/>
          <w:color w:val="auto"/>
          <w:lang w:eastAsia="zh-CN"/>
        </w:rPr>
        <w:t>无</w:t>
      </w:r>
      <w:r>
        <w:rPr>
          <w:rFonts w:hint="eastAsia"/>
          <w:color w:val="auto"/>
        </w:rPr>
        <w:t>；</w:t>
      </w:r>
    </w:p>
    <w:p>
      <w:pPr>
        <w:numPr>
          <w:ilvl w:val="0"/>
          <w:numId w:val="1"/>
        </w:numPr>
        <w:spacing w:line="360" w:lineRule="auto"/>
        <w:ind w:left="0" w:leftChars="0" w:firstLine="600" w:firstLineChars="200"/>
        <w:rPr>
          <w:rFonts w:hint="eastAsia"/>
          <w:color w:val="auto"/>
        </w:rPr>
      </w:pPr>
      <w:r>
        <w:rPr>
          <w:rFonts w:hint="eastAsia"/>
          <w:color w:val="auto"/>
          <w:lang w:eastAsia="zh-CN"/>
        </w:rPr>
        <w:t>产出</w:t>
      </w:r>
      <w:r>
        <w:rPr>
          <w:rFonts w:hint="eastAsia"/>
          <w:color w:val="auto"/>
        </w:rPr>
        <w:t>质量指标</w:t>
      </w:r>
      <w:r>
        <w:rPr>
          <w:rFonts w:hint="eastAsia"/>
          <w:color w:val="auto"/>
          <w:lang w:val="en-US" w:eastAsia="zh-CN"/>
        </w:rPr>
        <w:t>1</w:t>
      </w:r>
      <w:r>
        <w:rPr>
          <w:rFonts w:hint="eastAsia"/>
          <w:color w:val="auto"/>
        </w:rPr>
        <w:t>：</w:t>
      </w:r>
      <w:r>
        <w:rPr>
          <w:rFonts w:hint="eastAsia"/>
          <w:color w:val="auto"/>
          <w:lang w:eastAsia="zh-CN"/>
        </w:rPr>
        <w:t>政府采购率</w:t>
      </w:r>
      <w:r>
        <w:rPr>
          <w:rFonts w:hint="eastAsia"/>
          <w:color w:val="auto"/>
        </w:rPr>
        <w:t>，</w:t>
      </w:r>
      <w:bookmarkStart w:id="16" w:name="_Hlk98607777"/>
      <w:r>
        <w:rPr>
          <w:rFonts w:hint="eastAsia"/>
          <w:color w:val="auto"/>
        </w:rPr>
        <w:t>指标值：≥ 100% ，实际完成</w:t>
      </w:r>
      <w:r>
        <w:rPr>
          <w:rFonts w:hint="eastAsia"/>
          <w:color w:val="auto"/>
          <w:lang w:eastAsia="zh-CN"/>
        </w:rPr>
        <w:t>值</w:t>
      </w:r>
      <w:r>
        <w:rPr>
          <w:rFonts w:hint="eastAsia"/>
          <w:color w:val="auto"/>
          <w:lang w:val="en-US" w:eastAsia="zh-CN"/>
        </w:rPr>
        <w:t>100</w:t>
      </w:r>
      <w:r>
        <w:rPr>
          <w:rFonts w:hint="eastAsia"/>
          <w:color w:val="auto"/>
        </w:rPr>
        <w:t>%，</w:t>
      </w:r>
      <w:bookmarkStart w:id="17" w:name="_Hlk98607678"/>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 xml:space="preserve">   </w:t>
      </w:r>
      <w:bookmarkEnd w:id="16"/>
      <w:bookmarkEnd w:id="17"/>
    </w:p>
    <w:p>
      <w:pPr>
        <w:numPr>
          <w:ilvl w:val="0"/>
          <w:numId w:val="0"/>
        </w:numPr>
        <w:spacing w:line="360" w:lineRule="auto"/>
        <w:ind w:firstLine="600" w:firstLineChars="200"/>
        <w:rPr>
          <w:rFonts w:hint="eastAsia"/>
          <w:color w:val="auto"/>
        </w:rPr>
      </w:pPr>
      <w:r>
        <w:rPr>
          <w:rFonts w:hint="eastAsia"/>
          <w:color w:val="auto"/>
          <w:lang w:eastAsia="zh-CN"/>
        </w:rPr>
        <w:t>产出</w:t>
      </w:r>
      <w:r>
        <w:rPr>
          <w:rFonts w:hint="eastAsia"/>
          <w:color w:val="auto"/>
        </w:rPr>
        <w:t>质量指标</w:t>
      </w:r>
      <w:r>
        <w:rPr>
          <w:rFonts w:hint="eastAsia"/>
          <w:color w:val="auto"/>
          <w:lang w:val="en-US" w:eastAsia="zh-CN"/>
        </w:rPr>
        <w:t>2</w:t>
      </w:r>
      <w:r>
        <w:rPr>
          <w:rFonts w:hint="eastAsia"/>
          <w:color w:val="auto"/>
        </w:rPr>
        <w:t>：</w:t>
      </w:r>
      <w:r>
        <w:rPr>
          <w:rFonts w:hint="eastAsia"/>
          <w:color w:val="auto"/>
          <w:lang w:eastAsia="zh-CN"/>
        </w:rPr>
        <w:t>办公用品验收合格率</w:t>
      </w:r>
      <w:r>
        <w:rPr>
          <w:rFonts w:hint="eastAsia"/>
          <w:color w:val="auto"/>
        </w:rPr>
        <w:t xml:space="preserve">，指标值：≥ </w:t>
      </w:r>
      <w:r>
        <w:rPr>
          <w:rFonts w:hint="eastAsia"/>
          <w:color w:val="auto"/>
          <w:lang w:val="en-US" w:eastAsia="zh-CN"/>
        </w:rPr>
        <w:t>95</w:t>
      </w:r>
      <w:r>
        <w:rPr>
          <w:rFonts w:hint="eastAsia"/>
          <w:color w:val="auto"/>
        </w:rPr>
        <w:t>% ，实际完成值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 xml:space="preserve">   </w:t>
      </w:r>
    </w:p>
    <w:p>
      <w:pPr>
        <w:numPr>
          <w:ilvl w:val="0"/>
          <w:numId w:val="0"/>
        </w:numPr>
        <w:spacing w:line="360" w:lineRule="auto"/>
        <w:ind w:firstLine="600" w:firstLineChars="200"/>
        <w:rPr>
          <w:rFonts w:hint="eastAsia"/>
          <w:color w:val="auto"/>
        </w:rPr>
      </w:pPr>
      <w:r>
        <w:rPr>
          <w:rFonts w:hint="eastAsia"/>
          <w:color w:val="auto"/>
          <w:lang w:eastAsia="zh-CN"/>
        </w:rPr>
        <w:t>产出</w:t>
      </w:r>
      <w:r>
        <w:rPr>
          <w:rFonts w:hint="eastAsia"/>
          <w:color w:val="auto"/>
        </w:rPr>
        <w:t>质量指标</w:t>
      </w:r>
      <w:r>
        <w:rPr>
          <w:rFonts w:hint="eastAsia"/>
          <w:color w:val="auto"/>
          <w:lang w:val="en-US" w:eastAsia="zh-CN"/>
        </w:rPr>
        <w:t>3</w:t>
      </w:r>
      <w:r>
        <w:rPr>
          <w:rFonts w:hint="eastAsia"/>
          <w:color w:val="auto"/>
        </w:rPr>
        <w:t>：</w:t>
      </w:r>
      <w:r>
        <w:rPr>
          <w:rFonts w:hint="eastAsia"/>
          <w:color w:val="auto"/>
          <w:lang w:eastAsia="zh-CN"/>
        </w:rPr>
        <w:t>办公用品质量合格率</w:t>
      </w:r>
      <w:r>
        <w:rPr>
          <w:rFonts w:hint="eastAsia"/>
          <w:color w:val="auto"/>
        </w:rPr>
        <w:t xml:space="preserve">，指标值：≥ </w:t>
      </w:r>
      <w:r>
        <w:rPr>
          <w:rFonts w:hint="eastAsia"/>
          <w:color w:val="auto"/>
          <w:lang w:val="en-US" w:eastAsia="zh-CN"/>
        </w:rPr>
        <w:t>95</w:t>
      </w:r>
      <w:r>
        <w:rPr>
          <w:rFonts w:hint="eastAsia"/>
          <w:color w:val="auto"/>
        </w:rPr>
        <w:t>% ，实际完成值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 xml:space="preserve">   </w:t>
      </w:r>
    </w:p>
    <w:p>
      <w:pPr>
        <w:widowControl w:val="0"/>
        <w:numPr>
          <w:ilvl w:val="0"/>
          <w:numId w:val="0"/>
        </w:numPr>
        <w:spacing w:line="360" w:lineRule="auto"/>
        <w:jc w:val="both"/>
        <w:rPr>
          <w:rFonts w:hint="default" w:eastAsia="仿宋_GB2312"/>
          <w:color w:val="auto"/>
          <w:lang w:val="en-US" w:eastAsia="zh-CN"/>
        </w:rPr>
      </w:pPr>
      <w:r>
        <w:rPr>
          <w:rFonts w:hint="eastAsia"/>
          <w:color w:val="auto"/>
          <w:lang w:val="en-US" w:eastAsia="zh-CN"/>
        </w:rPr>
        <w:t xml:space="preserve">    3、</w:t>
      </w:r>
      <w:r>
        <w:rPr>
          <w:rFonts w:hint="eastAsia"/>
          <w:color w:val="auto"/>
          <w:lang w:eastAsia="zh-CN"/>
        </w:rPr>
        <w:t>产出时效</w:t>
      </w:r>
      <w:r>
        <w:rPr>
          <w:rFonts w:hint="eastAsia"/>
          <w:color w:val="auto"/>
        </w:rPr>
        <w:t>指标</w:t>
      </w:r>
      <w:r>
        <w:rPr>
          <w:rFonts w:hint="eastAsia"/>
          <w:color w:val="auto"/>
          <w:lang w:val="en-US" w:eastAsia="zh-CN"/>
        </w:rPr>
        <w:t>1</w:t>
      </w:r>
      <w:r>
        <w:rPr>
          <w:rFonts w:hint="eastAsia"/>
          <w:color w:val="auto"/>
        </w:rPr>
        <w:t>：</w:t>
      </w:r>
      <w:r>
        <w:rPr>
          <w:rFonts w:hint="eastAsia"/>
          <w:color w:val="auto"/>
          <w:lang w:eastAsia="zh-CN"/>
        </w:rPr>
        <w:t>采购完成及时率</w:t>
      </w:r>
      <w:r>
        <w:rPr>
          <w:rFonts w:hint="eastAsia"/>
          <w:color w:val="auto"/>
        </w:rPr>
        <w:t xml:space="preserve">，指标值：≥ </w:t>
      </w:r>
      <w:r>
        <w:rPr>
          <w:rFonts w:hint="eastAsia"/>
          <w:color w:val="auto"/>
          <w:lang w:val="en-US" w:eastAsia="zh-CN"/>
        </w:rPr>
        <w:t>95</w:t>
      </w:r>
      <w:r>
        <w:rPr>
          <w:rFonts w:hint="eastAsia"/>
          <w:color w:val="auto"/>
        </w:rPr>
        <w:t>% ，实际完成值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 xml:space="preserve"> </w:t>
      </w:r>
    </w:p>
    <w:p>
      <w:pPr>
        <w:pStyle w:val="2"/>
        <w:rPr>
          <w:rFonts w:hint="eastAsia"/>
        </w:rPr>
      </w:pPr>
    </w:p>
    <w:p>
      <w:pPr>
        <w:numPr>
          <w:ilvl w:val="0"/>
          <w:numId w:val="0"/>
        </w:numPr>
        <w:spacing w:line="360" w:lineRule="auto"/>
        <w:ind w:firstLine="600" w:firstLineChars="200"/>
        <w:rPr>
          <w:rFonts w:hint="eastAsia"/>
          <w:color w:val="auto"/>
          <w:lang w:eastAsia="zh-CN"/>
        </w:rPr>
      </w:pPr>
      <w:r>
        <w:rPr>
          <w:rFonts w:hint="eastAsia"/>
          <w:color w:val="auto"/>
          <w:lang w:val="en-US" w:eastAsia="zh-CN"/>
        </w:rPr>
        <w:t>4、经济成本指标：</w:t>
      </w:r>
      <w:r>
        <w:rPr>
          <w:rFonts w:hint="eastAsia"/>
          <w:color w:val="auto"/>
          <w:lang w:eastAsia="zh-CN"/>
        </w:rPr>
        <w:t>指标</w:t>
      </w:r>
      <w:r>
        <w:rPr>
          <w:rFonts w:hint="eastAsia"/>
          <w:color w:val="auto"/>
          <w:lang w:val="en-US" w:eastAsia="zh-CN"/>
        </w:rPr>
        <w:t>1：项目预算控制，指标值</w:t>
      </w:r>
      <w:r>
        <w:rPr>
          <w:rFonts w:hint="eastAsia"/>
          <w:color w:val="auto"/>
          <w:lang w:eastAsia="zh-CN"/>
        </w:rPr>
        <w:t xml:space="preserve"> ≤</w:t>
      </w:r>
      <w:r>
        <w:rPr>
          <w:rFonts w:hint="eastAsia"/>
          <w:color w:val="auto"/>
          <w:lang w:val="en-US" w:eastAsia="zh-CN"/>
        </w:rPr>
        <w:t>100%，</w:t>
      </w:r>
      <w:r>
        <w:rPr>
          <w:rFonts w:hint="eastAsia"/>
          <w:color w:val="auto"/>
          <w:lang w:eastAsia="zh-CN"/>
        </w:rPr>
        <w:t>实际完成值</w:t>
      </w:r>
      <w:r>
        <w:rPr>
          <w:rFonts w:hint="eastAsia"/>
          <w:color w:val="auto"/>
          <w:lang w:val="en-US" w:eastAsia="zh-CN"/>
        </w:rPr>
        <w:t>100%</w:t>
      </w:r>
      <w:r>
        <w:rPr>
          <w:rFonts w:hint="eastAsia"/>
          <w:color w:val="auto"/>
          <w:lang w:eastAsia="zh-CN"/>
        </w:rPr>
        <w:t>，指标完成率100%，偏差原因：无。</w:t>
      </w:r>
    </w:p>
    <w:p>
      <w:pPr>
        <w:pStyle w:val="4"/>
        <w:spacing w:line="360" w:lineRule="auto"/>
        <w:ind w:firstLine="640" w:firstLineChars="200"/>
        <w:rPr>
          <w:rFonts w:ascii="仿宋_GB2312" w:eastAsia="仿宋_GB2312"/>
          <w:b w:val="0"/>
          <w:bCs w:val="0"/>
        </w:rPr>
      </w:pPr>
      <w:bookmarkStart w:id="18" w:name="_Toc68703841"/>
      <w:r>
        <w:rPr>
          <w:rFonts w:hint="eastAsia" w:ascii="仿宋_GB2312" w:eastAsia="仿宋_GB2312"/>
          <w:b w:val="0"/>
          <w:bCs w:val="0"/>
        </w:rPr>
        <w:t>（四）项目效益情况。</w:t>
      </w:r>
      <w:bookmarkEnd w:id="18"/>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1、效益指标：社会效益指标：提高办公质量，指标值：有所提高，实际完成值有所提高，指标完成率 100%，偏差原因：无；</w:t>
      </w:r>
    </w:p>
    <w:p>
      <w:pPr>
        <w:numPr>
          <w:ilvl w:val="0"/>
          <w:numId w:val="0"/>
        </w:numPr>
        <w:spacing w:line="360" w:lineRule="auto"/>
        <w:ind w:firstLine="600" w:firstLineChars="200"/>
        <w:rPr>
          <w:rFonts w:hint="eastAsia"/>
          <w:color w:val="auto"/>
        </w:rPr>
      </w:pPr>
      <w:r>
        <w:rPr>
          <w:rFonts w:hint="eastAsia"/>
          <w:color w:val="auto"/>
          <w:lang w:val="en-US" w:eastAsia="zh-CN"/>
        </w:rPr>
        <w:t>2、满意度指标：满意度指标：使用人员满意度，指标值：&gt;=90%，实际完成值=90%，指标完成率 100%，偏差原因：无。</w:t>
      </w:r>
    </w:p>
    <w:p>
      <w:pPr>
        <w:spacing w:line="360" w:lineRule="auto"/>
        <w:ind w:firstLine="600" w:firstLineChars="200"/>
        <w:rPr>
          <w:color w:val="FF0000"/>
        </w:rPr>
      </w:pPr>
    </w:p>
    <w:p>
      <w:pPr>
        <w:pStyle w:val="3"/>
        <w:spacing w:line="360" w:lineRule="auto"/>
        <w:ind w:firstLine="643" w:firstLineChars="200"/>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ind w:firstLine="640" w:firstLineChars="200"/>
        <w:rPr>
          <w:rFonts w:hint="eastAsia" w:ascii="仿宋_GB2312" w:eastAsia="仿宋_GB2312"/>
          <w:b w:val="0"/>
          <w:bCs w:val="0"/>
        </w:rPr>
      </w:pPr>
      <w:bookmarkStart w:id="20" w:name="_Toc68703843"/>
      <w:r>
        <w:rPr>
          <w:rFonts w:hint="eastAsia" w:ascii="仿宋_GB2312" w:eastAsia="仿宋_GB2312"/>
          <w:b w:val="0"/>
          <w:bCs w:val="0"/>
        </w:rPr>
        <w:t>（一）主要经验及做法</w:t>
      </w:r>
      <w:bookmarkEnd w:id="20"/>
      <w:bookmarkStart w:id="21" w:name="_Toc68703844"/>
    </w:p>
    <w:p>
      <w:pPr>
        <w:pStyle w:val="4"/>
        <w:spacing w:line="360" w:lineRule="auto"/>
        <w:ind w:firstLine="600"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3、合理安排项目资金，确保项目及时必要。</w:t>
      </w:r>
    </w:p>
    <w:p>
      <w:pPr>
        <w:pStyle w:val="4"/>
        <w:spacing w:line="360" w:lineRule="auto"/>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21"/>
    </w:p>
    <w:p>
      <w:pPr>
        <w:pageBreakBefore w:val="0"/>
        <w:widowControl w:val="0"/>
        <w:kinsoku/>
        <w:wordWrap/>
        <w:overflowPunct/>
        <w:topLinePunct w:val="0"/>
        <w:autoSpaceDE/>
        <w:autoSpaceDN/>
        <w:bidi w:val="0"/>
        <w:snapToGrid/>
        <w:spacing w:line="560" w:lineRule="exact"/>
        <w:ind w:firstLine="564" w:firstLineChars="181"/>
        <w:textAlignment w:val="auto"/>
      </w:pPr>
      <w:bookmarkStart w:id="22" w:name="_Toc68703845"/>
      <w:r>
        <w:rPr>
          <w:rStyle w:val="13"/>
          <w:rFonts w:hint="eastAsia" w:ascii="仿宋_GB2312" w:hAnsi="楷体" w:eastAsia="仿宋_GB2312" w:cs="Times New Roman"/>
          <w:b w:val="0"/>
          <w:spacing w:val="-4"/>
          <w:sz w:val="32"/>
          <w:szCs w:val="32"/>
          <w:lang w:val="en-US" w:eastAsia="zh-CN"/>
        </w:rPr>
        <w:t>存在问题：</w:t>
      </w:r>
      <w:r>
        <w:rPr>
          <w:rStyle w:val="13"/>
          <w:rFonts w:hint="eastAsia" w:ascii="仿宋_GB2312" w:hAnsi="楷体" w:eastAsia="仿宋_GB2312" w:cs="Times New Roman"/>
          <w:b w:val="0"/>
          <w:spacing w:val="-4"/>
          <w:sz w:val="32"/>
          <w:szCs w:val="32"/>
          <w:lang w:eastAsia="zh-CN"/>
        </w:rPr>
        <w:t>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ageBreakBefore w:val="0"/>
        <w:widowControl w:val="0"/>
        <w:kinsoku/>
        <w:wordWrap/>
        <w:overflowPunct/>
        <w:topLinePunct w:val="0"/>
        <w:autoSpaceDE/>
        <w:autoSpaceDN/>
        <w:bidi w:val="0"/>
        <w:adjustRightInd w:val="0"/>
        <w:snapToGrid/>
        <w:spacing w:line="560" w:lineRule="exact"/>
        <w:ind w:firstLine="643" w:firstLineChars="200"/>
        <w:jc w:val="both"/>
        <w:textAlignment w:val="auto"/>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六有关建议</w:t>
      </w:r>
      <w:bookmarkEnd w:id="22"/>
    </w:p>
    <w:p>
      <w:pPr>
        <w:pageBreakBefore w:val="0"/>
        <w:widowControl w:val="0"/>
        <w:kinsoku/>
        <w:wordWrap/>
        <w:overflowPunct/>
        <w:topLinePunct w:val="0"/>
        <w:autoSpaceDE/>
        <w:autoSpaceDN/>
        <w:bidi w:val="0"/>
        <w:adjustRightInd w:val="0"/>
        <w:snapToGrid/>
        <w:spacing w:line="560" w:lineRule="exact"/>
        <w:ind w:firstLine="600" w:firstLineChars="200"/>
        <w:jc w:val="both"/>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1、加强预算执行情况分析，及时掌握项目绩效目标的实现情况、项目实施进程和资金支出进度，从而对出现的情况和问题及时采取措施予以纠正。提高预算执行进度和项目管理水平。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pStyle w:val="3"/>
        <w:spacing w:line="360" w:lineRule="auto"/>
        <w:ind w:firstLine="643" w:firstLineChars="200"/>
        <w:rPr>
          <w:rFonts w:hint="eastAsia"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pStyle w:val="3"/>
        <w:spacing w:line="360" w:lineRule="auto"/>
        <w:ind w:firstLine="600" w:firstLineChars="200"/>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3817B4"/>
    <w:multiLevelType w:val="singleLevel"/>
    <w:tmpl w:val="6A3817B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C0D426F"/>
    <w:rsid w:val="0D08249F"/>
    <w:rsid w:val="11662921"/>
    <w:rsid w:val="15DA37C6"/>
    <w:rsid w:val="1DBB4FD6"/>
    <w:rsid w:val="2732278A"/>
    <w:rsid w:val="293304C6"/>
    <w:rsid w:val="3F3020FF"/>
    <w:rsid w:val="444D1388"/>
    <w:rsid w:val="45C75587"/>
    <w:rsid w:val="48144CAA"/>
    <w:rsid w:val="49452D33"/>
    <w:rsid w:val="50183613"/>
    <w:rsid w:val="622575EA"/>
    <w:rsid w:val="728B4D2E"/>
    <w:rsid w:val="73AF33F1"/>
    <w:rsid w:val="742F7A34"/>
    <w:rsid w:val="75FD276E"/>
    <w:rsid w:val="783D2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5">
    <w:name w:val="Plain Text"/>
    <w:basedOn w:val="1"/>
    <w:qFormat/>
    <w:uiPriority w:val="0"/>
    <w:rPr>
      <w:rFonts w:ascii="宋体" w:hAnsi="Courier New"/>
    </w:rPr>
  </w:style>
  <w:style w:type="paragraph" w:styleId="6">
    <w:name w:val="footer"/>
    <w:basedOn w:val="1"/>
    <w:link w:val="19"/>
    <w:unhideWhenUsed/>
    <w:uiPriority w:val="99"/>
    <w:pPr>
      <w:tabs>
        <w:tab w:val="center" w:pos="4153"/>
        <w:tab w:val="right" w:pos="8306"/>
      </w:tabs>
      <w:snapToGrid w:val="0"/>
      <w:jc w:val="left"/>
    </w:pPr>
    <w:rPr>
      <w:sz w:val="18"/>
      <w:szCs w:val="18"/>
    </w:rPr>
  </w:style>
  <w:style w:type="paragraph" w:styleId="7">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qFormat/>
    <w:uiPriority w:val="99"/>
    <w:rPr>
      <w:rFonts w:ascii="Times New Roman" w:hAnsi="Times New Roman" w:eastAsia="仿宋_GB2312" w:cs="Times New Roman"/>
      <w:sz w:val="18"/>
      <w:szCs w:val="18"/>
    </w:rPr>
  </w:style>
  <w:style w:type="character" w:customStyle="1" w:styleId="19">
    <w:name w:val="页脚 字符"/>
    <w:basedOn w:val="12"/>
    <w:link w:val="6"/>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9</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2024-05-15T10:23:18Z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