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1C0B0A">
      <w:pPr>
        <w:spacing w:before="0" w:after="0" w:line="240" w:lineRule="auto"/>
        <w:ind w:left="0" w:right="0" w:firstLine="0"/>
        <w:jc w:val="center"/>
        <w:rPr>
          <w:rFonts w:ascii="宋体" w:hAnsi="宋体" w:eastAsia="宋体" w:cs="宋体"/>
          <w:b/>
          <w:color w:val="auto"/>
          <w:spacing w:val="0"/>
          <w:position w:val="0"/>
          <w:sz w:val="48"/>
          <w:shd w:val="clear" w:fill="auto"/>
        </w:rPr>
      </w:pPr>
    </w:p>
    <w:p w14:paraId="23B303A1">
      <w:pPr>
        <w:spacing w:before="0" w:after="0" w:line="240" w:lineRule="auto"/>
        <w:ind w:left="0" w:right="0" w:firstLine="0"/>
        <w:jc w:val="center"/>
        <w:rPr>
          <w:rFonts w:ascii="宋体" w:hAnsi="宋体" w:eastAsia="宋体" w:cs="宋体"/>
          <w:b/>
          <w:color w:val="auto"/>
          <w:spacing w:val="0"/>
          <w:position w:val="0"/>
          <w:sz w:val="48"/>
          <w:shd w:val="clear" w:fill="auto"/>
        </w:rPr>
      </w:pPr>
    </w:p>
    <w:p w14:paraId="10A1173C">
      <w:pPr>
        <w:spacing w:before="0" w:after="0" w:line="240" w:lineRule="auto"/>
        <w:ind w:left="0" w:right="0" w:firstLine="0"/>
        <w:jc w:val="center"/>
        <w:rPr>
          <w:rFonts w:ascii="宋体" w:hAnsi="宋体" w:eastAsia="宋体" w:cs="宋体"/>
          <w:b/>
          <w:color w:val="auto"/>
          <w:spacing w:val="0"/>
          <w:position w:val="0"/>
          <w:sz w:val="48"/>
          <w:shd w:val="clear" w:fill="auto"/>
        </w:rPr>
      </w:pPr>
    </w:p>
    <w:p w14:paraId="750E2EDF">
      <w:pPr>
        <w:spacing w:before="0" w:after="0" w:line="240" w:lineRule="auto"/>
        <w:ind w:left="0" w:right="0" w:firstLine="0"/>
        <w:jc w:val="center"/>
        <w:rPr>
          <w:rFonts w:ascii="宋体" w:hAnsi="宋体" w:eastAsia="宋体" w:cs="宋体"/>
          <w:b/>
          <w:color w:val="auto"/>
          <w:spacing w:val="0"/>
          <w:position w:val="0"/>
          <w:sz w:val="52"/>
          <w:shd w:val="clear" w:fill="auto"/>
        </w:rPr>
      </w:pPr>
      <w:r>
        <w:rPr>
          <w:rFonts w:ascii="宋体" w:hAnsi="宋体" w:eastAsia="宋体" w:cs="宋体"/>
          <w:b/>
          <w:color w:val="auto"/>
          <w:spacing w:val="0"/>
          <w:position w:val="0"/>
          <w:sz w:val="52"/>
          <w:shd w:val="clear" w:fill="auto"/>
        </w:rPr>
        <w:t>项目支出绩效评价报告</w:t>
      </w:r>
    </w:p>
    <w:p w14:paraId="2E1D6F6E">
      <w:pPr>
        <w:spacing w:before="0" w:after="0" w:line="240" w:lineRule="auto"/>
        <w:ind w:left="0" w:right="0" w:firstLine="0"/>
        <w:jc w:val="center"/>
        <w:rPr>
          <w:rFonts w:ascii="宋体" w:hAnsi="宋体" w:eastAsia="宋体" w:cs="宋体"/>
          <w:b/>
          <w:color w:val="auto"/>
          <w:spacing w:val="0"/>
          <w:position w:val="0"/>
          <w:sz w:val="48"/>
          <w:shd w:val="clear" w:fill="auto"/>
        </w:rPr>
      </w:pPr>
    </w:p>
    <w:p w14:paraId="58A6F703">
      <w:pPr>
        <w:widowControl w:val="0"/>
        <w:spacing w:before="0" w:after="0" w:line="560" w:lineRule="auto"/>
        <w:ind w:left="0" w:right="0" w:firstLine="0"/>
        <w:jc w:val="center"/>
        <w:rPr>
          <w:rFonts w:ascii="仿宋_GB2312" w:hAnsi="仿宋_GB2312" w:eastAsia="仿宋_GB2312" w:cs="仿宋_GB2312"/>
          <w:b/>
          <w:color w:val="auto"/>
          <w:spacing w:val="0"/>
          <w:position w:val="0"/>
          <w:sz w:val="50"/>
          <w:shd w:val="clear" w:fill="auto"/>
        </w:rPr>
      </w:pPr>
      <w:r>
        <w:rPr>
          <w:rFonts w:ascii="宋体" w:hAnsi="宋体" w:eastAsia="宋体" w:cs="宋体"/>
          <w:color w:val="000000"/>
          <w:spacing w:val="0"/>
          <w:position w:val="0"/>
          <w:sz w:val="36"/>
          <w:shd w:val="clear" w:fill="auto"/>
        </w:rPr>
        <w:t>（</w:t>
      </w:r>
      <w:r>
        <w:rPr>
          <w:rFonts w:ascii="方正小标宋简体" w:hAnsi="方正小标宋简体" w:eastAsia="方正小标宋简体" w:cs="方正小标宋简体"/>
          <w:color w:val="000000"/>
          <w:spacing w:val="0"/>
          <w:position w:val="0"/>
          <w:sz w:val="36"/>
          <w:shd w:val="clear" w:fill="auto"/>
        </w:rPr>
        <w:t>2023</w:t>
      </w:r>
      <w:r>
        <w:rPr>
          <w:rFonts w:ascii="宋体" w:hAnsi="宋体" w:eastAsia="宋体" w:cs="宋体"/>
          <w:color w:val="000000"/>
          <w:spacing w:val="0"/>
          <w:position w:val="0"/>
          <w:sz w:val="36"/>
          <w:shd w:val="clear" w:fill="auto"/>
        </w:rPr>
        <w:t>年度）</w:t>
      </w:r>
    </w:p>
    <w:p w14:paraId="4ACF2791">
      <w:pPr>
        <w:spacing w:before="0" w:after="0" w:line="480" w:lineRule="auto"/>
        <w:ind w:left="0" w:right="0" w:firstLine="0"/>
        <w:jc w:val="center"/>
        <w:rPr>
          <w:rFonts w:ascii="仿宋_GB2312" w:hAnsi="仿宋_GB2312" w:eastAsia="仿宋_GB2312" w:cs="仿宋_GB2312"/>
          <w:b/>
          <w:color w:val="auto"/>
          <w:spacing w:val="0"/>
          <w:position w:val="0"/>
          <w:sz w:val="50"/>
          <w:shd w:val="clear" w:fill="auto"/>
        </w:rPr>
      </w:pPr>
    </w:p>
    <w:p w14:paraId="3A6AA076">
      <w:pPr>
        <w:spacing w:before="0" w:after="0" w:line="480" w:lineRule="auto"/>
        <w:ind w:left="0" w:right="0" w:firstLine="0"/>
        <w:jc w:val="center"/>
        <w:rPr>
          <w:rFonts w:ascii="仿宋_GB2312" w:hAnsi="仿宋_GB2312" w:eastAsia="仿宋_GB2312" w:cs="仿宋_GB2312"/>
          <w:b/>
          <w:color w:val="auto"/>
          <w:spacing w:val="0"/>
          <w:position w:val="0"/>
          <w:sz w:val="50"/>
          <w:shd w:val="clear" w:fill="auto"/>
        </w:rPr>
      </w:pPr>
    </w:p>
    <w:p w14:paraId="51004849">
      <w:pPr>
        <w:spacing w:before="0" w:after="0" w:line="480" w:lineRule="auto"/>
        <w:ind w:left="0" w:right="0" w:firstLine="0"/>
        <w:jc w:val="center"/>
        <w:rPr>
          <w:rFonts w:ascii="仿宋_GB2312" w:hAnsi="仿宋_GB2312" w:eastAsia="仿宋_GB2312" w:cs="仿宋_GB2312"/>
          <w:b/>
          <w:color w:val="auto"/>
          <w:spacing w:val="0"/>
          <w:position w:val="0"/>
          <w:sz w:val="50"/>
          <w:shd w:val="clear" w:fill="auto"/>
        </w:rPr>
      </w:pPr>
    </w:p>
    <w:p w14:paraId="3A173B11">
      <w:pPr>
        <w:spacing w:before="0" w:after="0" w:line="480" w:lineRule="auto"/>
        <w:ind w:left="0" w:right="0" w:firstLine="0"/>
        <w:jc w:val="center"/>
        <w:rPr>
          <w:rFonts w:ascii="仿宋_GB2312" w:hAnsi="仿宋_GB2312" w:eastAsia="仿宋_GB2312" w:cs="仿宋_GB2312"/>
          <w:b/>
          <w:color w:val="auto"/>
          <w:spacing w:val="0"/>
          <w:position w:val="0"/>
          <w:sz w:val="50"/>
          <w:shd w:val="clear" w:fill="auto"/>
        </w:rPr>
      </w:pPr>
    </w:p>
    <w:p w14:paraId="597CF5C0">
      <w:pPr>
        <w:spacing w:before="0" w:after="0" w:line="480" w:lineRule="auto"/>
        <w:ind w:left="0" w:right="0" w:firstLine="0"/>
        <w:jc w:val="center"/>
        <w:rPr>
          <w:rFonts w:ascii="仿宋_GB2312" w:hAnsi="仿宋_GB2312" w:eastAsia="仿宋_GB2312" w:cs="仿宋_GB2312"/>
          <w:b/>
          <w:color w:val="auto"/>
          <w:spacing w:val="0"/>
          <w:position w:val="0"/>
          <w:sz w:val="50"/>
          <w:shd w:val="clear" w:fill="auto"/>
        </w:rPr>
      </w:pPr>
    </w:p>
    <w:p w14:paraId="5AC8A4EE">
      <w:pPr>
        <w:spacing w:before="0" w:after="0" w:line="560" w:lineRule="auto"/>
        <w:ind w:left="0" w:right="0" w:firstLine="321"/>
        <w:jc w:val="both"/>
        <w:rPr>
          <w:rFonts w:ascii="宋体" w:hAnsi="宋体" w:eastAsia="宋体" w:cs="宋体"/>
          <w:color w:val="auto"/>
          <w:spacing w:val="0"/>
          <w:position w:val="0"/>
          <w:sz w:val="32"/>
          <w:shd w:val="clear" w:fill="auto"/>
        </w:rPr>
      </w:pPr>
      <w:r>
        <w:rPr>
          <w:rFonts w:ascii="宋体" w:hAnsi="宋体" w:eastAsia="宋体" w:cs="宋体"/>
          <w:b/>
          <w:color w:val="000000"/>
          <w:spacing w:val="0"/>
          <w:position w:val="0"/>
          <w:sz w:val="32"/>
          <w:shd w:val="clear" w:fill="auto"/>
        </w:rPr>
        <w:t>项目名称：</w:t>
      </w:r>
      <w:r>
        <w:rPr>
          <w:rFonts w:ascii="宋体" w:hAnsi="宋体" w:eastAsia="宋体" w:cs="宋体"/>
          <w:color w:val="auto"/>
          <w:spacing w:val="0"/>
          <w:position w:val="0"/>
          <w:sz w:val="32"/>
          <w:shd w:val="clear" w:fill="auto"/>
        </w:rPr>
        <w:t>2023年焉耆县中央重大传染病补助资金分配表（巴财社{2022}99号</w:t>
      </w:r>
    </w:p>
    <w:p w14:paraId="022586E4">
      <w:pPr>
        <w:spacing w:before="0" w:after="0" w:line="560" w:lineRule="auto"/>
        <w:ind w:left="0" w:right="0" w:firstLine="321"/>
        <w:jc w:val="both"/>
        <w:rPr>
          <w:rFonts w:ascii="宋体" w:hAnsi="宋体" w:eastAsia="宋体" w:cs="宋体"/>
          <w:color w:val="auto"/>
          <w:spacing w:val="0"/>
          <w:position w:val="0"/>
          <w:sz w:val="32"/>
          <w:shd w:val="clear" w:fill="auto"/>
        </w:rPr>
      </w:pPr>
      <w:r>
        <w:rPr>
          <w:rFonts w:ascii="宋体" w:hAnsi="宋体" w:eastAsia="宋体" w:cs="宋体"/>
          <w:b/>
          <w:color w:val="000000"/>
          <w:spacing w:val="0"/>
          <w:position w:val="0"/>
          <w:sz w:val="32"/>
          <w:shd w:val="clear" w:fill="auto"/>
        </w:rPr>
        <w:t>实施单位（公章）：焉耆县妇幼保健计划生育服务中心</w:t>
      </w:r>
      <w:r>
        <w:rPr>
          <w:rFonts w:ascii="宋体" w:hAnsi="宋体" w:eastAsia="宋体" w:cs="宋体"/>
          <w:color w:val="auto"/>
          <w:spacing w:val="0"/>
          <w:position w:val="0"/>
          <w:sz w:val="32"/>
          <w:shd w:val="clear" w:fill="auto"/>
        </w:rPr>
        <w:t xml:space="preserve"> </w:t>
      </w:r>
    </w:p>
    <w:p w14:paraId="01317D1E">
      <w:pPr>
        <w:spacing w:before="0" w:after="0" w:line="560" w:lineRule="auto"/>
        <w:ind w:left="0" w:right="0" w:firstLine="321"/>
        <w:jc w:val="both"/>
        <w:rPr>
          <w:rFonts w:ascii="宋体" w:hAnsi="宋体" w:eastAsia="宋体" w:cs="宋体"/>
          <w:color w:val="auto"/>
          <w:spacing w:val="0"/>
          <w:position w:val="0"/>
          <w:sz w:val="32"/>
          <w:shd w:val="clear" w:fill="auto"/>
        </w:rPr>
      </w:pPr>
      <w:r>
        <w:rPr>
          <w:rFonts w:ascii="宋体" w:hAnsi="宋体" w:eastAsia="宋体" w:cs="宋体"/>
          <w:b/>
          <w:color w:val="000000"/>
          <w:spacing w:val="0"/>
          <w:position w:val="0"/>
          <w:sz w:val="32"/>
          <w:shd w:val="clear" w:fill="auto"/>
        </w:rPr>
        <w:t>主管部门（公章）：焉耆县卫健委</w:t>
      </w:r>
      <w:r>
        <w:rPr>
          <w:rFonts w:ascii="宋体" w:hAnsi="宋体" w:eastAsia="宋体" w:cs="宋体"/>
          <w:color w:val="auto"/>
          <w:spacing w:val="0"/>
          <w:position w:val="0"/>
          <w:sz w:val="32"/>
          <w:shd w:val="clear" w:fill="auto"/>
        </w:rPr>
        <w:t xml:space="preserve"> </w:t>
      </w:r>
    </w:p>
    <w:p w14:paraId="42557C33">
      <w:pPr>
        <w:spacing w:before="0" w:after="0" w:line="560" w:lineRule="auto"/>
        <w:ind w:left="0" w:right="0" w:firstLine="321"/>
        <w:jc w:val="both"/>
        <w:rPr>
          <w:rFonts w:ascii="宋体" w:hAnsi="宋体" w:eastAsia="宋体" w:cs="宋体"/>
          <w:color w:val="auto"/>
          <w:spacing w:val="0"/>
          <w:position w:val="0"/>
          <w:sz w:val="32"/>
          <w:shd w:val="clear" w:fill="auto"/>
        </w:rPr>
      </w:pPr>
      <w:r>
        <w:rPr>
          <w:rFonts w:ascii="宋体" w:hAnsi="宋体" w:eastAsia="宋体" w:cs="宋体"/>
          <w:b/>
          <w:color w:val="000000"/>
          <w:spacing w:val="0"/>
          <w:position w:val="0"/>
          <w:sz w:val="32"/>
          <w:shd w:val="clear" w:fill="auto"/>
        </w:rPr>
        <w:t>项目负责人（签章）：</w:t>
      </w:r>
      <w:r>
        <w:rPr>
          <w:rFonts w:ascii="宋体" w:hAnsi="宋体" w:eastAsia="宋体" w:cs="宋体"/>
          <w:color w:val="auto"/>
          <w:spacing w:val="0"/>
          <w:position w:val="0"/>
          <w:sz w:val="32"/>
          <w:shd w:val="clear" w:fill="auto"/>
        </w:rPr>
        <w:t xml:space="preserve"> 马凌雯</w:t>
      </w:r>
    </w:p>
    <w:p w14:paraId="23C6B1E5">
      <w:pPr>
        <w:spacing w:before="0" w:after="0" w:line="560" w:lineRule="auto"/>
        <w:ind w:left="0" w:right="0" w:firstLine="321"/>
        <w:jc w:val="both"/>
        <w:rPr>
          <w:rFonts w:ascii="宋体" w:hAnsi="宋体" w:eastAsia="宋体" w:cs="宋体"/>
          <w:color w:val="000000"/>
          <w:spacing w:val="0"/>
          <w:position w:val="0"/>
          <w:sz w:val="32"/>
          <w:shd w:val="clear" w:fill="auto"/>
        </w:rPr>
      </w:pPr>
      <w:r>
        <w:rPr>
          <w:rFonts w:ascii="宋体" w:hAnsi="宋体" w:eastAsia="宋体" w:cs="宋体"/>
          <w:b/>
          <w:color w:val="000000"/>
          <w:spacing w:val="0"/>
          <w:position w:val="0"/>
          <w:sz w:val="32"/>
          <w:shd w:val="clear" w:fill="auto"/>
        </w:rPr>
        <w:t>填报时间：</w:t>
      </w:r>
      <w:r>
        <w:rPr>
          <w:rFonts w:ascii="宋体" w:hAnsi="宋体" w:eastAsia="宋体" w:cs="宋体"/>
          <w:color w:val="000000"/>
          <w:spacing w:val="0"/>
          <w:position w:val="0"/>
          <w:sz w:val="32"/>
          <w:shd w:val="clear" w:fill="auto"/>
        </w:rPr>
        <w:t>2024年04月20日</w:t>
      </w:r>
    </w:p>
    <w:p w14:paraId="7FF272CA">
      <w:pPr>
        <w:spacing w:before="0" w:after="0" w:line="240" w:lineRule="auto"/>
        <w:ind w:left="0" w:right="0" w:firstLine="0"/>
        <w:jc w:val="center"/>
        <w:rPr>
          <w:rFonts w:ascii="宋体" w:hAnsi="宋体" w:eastAsia="宋体" w:cs="宋体"/>
          <w:b/>
          <w:color w:val="auto"/>
          <w:spacing w:val="0"/>
          <w:position w:val="0"/>
          <w:sz w:val="36"/>
          <w:shd w:val="clear" w:fill="auto"/>
        </w:rPr>
      </w:pPr>
    </w:p>
    <w:p w14:paraId="7AAF7884">
      <w:pPr>
        <w:widowControl w:val="0"/>
        <w:spacing w:before="0" w:after="0" w:line="240" w:lineRule="auto"/>
        <w:ind w:left="0" w:right="0" w:firstLine="0"/>
        <w:jc w:val="left"/>
        <w:rPr>
          <w:rFonts w:ascii="宋体" w:hAnsi="宋体" w:eastAsia="宋体" w:cs="宋体"/>
          <w:b/>
          <w:color w:val="auto"/>
          <w:spacing w:val="0"/>
          <w:position w:val="0"/>
          <w:sz w:val="36"/>
          <w:shd w:val="clear" w:fill="auto"/>
        </w:rPr>
      </w:pPr>
      <w:r>
        <w:rPr>
          <w:rFonts w:ascii="宋体" w:hAnsi="宋体" w:eastAsia="宋体" w:cs="宋体"/>
          <w:b/>
          <w:color w:val="auto"/>
          <w:spacing w:val="0"/>
          <w:position w:val="0"/>
          <w:sz w:val="36"/>
          <w:shd w:val="clear" w:fill="auto"/>
        </w:rPr>
        <w:t xml:space="preserve"> </w:t>
      </w:r>
    </w:p>
    <w:p w14:paraId="0F4F0963">
      <w:pPr>
        <w:widowControl w:val="0"/>
        <w:spacing w:before="0" w:after="0" w:line="240" w:lineRule="auto"/>
        <w:ind w:left="0" w:right="0" w:firstLine="0"/>
        <w:jc w:val="left"/>
        <w:rPr>
          <w:rFonts w:ascii="宋体" w:hAnsi="宋体" w:eastAsia="宋体" w:cs="宋体"/>
          <w:b/>
          <w:color w:val="auto"/>
          <w:spacing w:val="0"/>
          <w:position w:val="0"/>
          <w:sz w:val="36"/>
          <w:shd w:val="clear" w:fill="auto"/>
        </w:rPr>
      </w:pPr>
    </w:p>
    <w:p w14:paraId="44341BDE">
      <w:pPr>
        <w:widowControl w:val="0"/>
        <w:spacing w:before="0" w:after="0" w:line="240" w:lineRule="auto"/>
        <w:ind w:left="0" w:right="0" w:firstLine="0"/>
        <w:jc w:val="left"/>
        <w:rPr>
          <w:rFonts w:ascii="宋体" w:hAnsi="宋体" w:eastAsia="宋体" w:cs="宋体"/>
          <w:b/>
          <w:color w:val="auto"/>
          <w:spacing w:val="0"/>
          <w:position w:val="0"/>
          <w:sz w:val="36"/>
          <w:shd w:val="clear" w:fill="auto"/>
        </w:rPr>
      </w:pPr>
      <w:r>
        <w:rPr>
          <w:rFonts w:ascii="宋体" w:hAnsi="宋体" w:eastAsia="宋体" w:cs="宋体"/>
          <w:b/>
          <w:color w:val="auto"/>
          <w:spacing w:val="0"/>
          <w:position w:val="0"/>
          <w:sz w:val="36"/>
          <w:shd w:val="clear" w:fill="auto"/>
        </w:rPr>
        <w:t xml:space="preserve"> </w:t>
      </w:r>
    </w:p>
    <w:p w14:paraId="4FCEF33A">
      <w:pPr>
        <w:widowControl w:val="0"/>
        <w:spacing w:before="0" w:after="0" w:line="240" w:lineRule="auto"/>
        <w:ind w:left="0" w:right="0" w:firstLine="0"/>
        <w:jc w:val="left"/>
        <w:rPr>
          <w:rFonts w:ascii="宋体" w:hAnsi="宋体" w:eastAsia="宋体" w:cs="宋体"/>
          <w:b/>
          <w:color w:val="auto"/>
          <w:spacing w:val="0"/>
          <w:position w:val="0"/>
          <w:sz w:val="36"/>
          <w:shd w:val="clear" w:fill="auto"/>
        </w:rPr>
      </w:pPr>
    </w:p>
    <w:p w14:paraId="7BCDF2E4">
      <w:pPr>
        <w:spacing w:before="0" w:after="0" w:line="240" w:lineRule="auto"/>
        <w:ind w:left="0" w:right="0" w:firstLine="0"/>
        <w:jc w:val="center"/>
        <w:rPr>
          <w:rFonts w:ascii="Arial" w:hAnsi="Arial" w:eastAsia="Arial" w:cs="Arial"/>
          <w:b/>
          <w:color w:val="auto"/>
          <w:spacing w:val="0"/>
          <w:position w:val="0"/>
          <w:sz w:val="36"/>
          <w:shd w:val="clear" w:fill="auto"/>
        </w:rPr>
      </w:pPr>
      <w:r>
        <w:rPr>
          <w:rFonts w:ascii="宋体" w:hAnsi="宋体" w:eastAsia="宋体" w:cs="宋体"/>
          <w:b/>
          <w:color w:val="auto"/>
          <w:spacing w:val="0"/>
          <w:position w:val="0"/>
          <w:sz w:val="36"/>
          <w:shd w:val="clear" w:fill="auto"/>
        </w:rPr>
        <w:t>项目支出绩效评价报告</w:t>
      </w:r>
    </w:p>
    <w:p w14:paraId="451BF1BA">
      <w:pPr>
        <w:spacing w:before="0" w:after="0" w:line="240" w:lineRule="auto"/>
        <w:ind w:left="0" w:right="0" w:firstLine="0"/>
        <w:jc w:val="center"/>
        <w:rPr>
          <w:rFonts w:ascii="仿宋_GB2312" w:hAnsi="仿宋_GB2312" w:eastAsia="仿宋_GB2312" w:cs="仿宋_GB2312"/>
          <w:color w:val="auto"/>
          <w:spacing w:val="0"/>
          <w:position w:val="0"/>
          <w:sz w:val="30"/>
          <w:shd w:val="clear" w:fill="auto"/>
        </w:rPr>
      </w:pPr>
      <w:r>
        <w:rPr>
          <w:rFonts w:ascii="宋体" w:hAnsi="宋体" w:eastAsia="宋体" w:cs="宋体"/>
          <w:color w:val="auto"/>
          <w:spacing w:val="0"/>
          <w:position w:val="0"/>
          <w:sz w:val="30"/>
          <w:shd w:val="clear" w:fill="auto"/>
        </w:rPr>
        <w:t>（参考提纲）</w:t>
      </w:r>
    </w:p>
    <w:p w14:paraId="2C860BF3">
      <w:pPr>
        <w:spacing w:before="0" w:after="0" w:line="240" w:lineRule="auto"/>
        <w:ind w:left="0" w:right="0" w:firstLine="0"/>
        <w:jc w:val="center"/>
        <w:rPr>
          <w:rFonts w:ascii="仿宋_GB2312" w:hAnsi="仿宋_GB2312" w:eastAsia="仿宋_GB2312" w:cs="仿宋_GB2312"/>
          <w:color w:val="auto"/>
          <w:spacing w:val="0"/>
          <w:position w:val="0"/>
          <w:sz w:val="30"/>
          <w:shd w:val="clear" w:fill="auto"/>
        </w:rPr>
      </w:pPr>
    </w:p>
    <w:p w14:paraId="0832B7FF">
      <w:pPr>
        <w:keepNext/>
        <w:keepLines/>
        <w:spacing w:before="340" w:after="330" w:line="360" w:lineRule="auto"/>
        <w:ind w:left="0" w:right="0" w:firstLine="0"/>
        <w:jc w:val="both"/>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一、基本情况</w:t>
      </w:r>
    </w:p>
    <w:p w14:paraId="658CCA60">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（一）项目概况。</w:t>
      </w:r>
    </w:p>
    <w:p w14:paraId="341D8169">
      <w:pPr>
        <w:spacing w:before="0" w:after="0" w:line="360" w:lineRule="auto"/>
        <w:ind w:left="0" w:right="0" w:firstLine="600"/>
        <w:jc w:val="both"/>
        <w:rPr>
          <w:rFonts w:ascii="仿宋_GB2312" w:hAnsi="仿宋_GB2312" w:eastAsia="仿宋_GB2312" w:cs="仿宋_GB2312"/>
          <w:color w:val="auto"/>
          <w:spacing w:val="0"/>
          <w:position w:val="0"/>
          <w:sz w:val="30"/>
          <w:shd w:val="clear" w:fill="auto"/>
        </w:rPr>
      </w:pPr>
      <w:r>
        <w:rPr>
          <w:rFonts w:ascii="仿宋_GB2312" w:hAnsi="仿宋_GB2312" w:eastAsia="仿宋_GB2312" w:cs="仿宋_GB2312"/>
          <w:color w:val="auto"/>
          <w:spacing w:val="0"/>
          <w:position w:val="0"/>
          <w:sz w:val="30"/>
          <w:shd w:val="clear" w:fill="auto"/>
        </w:rPr>
        <w:t>2023</w:t>
      </w:r>
      <w:r>
        <w:rPr>
          <w:rFonts w:ascii="宋体" w:hAnsi="宋体" w:eastAsia="宋体" w:cs="宋体"/>
          <w:color w:val="auto"/>
          <w:spacing w:val="0"/>
          <w:position w:val="0"/>
          <w:sz w:val="30"/>
          <w:shd w:val="clear" w:fill="auto"/>
        </w:rPr>
        <w:t>年焉耆县的艾滋病、梅毒、乙肝母婴传播项目工作，为提高人群预防艾滋病、梅毒、乙肝母婴传播的意识</w:t>
      </w:r>
      <w:r>
        <w:rPr>
          <w:rFonts w:ascii="仿宋_GB2312" w:hAnsi="仿宋_GB2312" w:eastAsia="仿宋_GB2312" w:cs="仿宋_GB2312"/>
          <w:color w:val="auto"/>
          <w:spacing w:val="0"/>
          <w:position w:val="0"/>
          <w:sz w:val="30"/>
          <w:shd w:val="clear" w:fill="auto"/>
        </w:rPr>
        <w:t xml:space="preserve"> ,</w:t>
      </w:r>
      <w:r>
        <w:rPr>
          <w:rFonts w:ascii="宋体" w:hAnsi="宋体" w:eastAsia="宋体" w:cs="宋体"/>
          <w:color w:val="auto"/>
          <w:spacing w:val="0"/>
          <w:position w:val="0"/>
          <w:sz w:val="30"/>
          <w:shd w:val="clear" w:fill="auto"/>
        </w:rPr>
        <w:t>最大程度减少艾滋病、梅毒、乙肝对妇女儿童健康的影响</w:t>
      </w:r>
      <w:r>
        <w:rPr>
          <w:rFonts w:ascii="仿宋_GB2312" w:hAnsi="仿宋_GB2312" w:eastAsia="仿宋_GB2312" w:cs="仿宋_GB2312"/>
          <w:color w:val="auto"/>
          <w:spacing w:val="0"/>
          <w:position w:val="0"/>
          <w:sz w:val="30"/>
          <w:shd w:val="clear" w:fill="auto"/>
        </w:rPr>
        <w:t>,</w:t>
      </w:r>
      <w:r>
        <w:rPr>
          <w:rFonts w:ascii="宋体" w:hAnsi="宋体" w:eastAsia="宋体" w:cs="宋体"/>
          <w:color w:val="auto"/>
          <w:spacing w:val="0"/>
          <w:position w:val="0"/>
          <w:sz w:val="30"/>
          <w:shd w:val="clear" w:fill="auto"/>
        </w:rPr>
        <w:t>提高妇女、儿童生活质量及健康水平以宣传教育和干预为重点，全面落实各项综合防治措施。</w:t>
      </w:r>
    </w:p>
    <w:p w14:paraId="79420F6C">
      <w:pPr>
        <w:spacing w:before="0" w:after="0" w:line="360" w:lineRule="auto"/>
        <w:ind w:left="0" w:right="0" w:firstLine="560"/>
        <w:jc w:val="both"/>
        <w:rPr>
          <w:rFonts w:ascii="仿宋_GB2312" w:hAnsi="仿宋_GB2312" w:eastAsia="仿宋_GB2312" w:cs="仿宋_GB2312"/>
          <w:color w:val="auto"/>
          <w:spacing w:val="0"/>
          <w:position w:val="0"/>
          <w:sz w:val="30"/>
          <w:shd w:val="clear" w:fill="auto"/>
        </w:rPr>
      </w:pPr>
      <w:r>
        <w:rPr>
          <w:rFonts w:ascii="宋体" w:hAnsi="宋体" w:eastAsia="宋体" w:cs="宋体"/>
          <w:color w:val="000000"/>
          <w:spacing w:val="0"/>
          <w:position w:val="0"/>
          <w:sz w:val="28"/>
          <w:shd w:val="clear" w:fill="auto"/>
        </w:rPr>
        <w:t>1.</w:t>
      </w:r>
      <w:r>
        <w:rPr>
          <w:rFonts w:ascii="宋体" w:hAnsi="宋体" w:eastAsia="宋体" w:cs="宋体"/>
          <w:color w:val="auto"/>
          <w:spacing w:val="0"/>
          <w:position w:val="0"/>
          <w:sz w:val="30"/>
          <w:shd w:val="clear" w:fill="auto"/>
        </w:rPr>
        <w:t>项目背景</w:t>
      </w:r>
      <w:r>
        <w:rPr>
          <w:rFonts w:ascii="仿宋_GB2312" w:hAnsi="仿宋_GB2312" w:eastAsia="仿宋_GB2312" w:cs="仿宋_GB2312"/>
          <w:color w:val="auto"/>
          <w:spacing w:val="0"/>
          <w:position w:val="0"/>
          <w:sz w:val="30"/>
          <w:shd w:val="clear" w:fill="auto"/>
        </w:rPr>
        <w:t>;2023</w:t>
      </w:r>
      <w:r>
        <w:rPr>
          <w:rFonts w:ascii="宋体" w:hAnsi="宋体" w:eastAsia="宋体" w:cs="宋体"/>
          <w:color w:val="auto"/>
          <w:spacing w:val="0"/>
          <w:position w:val="0"/>
          <w:sz w:val="30"/>
          <w:shd w:val="clear" w:fill="auto"/>
        </w:rPr>
        <w:t>年焉耆县中央重大传染病补助资金分配表（巴财社</w:t>
      </w:r>
      <w:r>
        <w:rPr>
          <w:rFonts w:ascii="仿宋_GB2312" w:hAnsi="仿宋_GB2312" w:eastAsia="仿宋_GB2312" w:cs="仿宋_GB2312"/>
          <w:color w:val="auto"/>
          <w:spacing w:val="0"/>
          <w:position w:val="0"/>
          <w:sz w:val="30"/>
          <w:shd w:val="clear" w:fill="auto"/>
        </w:rPr>
        <w:t>{2022}99</w:t>
      </w:r>
      <w:r>
        <w:rPr>
          <w:rFonts w:ascii="宋体" w:hAnsi="宋体" w:eastAsia="宋体" w:cs="宋体"/>
          <w:color w:val="auto"/>
          <w:spacing w:val="0"/>
          <w:position w:val="0"/>
          <w:sz w:val="30"/>
          <w:shd w:val="clear" w:fill="auto"/>
        </w:rPr>
        <w:t>号</w:t>
      </w:r>
    </w:p>
    <w:p w14:paraId="173B5B70">
      <w:pPr>
        <w:spacing w:before="0" w:after="0" w:line="360" w:lineRule="auto"/>
        <w:ind w:left="0" w:right="0" w:firstLine="600"/>
        <w:jc w:val="both"/>
        <w:rPr>
          <w:rFonts w:ascii="仿宋_GB2312" w:hAnsi="仿宋_GB2312" w:eastAsia="仿宋_GB2312" w:cs="仿宋_GB2312"/>
          <w:color w:val="auto"/>
          <w:spacing w:val="0"/>
          <w:position w:val="0"/>
          <w:sz w:val="30"/>
          <w:shd w:val="clear" w:fill="auto"/>
        </w:rPr>
      </w:pPr>
      <w:r>
        <w:rPr>
          <w:rFonts w:ascii="仿宋_GB2312" w:hAnsi="仿宋_GB2312" w:eastAsia="仿宋_GB2312" w:cs="仿宋_GB2312"/>
          <w:color w:val="auto"/>
          <w:spacing w:val="0"/>
          <w:position w:val="0"/>
          <w:sz w:val="30"/>
          <w:shd w:val="clear" w:fill="auto"/>
        </w:rPr>
        <w:t>2</w:t>
      </w:r>
      <w:r>
        <w:rPr>
          <w:rFonts w:ascii="宋体" w:hAnsi="宋体" w:eastAsia="宋体" w:cs="宋体"/>
          <w:color w:val="auto"/>
          <w:spacing w:val="0"/>
          <w:position w:val="0"/>
          <w:sz w:val="30"/>
          <w:shd w:val="clear" w:fill="auto"/>
        </w:rPr>
        <w:t>、主要内容及实施情况</w:t>
      </w:r>
    </w:p>
    <w:p w14:paraId="153C62BD">
      <w:pPr>
        <w:spacing w:before="0" w:after="0" w:line="360" w:lineRule="auto"/>
        <w:ind w:left="0" w:right="0" w:firstLine="600"/>
        <w:jc w:val="both"/>
        <w:rPr>
          <w:rFonts w:ascii="仿宋_GB2312" w:hAnsi="仿宋_GB2312" w:eastAsia="仿宋_GB2312" w:cs="仿宋_GB2312"/>
          <w:color w:val="auto"/>
          <w:spacing w:val="0"/>
          <w:position w:val="0"/>
          <w:sz w:val="30"/>
          <w:shd w:val="clear" w:fill="auto"/>
        </w:rPr>
      </w:pPr>
      <w:r>
        <w:rPr>
          <w:rFonts w:ascii="宋体" w:hAnsi="宋体" w:eastAsia="宋体" w:cs="宋体"/>
          <w:color w:val="auto"/>
          <w:spacing w:val="0"/>
          <w:position w:val="0"/>
          <w:sz w:val="30"/>
          <w:shd w:val="clear" w:fill="auto"/>
        </w:rPr>
        <w:t>主要内容：食品安全保障项目、口腔卫生、</w:t>
      </w:r>
      <w:r>
        <w:rPr>
          <w:rFonts w:ascii="仿宋_GB2312" w:hAnsi="仿宋_GB2312" w:eastAsia="仿宋_GB2312" w:cs="仿宋_GB2312"/>
          <w:color w:val="auto"/>
          <w:spacing w:val="0"/>
          <w:position w:val="0"/>
          <w:sz w:val="30"/>
          <w:shd w:val="clear" w:fill="auto"/>
        </w:rPr>
        <w:t>HIV</w:t>
      </w:r>
      <w:r>
        <w:rPr>
          <w:rFonts w:ascii="宋体" w:hAnsi="宋体" w:eastAsia="宋体" w:cs="宋体"/>
          <w:color w:val="auto"/>
          <w:spacing w:val="0"/>
          <w:position w:val="0"/>
          <w:sz w:val="30"/>
          <w:shd w:val="clear" w:fill="auto"/>
        </w:rPr>
        <w:t>感染孕产妇及所生婴儿相关检测、住院分娩和随访保健补助、感染孕产妇终止妊娠补助；梅毒感染孕产妇及所生婴儿住院分娩、治疗及随访保健补助；乙肝感染产妇所生婴儿随访检测补助；贫困感染孕产妇救助等。</w:t>
      </w:r>
    </w:p>
    <w:p w14:paraId="38394132">
      <w:pPr>
        <w:spacing w:before="0" w:after="0" w:line="560" w:lineRule="auto"/>
        <w:ind w:left="0" w:right="0" w:firstLine="560"/>
        <w:jc w:val="both"/>
        <w:rPr>
          <w:rFonts w:ascii="Calibri" w:hAnsi="Calibri" w:eastAsia="Calibri" w:cs="Calibri"/>
          <w:color w:val="auto"/>
          <w:spacing w:val="0"/>
          <w:position w:val="0"/>
          <w:sz w:val="28"/>
          <w:shd w:val="clear" w:fill="auto"/>
        </w:rPr>
      </w:pPr>
      <w:r>
        <w:rPr>
          <w:rFonts w:ascii="宋体" w:hAnsi="宋体" w:eastAsia="宋体" w:cs="宋体"/>
          <w:color w:val="auto"/>
          <w:spacing w:val="0"/>
          <w:position w:val="0"/>
          <w:sz w:val="30"/>
          <w:shd w:val="clear" w:fill="auto"/>
        </w:rPr>
        <w:t>实施情况：</w:t>
      </w:r>
      <w:r>
        <w:rPr>
          <w:rFonts w:ascii="宋体" w:hAnsi="宋体" w:eastAsia="宋体" w:cs="宋体"/>
          <w:color w:val="auto"/>
          <w:spacing w:val="0"/>
          <w:position w:val="0"/>
          <w:sz w:val="28"/>
          <w:shd w:val="clear" w:fill="auto"/>
        </w:rPr>
        <w:t>对</w:t>
      </w:r>
      <w:r>
        <w:rPr>
          <w:rFonts w:ascii="Calibri" w:hAnsi="Calibri" w:eastAsia="Calibri" w:cs="Calibri"/>
          <w:color w:val="auto"/>
          <w:spacing w:val="0"/>
          <w:position w:val="0"/>
          <w:sz w:val="28"/>
          <w:shd w:val="clear" w:fill="auto"/>
        </w:rPr>
        <w:t>1</w:t>
      </w:r>
      <w:r>
        <w:rPr>
          <w:rFonts w:ascii="宋体" w:hAnsi="宋体" w:eastAsia="宋体" w:cs="宋体"/>
          <w:color w:val="auto"/>
          <w:spacing w:val="0"/>
          <w:position w:val="0"/>
          <w:sz w:val="28"/>
          <w:shd w:val="clear" w:fill="auto"/>
        </w:rPr>
        <w:t>例艾滋病阳性孕产妇所生儿童定期进行了随访；</w:t>
      </w:r>
      <w:r>
        <w:rPr>
          <w:rFonts w:ascii="Calibri" w:hAnsi="Calibri" w:eastAsia="Calibri" w:cs="Calibri"/>
          <w:color w:val="auto"/>
          <w:spacing w:val="0"/>
          <w:position w:val="0"/>
          <w:sz w:val="28"/>
          <w:shd w:val="clear" w:fill="auto"/>
        </w:rPr>
        <w:t>2</w:t>
      </w:r>
      <w:r>
        <w:rPr>
          <w:rFonts w:ascii="宋体" w:hAnsi="宋体" w:eastAsia="宋体" w:cs="宋体"/>
          <w:color w:val="auto"/>
          <w:spacing w:val="0"/>
          <w:position w:val="0"/>
          <w:sz w:val="28"/>
          <w:shd w:val="clear" w:fill="auto"/>
        </w:rPr>
        <w:t>例艾滋病阳性孕妇进行人工流产均进行专人、专案管理。</w:t>
      </w:r>
      <w:r>
        <w:rPr>
          <w:rFonts w:ascii="Calibri" w:hAnsi="Calibri" w:eastAsia="Calibri" w:cs="Calibri"/>
          <w:color w:val="auto"/>
          <w:spacing w:val="0"/>
          <w:position w:val="0"/>
          <w:sz w:val="28"/>
          <w:shd w:val="clear" w:fill="auto"/>
        </w:rPr>
        <w:t xml:space="preserve"> </w:t>
      </w:r>
      <w:r>
        <w:rPr>
          <w:rFonts w:ascii="宋体" w:hAnsi="宋体" w:eastAsia="宋体" w:cs="宋体"/>
          <w:color w:val="auto"/>
          <w:spacing w:val="0"/>
          <w:position w:val="0"/>
          <w:sz w:val="28"/>
          <w:shd w:val="clear" w:fill="auto"/>
        </w:rPr>
        <w:t>根据上级要求，对感染孕产妇所生婴儿随访至</w:t>
      </w:r>
      <w:r>
        <w:rPr>
          <w:rFonts w:ascii="Calibri" w:hAnsi="Calibri" w:eastAsia="Calibri" w:cs="Calibri"/>
          <w:color w:val="auto"/>
          <w:spacing w:val="0"/>
          <w:position w:val="0"/>
          <w:sz w:val="28"/>
          <w:shd w:val="clear" w:fill="auto"/>
        </w:rPr>
        <w:t>18</w:t>
      </w:r>
      <w:r>
        <w:rPr>
          <w:rFonts w:ascii="宋体" w:hAnsi="宋体" w:eastAsia="宋体" w:cs="宋体"/>
          <w:color w:val="auto"/>
          <w:spacing w:val="0"/>
          <w:position w:val="0"/>
          <w:sz w:val="28"/>
          <w:shd w:val="clear" w:fill="auto"/>
        </w:rPr>
        <w:t>个月，使其在</w:t>
      </w:r>
      <w:r>
        <w:rPr>
          <w:rFonts w:ascii="Calibri" w:hAnsi="Calibri" w:eastAsia="Calibri" w:cs="Calibri"/>
          <w:color w:val="auto"/>
          <w:spacing w:val="0"/>
          <w:position w:val="0"/>
          <w:sz w:val="28"/>
          <w:shd w:val="clear" w:fill="auto"/>
        </w:rPr>
        <w:t>12</w:t>
      </w:r>
      <w:r>
        <w:rPr>
          <w:rFonts w:ascii="宋体" w:hAnsi="宋体" w:eastAsia="宋体" w:cs="宋体"/>
          <w:color w:val="auto"/>
          <w:spacing w:val="0"/>
          <w:position w:val="0"/>
          <w:sz w:val="28"/>
          <w:shd w:val="clear" w:fill="auto"/>
        </w:rPr>
        <w:t>月龄和</w:t>
      </w:r>
      <w:r>
        <w:rPr>
          <w:rFonts w:ascii="Calibri" w:hAnsi="Calibri" w:eastAsia="Calibri" w:cs="Calibri"/>
          <w:color w:val="auto"/>
          <w:spacing w:val="0"/>
          <w:position w:val="0"/>
          <w:sz w:val="28"/>
          <w:shd w:val="clear" w:fill="auto"/>
        </w:rPr>
        <w:t>18</w:t>
      </w:r>
      <w:r>
        <w:rPr>
          <w:rFonts w:ascii="宋体" w:hAnsi="宋体" w:eastAsia="宋体" w:cs="宋体"/>
          <w:color w:val="auto"/>
          <w:spacing w:val="0"/>
          <w:position w:val="0"/>
          <w:sz w:val="28"/>
          <w:shd w:val="clear" w:fill="auto"/>
        </w:rPr>
        <w:t>月龄接受相关抗体检测，开展婴儿早期诊断检测，以明确感染状态；按时跟踪随访阳性孕产妇及所生婴儿，动员来所调查随访，随时掌握阳性孕产妇及所生婴儿身体状况，用药和实验室检测情况，工作人员要指导用药，婴儿喂养，针对状况进行指导，尽可能做到不失访，规范用药，按时检测、保证工作的顺利开展。</w:t>
      </w:r>
    </w:p>
    <w:p w14:paraId="6982DCA7">
      <w:pPr>
        <w:spacing w:before="0" w:after="0" w:line="360" w:lineRule="auto"/>
        <w:ind w:left="0" w:right="0" w:firstLine="600"/>
        <w:jc w:val="both"/>
        <w:rPr>
          <w:rFonts w:ascii="仿宋_GB2312" w:hAnsi="仿宋_GB2312" w:eastAsia="仿宋_GB2312" w:cs="仿宋_GB2312"/>
          <w:color w:val="auto"/>
          <w:spacing w:val="0"/>
          <w:position w:val="0"/>
          <w:sz w:val="30"/>
          <w:shd w:val="clear" w:fill="auto"/>
        </w:rPr>
      </w:pPr>
    </w:p>
    <w:p w14:paraId="6C19B920">
      <w:pPr>
        <w:spacing w:before="0" w:after="0" w:line="360" w:lineRule="auto"/>
        <w:ind w:left="0" w:right="0" w:firstLine="600"/>
        <w:jc w:val="both"/>
        <w:rPr>
          <w:rFonts w:ascii="仿宋_GB2312" w:hAnsi="仿宋_GB2312" w:eastAsia="仿宋_GB2312" w:cs="仿宋_GB2312"/>
          <w:color w:val="auto"/>
          <w:spacing w:val="0"/>
          <w:position w:val="0"/>
          <w:sz w:val="30"/>
          <w:shd w:val="clear" w:fill="auto"/>
        </w:rPr>
      </w:pPr>
      <w:r>
        <w:rPr>
          <w:rFonts w:ascii="仿宋_GB2312" w:hAnsi="仿宋_GB2312" w:eastAsia="仿宋_GB2312" w:cs="仿宋_GB2312"/>
          <w:color w:val="auto"/>
          <w:spacing w:val="0"/>
          <w:position w:val="0"/>
          <w:sz w:val="30"/>
          <w:shd w:val="clear" w:fill="auto"/>
        </w:rPr>
        <w:t>4</w:t>
      </w:r>
      <w:r>
        <w:rPr>
          <w:rFonts w:ascii="宋体" w:hAnsi="宋体" w:eastAsia="宋体" w:cs="宋体"/>
          <w:color w:val="auto"/>
          <w:spacing w:val="0"/>
          <w:position w:val="0"/>
          <w:sz w:val="30"/>
          <w:shd w:val="clear" w:fill="auto"/>
        </w:rPr>
        <w:t>、资金投入和使用情况</w:t>
      </w:r>
    </w:p>
    <w:p w14:paraId="129AC25B">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资金投入情况：该项目年初预算数</w:t>
      </w:r>
      <w:r>
        <w:rPr>
          <w:rFonts w:ascii="Times New Roman" w:hAnsi="Times New Roman" w:eastAsia="Times New Roman" w:cs="Times New Roman"/>
          <w:color w:val="auto"/>
          <w:spacing w:val="0"/>
          <w:position w:val="0"/>
          <w:sz w:val="30"/>
          <w:shd w:val="clear" w:fill="auto"/>
        </w:rPr>
        <w:t xml:space="preserve"> 0</w:t>
      </w:r>
      <w:r>
        <w:rPr>
          <w:rFonts w:ascii="宋体" w:hAnsi="宋体" w:eastAsia="宋体" w:cs="宋体"/>
          <w:color w:val="auto"/>
          <w:spacing w:val="0"/>
          <w:position w:val="0"/>
          <w:sz w:val="30"/>
          <w:shd w:val="clear" w:fill="auto"/>
        </w:rPr>
        <w:t>万元，全年预算数</w:t>
      </w:r>
      <w:r>
        <w:rPr>
          <w:rFonts w:ascii="Times New Roman" w:hAnsi="Times New Roman" w:eastAsia="Times New Roman" w:cs="Times New Roman"/>
          <w:color w:val="auto"/>
          <w:spacing w:val="0"/>
          <w:position w:val="0"/>
          <w:sz w:val="30"/>
          <w:shd w:val="clear" w:fill="auto"/>
        </w:rPr>
        <w:t>11.94</w:t>
      </w:r>
      <w:r>
        <w:rPr>
          <w:rFonts w:ascii="宋体" w:hAnsi="宋体" w:eastAsia="宋体" w:cs="宋体"/>
          <w:color w:val="auto"/>
          <w:spacing w:val="0"/>
          <w:position w:val="0"/>
          <w:sz w:val="30"/>
          <w:shd w:val="clear" w:fill="auto"/>
        </w:rPr>
        <w:t>万元，实际总投入</w:t>
      </w:r>
      <w:r>
        <w:rPr>
          <w:rFonts w:ascii="Times New Roman" w:hAnsi="Times New Roman" w:eastAsia="Times New Roman" w:cs="Times New Roman"/>
          <w:color w:val="auto"/>
          <w:spacing w:val="0"/>
          <w:position w:val="0"/>
          <w:sz w:val="30"/>
          <w:shd w:val="clear" w:fill="auto"/>
        </w:rPr>
        <w:t>11.94</w:t>
      </w:r>
      <w:r>
        <w:rPr>
          <w:rFonts w:ascii="宋体" w:hAnsi="宋体" w:eastAsia="宋体" w:cs="宋体"/>
          <w:color w:val="auto"/>
          <w:spacing w:val="0"/>
          <w:position w:val="0"/>
          <w:sz w:val="30"/>
          <w:shd w:val="clear" w:fill="auto"/>
        </w:rPr>
        <w:t>万元，该项目资金已全部落实到位，资金来源为</w:t>
      </w: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年焉耆县中央重大传染病补助资金分配表（巴财社</w:t>
      </w:r>
      <w:r>
        <w:rPr>
          <w:rFonts w:ascii="Times New Roman" w:hAnsi="Times New Roman" w:eastAsia="Times New Roman" w:cs="Times New Roman"/>
          <w:color w:val="auto"/>
          <w:spacing w:val="0"/>
          <w:position w:val="0"/>
          <w:sz w:val="30"/>
          <w:shd w:val="clear" w:fill="auto"/>
        </w:rPr>
        <w:t>{2022}99</w:t>
      </w:r>
      <w:r>
        <w:rPr>
          <w:rFonts w:ascii="宋体" w:hAnsi="宋体" w:eastAsia="宋体" w:cs="宋体"/>
          <w:color w:val="auto"/>
          <w:spacing w:val="0"/>
          <w:position w:val="0"/>
          <w:sz w:val="30"/>
          <w:shd w:val="clear" w:fill="auto"/>
        </w:rPr>
        <w:t>号。</w:t>
      </w:r>
    </w:p>
    <w:p w14:paraId="1A7C4A8C">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资金使用情况：该项目年初预算数</w:t>
      </w:r>
      <w:r>
        <w:rPr>
          <w:rFonts w:ascii="Times New Roman" w:hAnsi="Times New Roman" w:eastAsia="Times New Roman" w:cs="Times New Roman"/>
          <w:color w:val="auto"/>
          <w:spacing w:val="0"/>
          <w:position w:val="0"/>
          <w:sz w:val="30"/>
          <w:shd w:val="clear" w:fill="auto"/>
        </w:rPr>
        <w:t>0</w:t>
      </w:r>
      <w:r>
        <w:rPr>
          <w:rFonts w:ascii="宋体" w:hAnsi="宋体" w:eastAsia="宋体" w:cs="宋体"/>
          <w:color w:val="auto"/>
          <w:spacing w:val="0"/>
          <w:position w:val="0"/>
          <w:sz w:val="30"/>
          <w:shd w:val="clear" w:fill="auto"/>
        </w:rPr>
        <w:t>万元，全年预算数</w:t>
      </w:r>
      <w:r>
        <w:rPr>
          <w:rFonts w:ascii="Times New Roman" w:hAnsi="Times New Roman" w:eastAsia="Times New Roman" w:cs="Times New Roman"/>
          <w:color w:val="auto"/>
          <w:spacing w:val="0"/>
          <w:position w:val="0"/>
          <w:sz w:val="30"/>
          <w:shd w:val="clear" w:fill="auto"/>
        </w:rPr>
        <w:t>11.94</w:t>
      </w:r>
      <w:r>
        <w:rPr>
          <w:rFonts w:ascii="宋体" w:hAnsi="宋体" w:eastAsia="宋体" w:cs="宋体"/>
          <w:color w:val="auto"/>
          <w:spacing w:val="0"/>
          <w:position w:val="0"/>
          <w:sz w:val="30"/>
          <w:shd w:val="clear" w:fill="auto"/>
        </w:rPr>
        <w:t>万元，全年执行数</w:t>
      </w:r>
      <w:r>
        <w:rPr>
          <w:rFonts w:ascii="Times New Roman" w:hAnsi="Times New Roman" w:eastAsia="Times New Roman" w:cs="Times New Roman"/>
          <w:color w:val="auto"/>
          <w:spacing w:val="0"/>
          <w:position w:val="0"/>
          <w:sz w:val="30"/>
          <w:shd w:val="clear" w:fill="auto"/>
        </w:rPr>
        <w:t>11.94</w:t>
      </w:r>
      <w:r>
        <w:rPr>
          <w:rFonts w:ascii="宋体" w:hAnsi="宋体" w:eastAsia="宋体" w:cs="宋体"/>
          <w:color w:val="auto"/>
          <w:spacing w:val="0"/>
          <w:position w:val="0"/>
          <w:sz w:val="30"/>
          <w:shd w:val="clear" w:fill="auto"/>
        </w:rPr>
        <w:t>万元，预算执行率为</w:t>
      </w:r>
      <w:r>
        <w:rPr>
          <w:rFonts w:ascii="Times New Roman" w:hAnsi="Times New Roman" w:eastAsia="Times New Roman" w:cs="Times New Roman"/>
          <w:color w:val="auto"/>
          <w:spacing w:val="0"/>
          <w:position w:val="0"/>
          <w:sz w:val="30"/>
          <w:shd w:val="clear" w:fill="auto"/>
        </w:rPr>
        <w:t>100%</w:t>
      </w:r>
      <w:r>
        <w:rPr>
          <w:rFonts w:ascii="宋体" w:hAnsi="宋体" w:eastAsia="宋体" w:cs="宋体"/>
          <w:color w:val="auto"/>
          <w:spacing w:val="0"/>
          <w:position w:val="0"/>
          <w:sz w:val="30"/>
          <w:shd w:val="clear" w:fill="auto"/>
        </w:rPr>
        <w:t>，用于：重大传染病补助资金。</w:t>
      </w:r>
    </w:p>
    <w:p w14:paraId="4CC422E3">
      <w:pPr>
        <w:keepNext/>
        <w:keepLines/>
        <w:spacing w:before="260" w:after="260" w:line="360" w:lineRule="auto"/>
        <w:ind w:left="0" w:right="0" w:firstLine="64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（二）项目绩效目标。</w:t>
      </w:r>
    </w:p>
    <w:p w14:paraId="147ED6A3">
      <w:pPr>
        <w:numPr>
          <w:ilvl w:val="0"/>
          <w:numId w:val="1"/>
        </w:num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总体目标：提高疾病预防控制能力，使传染病预防机构与经济发展和群众健康需求协调统一，更好</w:t>
      </w:r>
      <w:bookmarkStart w:id="0" w:name="_GoBack"/>
      <w:bookmarkEnd w:id="0"/>
      <w:r>
        <w:rPr>
          <w:rFonts w:hint="eastAsia" w:ascii="宋体" w:hAnsi="宋体" w:eastAsia="宋体" w:cs="宋体"/>
          <w:color w:val="auto"/>
          <w:spacing w:val="0"/>
          <w:position w:val="0"/>
          <w:sz w:val="30"/>
          <w:shd w:val="clear" w:fill="auto"/>
          <w:lang w:eastAsia="zh-CN"/>
        </w:rPr>
        <w:t>为人民服务</w:t>
      </w:r>
      <w:r>
        <w:rPr>
          <w:rFonts w:ascii="宋体" w:hAnsi="宋体" w:eastAsia="宋体" w:cs="宋体"/>
          <w:color w:val="auto"/>
          <w:spacing w:val="0"/>
          <w:position w:val="0"/>
          <w:sz w:val="30"/>
          <w:shd w:val="clear" w:fill="auto"/>
        </w:rPr>
        <w:t>，保障人们身体健康，具有良好的社会效益。购买医疗试剂</w:t>
      </w: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批次。</w:t>
      </w:r>
    </w:p>
    <w:p w14:paraId="5415B38B">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w:t>
      </w:r>
      <w:r>
        <w:rPr>
          <w:rFonts w:ascii="宋体" w:hAnsi="宋体" w:eastAsia="宋体" w:cs="宋体"/>
          <w:color w:val="auto"/>
          <w:spacing w:val="0"/>
          <w:position w:val="0"/>
          <w:sz w:val="30"/>
          <w:shd w:val="clear" w:fill="auto"/>
        </w:rPr>
        <w:t>、阶段性目标：第一阶段进行采购、第二阶段完成了购买</w:t>
      </w: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批次医疗试剂。</w:t>
      </w:r>
    </w:p>
    <w:p w14:paraId="32009B13">
      <w:pPr>
        <w:keepNext/>
        <w:keepLines/>
        <w:spacing w:before="340" w:after="330" w:line="360" w:lineRule="auto"/>
        <w:ind w:left="0" w:right="0" w:firstLine="0"/>
        <w:jc w:val="both"/>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二、绩效评价工作开展情况</w:t>
      </w:r>
    </w:p>
    <w:p w14:paraId="4677EA52">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（一）绩效评价目的、对象和范围。</w:t>
      </w:r>
    </w:p>
    <w:p w14:paraId="30797993">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、绩效评价目的：</w:t>
      </w:r>
    </w:p>
    <w:p w14:paraId="361E713E">
      <w:pPr>
        <w:spacing w:before="0" w:after="0" w:line="560" w:lineRule="auto"/>
        <w:ind w:left="0" w:right="0" w:firstLine="64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通过绩效评价，客观地评判项目的管理绩效，了解和掌握</w:t>
      </w:r>
      <w:r>
        <w:rPr>
          <w:rFonts w:ascii="仿宋_GB2312" w:hAnsi="仿宋_GB2312" w:eastAsia="仿宋_GB2312" w:cs="仿宋_GB2312"/>
          <w:color w:val="auto"/>
          <w:spacing w:val="0"/>
          <w:position w:val="0"/>
          <w:sz w:val="32"/>
          <w:shd w:val="clear" w:fill="auto"/>
        </w:rPr>
        <w:t>2023</w:t>
      </w:r>
      <w:r>
        <w:rPr>
          <w:rFonts w:ascii="宋体" w:hAnsi="宋体" w:eastAsia="宋体" w:cs="宋体"/>
          <w:color w:val="auto"/>
          <w:spacing w:val="0"/>
          <w:position w:val="0"/>
          <w:sz w:val="32"/>
          <w:shd w:val="clear" w:fill="auto"/>
        </w:rPr>
        <w:t>年焉耆县中央重大传染病补助资金分配表（巴财社</w:t>
      </w:r>
      <w:r>
        <w:rPr>
          <w:rFonts w:ascii="仿宋_GB2312" w:hAnsi="仿宋_GB2312" w:eastAsia="仿宋_GB2312" w:cs="仿宋_GB2312"/>
          <w:color w:val="auto"/>
          <w:spacing w:val="0"/>
          <w:position w:val="0"/>
          <w:sz w:val="32"/>
          <w:shd w:val="clear" w:fill="auto"/>
        </w:rPr>
        <w:t>{2022}99</w:t>
      </w:r>
      <w:r>
        <w:rPr>
          <w:rFonts w:ascii="宋体" w:hAnsi="宋体" w:eastAsia="宋体" w:cs="宋体"/>
          <w:color w:val="auto"/>
          <w:spacing w:val="0"/>
          <w:position w:val="0"/>
          <w:sz w:val="32"/>
          <w:shd w:val="clear" w:fill="auto"/>
        </w:rPr>
        <w:t>号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14:paraId="03B7841E">
      <w:pPr>
        <w:spacing w:before="0" w:after="0" w:line="360" w:lineRule="auto"/>
        <w:ind w:left="0" w:right="0" w:firstLine="600"/>
        <w:jc w:val="left"/>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w:t>
      </w:r>
      <w:r>
        <w:rPr>
          <w:rFonts w:ascii="宋体" w:hAnsi="宋体" w:eastAsia="宋体" w:cs="宋体"/>
          <w:color w:val="auto"/>
          <w:spacing w:val="0"/>
          <w:position w:val="0"/>
          <w:sz w:val="30"/>
          <w:shd w:val="clear" w:fill="auto"/>
        </w:rPr>
        <w:t>、绩效评价对象：</w:t>
      </w: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年焉耆县中央重大传染病补助资金分配表（巴财社</w:t>
      </w:r>
      <w:r>
        <w:rPr>
          <w:rFonts w:ascii="Times New Roman" w:hAnsi="Times New Roman" w:eastAsia="Times New Roman" w:cs="Times New Roman"/>
          <w:color w:val="auto"/>
          <w:spacing w:val="0"/>
          <w:position w:val="0"/>
          <w:sz w:val="30"/>
          <w:shd w:val="clear" w:fill="auto"/>
        </w:rPr>
        <w:t>{2022}99</w:t>
      </w:r>
      <w:r>
        <w:rPr>
          <w:rFonts w:ascii="宋体" w:hAnsi="宋体" w:eastAsia="宋体" w:cs="宋体"/>
          <w:color w:val="auto"/>
          <w:spacing w:val="0"/>
          <w:position w:val="0"/>
          <w:sz w:val="30"/>
          <w:shd w:val="clear" w:fill="auto"/>
        </w:rPr>
        <w:t>号</w:t>
      </w:r>
    </w:p>
    <w:p w14:paraId="2A8C6DAF">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3</w:t>
      </w:r>
      <w:r>
        <w:rPr>
          <w:rFonts w:ascii="宋体" w:hAnsi="宋体" w:eastAsia="宋体" w:cs="宋体"/>
          <w:color w:val="auto"/>
          <w:spacing w:val="0"/>
          <w:position w:val="0"/>
          <w:sz w:val="30"/>
          <w:shd w:val="clear" w:fill="auto"/>
        </w:rPr>
        <w:t>、绩效评价范围：</w:t>
      </w:r>
    </w:p>
    <w:p w14:paraId="7F6288A2">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本次评价从项目决策（包括绩效目标、决策过程）、项目管理（包括项目资金、项目实施）、项目产出（包括项目产出数量、产出质量、产出时效和产出成本）项目效益四个维度进行</w:t>
      </w: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年焉耆县中央重大传染病补助资金分配表（巴财社</w:t>
      </w:r>
      <w:r>
        <w:rPr>
          <w:rFonts w:ascii="Times New Roman" w:hAnsi="Times New Roman" w:eastAsia="Times New Roman" w:cs="Times New Roman"/>
          <w:color w:val="auto"/>
          <w:spacing w:val="0"/>
          <w:position w:val="0"/>
          <w:sz w:val="30"/>
          <w:shd w:val="clear" w:fill="auto"/>
        </w:rPr>
        <w:t>{2022}99</w:t>
      </w:r>
      <w:r>
        <w:rPr>
          <w:rFonts w:ascii="宋体" w:hAnsi="宋体" w:eastAsia="宋体" w:cs="宋体"/>
          <w:color w:val="auto"/>
          <w:spacing w:val="0"/>
          <w:position w:val="0"/>
          <w:sz w:val="30"/>
          <w:shd w:val="clear" w:fill="auto"/>
        </w:rPr>
        <w:t>号评价，评价核心为专项资金的支出完成情况和效果。</w:t>
      </w:r>
    </w:p>
    <w:p w14:paraId="5423BBE3">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（二）绩效评价原则、评价指标体系、评价方法、评价标准等。</w:t>
      </w:r>
    </w:p>
    <w:p w14:paraId="4C56380F">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、绩效评价原则</w:t>
      </w:r>
    </w:p>
    <w:p w14:paraId="668D0E01">
      <w:pPr>
        <w:spacing w:before="0" w:after="0" w:line="600" w:lineRule="auto"/>
        <w:ind w:left="0" w:right="0" w:firstLine="64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（一）科学公正。绩效评价应当运用科学合理的方法，按照规范的程序，对项目绩效进行客观、公正的反映。</w:t>
      </w:r>
    </w:p>
    <w:p w14:paraId="0EA7C117">
      <w:pPr>
        <w:spacing w:before="0" w:after="0" w:line="600" w:lineRule="auto"/>
        <w:ind w:left="0" w:right="0" w:firstLine="64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27D3EBCB">
      <w:pPr>
        <w:spacing w:before="0" w:after="0" w:line="600" w:lineRule="auto"/>
        <w:ind w:left="0" w:right="0" w:firstLine="64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（三）激励约束。绩效评价结果应与预算安排、政策调整、改进管理实质性挂钩，体现奖优罚劣和激励相容导向，有效要安排、低效要压减、无效要问责。</w:t>
      </w:r>
    </w:p>
    <w:p w14:paraId="02BE6920">
      <w:pPr>
        <w:spacing w:before="0" w:after="0" w:line="600" w:lineRule="auto"/>
        <w:ind w:left="0" w:right="0" w:firstLine="64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（四）公开透明。绩效评价结果应依法依规公开，并自觉接受社会监督。</w:t>
      </w:r>
    </w:p>
    <w:p w14:paraId="6EF81CDA">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w:t>
      </w:r>
      <w:r>
        <w:rPr>
          <w:rFonts w:ascii="宋体" w:hAnsi="宋体" w:eastAsia="宋体" w:cs="宋体"/>
          <w:color w:val="auto"/>
          <w:spacing w:val="0"/>
          <w:position w:val="0"/>
          <w:sz w:val="30"/>
          <w:shd w:val="clear" w:fill="auto"/>
        </w:rPr>
        <w:t>、评价指标体系（附表说明）</w:t>
      </w:r>
    </w:p>
    <w:p w14:paraId="4B673D7E">
      <w:pPr>
        <w:spacing w:before="0" w:after="0" w:line="600" w:lineRule="auto"/>
        <w:ind w:left="0" w:right="0" w:firstLine="640"/>
        <w:jc w:val="center"/>
        <w:rPr>
          <w:rFonts w:ascii="Times New Roman" w:hAnsi="Times New Roman" w:eastAsia="Times New Roman" w:cs="Times New Roman"/>
          <w:color w:val="auto"/>
          <w:spacing w:val="0"/>
          <w:position w:val="0"/>
          <w:sz w:val="30"/>
          <w:shd w:val="clear" w:fill="auto"/>
        </w:rPr>
      </w:pPr>
      <w:r>
        <w:rPr>
          <w:rFonts w:ascii="仿宋_GB2312" w:hAnsi="仿宋_GB2312" w:eastAsia="仿宋_GB2312" w:cs="仿宋_GB2312"/>
          <w:color w:val="auto"/>
          <w:spacing w:val="0"/>
          <w:position w:val="0"/>
          <w:sz w:val="32"/>
          <w:shd w:val="clear" w:fill="auto"/>
        </w:rPr>
        <w:t>2023</w:t>
      </w:r>
      <w:r>
        <w:rPr>
          <w:rFonts w:ascii="宋体" w:hAnsi="宋体" w:eastAsia="宋体" w:cs="宋体"/>
          <w:color w:val="auto"/>
          <w:spacing w:val="0"/>
          <w:position w:val="0"/>
          <w:sz w:val="32"/>
          <w:shd w:val="clear" w:fill="auto"/>
        </w:rPr>
        <w:t>年焉耆县中央重大传染病补助资金分配表（巴财社</w:t>
      </w:r>
      <w:r>
        <w:rPr>
          <w:rFonts w:ascii="仿宋_GB2312" w:hAnsi="仿宋_GB2312" w:eastAsia="仿宋_GB2312" w:cs="仿宋_GB2312"/>
          <w:color w:val="auto"/>
          <w:spacing w:val="0"/>
          <w:position w:val="0"/>
          <w:sz w:val="32"/>
          <w:shd w:val="clear" w:fill="auto"/>
        </w:rPr>
        <w:t>{2022}99</w:t>
      </w:r>
      <w:r>
        <w:rPr>
          <w:rFonts w:ascii="宋体" w:hAnsi="宋体" w:eastAsia="宋体" w:cs="宋体"/>
          <w:color w:val="auto"/>
          <w:spacing w:val="0"/>
          <w:position w:val="0"/>
          <w:sz w:val="32"/>
          <w:shd w:val="clear" w:fill="auto"/>
        </w:rPr>
        <w:t>号</w:t>
      </w:r>
      <w:r>
        <w:rPr>
          <w:rFonts w:ascii="宋体" w:hAnsi="宋体" w:eastAsia="宋体" w:cs="宋体"/>
          <w:color w:val="auto"/>
          <w:spacing w:val="0"/>
          <w:position w:val="0"/>
          <w:sz w:val="30"/>
          <w:shd w:val="clear" w:fill="auto"/>
        </w:rPr>
        <w:t>支出绩效评价指标体系</w:t>
      </w:r>
    </w:p>
    <w:tbl>
      <w:tblPr>
        <w:tblStyle w:val="2"/>
        <w:tblW w:w="0" w:type="auto"/>
        <w:jc w:val="center"/>
        <w:tblLayout w:type="autofit"/>
        <w:tblCellMar>
          <w:top w:w="0" w:type="dxa"/>
          <w:left w:w="10" w:type="dxa"/>
          <w:bottom w:w="0" w:type="dxa"/>
          <w:right w:w="10" w:type="dxa"/>
        </w:tblCellMar>
      </w:tblPr>
      <w:tblGrid>
        <w:gridCol w:w="694"/>
        <w:gridCol w:w="1273"/>
        <w:gridCol w:w="1592"/>
        <w:gridCol w:w="3250"/>
        <w:gridCol w:w="903"/>
        <w:gridCol w:w="810"/>
      </w:tblGrid>
      <w:tr w14:paraId="0C673863">
        <w:tblPrEx>
          <w:tblCellMar>
            <w:top w:w="0" w:type="dxa"/>
            <w:left w:w="10" w:type="dxa"/>
            <w:bottom w:w="0" w:type="dxa"/>
            <w:right w:w="10" w:type="dxa"/>
          </w:tblCellMar>
        </w:tblPrEx>
        <w:trPr>
          <w:trHeight w:val="0" w:hRule="atLeast"/>
          <w:jc w:val="center"/>
        </w:trPr>
        <w:tc>
          <w:tcPr>
            <w:tcW w:w="757"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17968EB2">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b/>
                <w:color w:val="000000"/>
                <w:spacing w:val="0"/>
                <w:position w:val="0"/>
                <w:sz w:val="22"/>
                <w:shd w:val="clear" w:fill="auto"/>
              </w:rPr>
              <w:t>一级指标</w:t>
            </w:r>
          </w:p>
        </w:tc>
        <w:tc>
          <w:tcPr>
            <w:tcW w:w="1478"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22363C6B">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b/>
                <w:color w:val="000000"/>
                <w:spacing w:val="0"/>
                <w:position w:val="0"/>
                <w:sz w:val="22"/>
                <w:shd w:val="clear" w:fill="auto"/>
              </w:rPr>
              <w:t>二级指标</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15CAACDF">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b/>
                <w:color w:val="000000"/>
                <w:spacing w:val="0"/>
                <w:position w:val="0"/>
                <w:sz w:val="22"/>
                <w:shd w:val="clear" w:fill="auto"/>
              </w:rPr>
              <w:t>三级指标</w:t>
            </w:r>
          </w:p>
        </w:tc>
        <w:tc>
          <w:tcPr>
            <w:tcW w:w="388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top"/>
          </w:tcPr>
          <w:p w14:paraId="4CBD3811">
            <w:pPr>
              <w:widowControl w:val="0"/>
              <w:spacing w:before="0" w:after="0" w:line="600" w:lineRule="auto"/>
              <w:ind w:left="0" w:right="0" w:firstLine="0"/>
              <w:jc w:val="center"/>
              <w:rPr>
                <w:rFonts w:ascii="宋体" w:hAnsi="宋体" w:eastAsia="宋体" w:cs="宋体"/>
                <w:spacing w:val="0"/>
                <w:position w:val="0"/>
                <w:sz w:val="22"/>
                <w:shd w:val="clear" w:fill="auto"/>
              </w:rPr>
            </w:pPr>
            <w:r>
              <w:rPr>
                <w:rFonts w:ascii="宋体" w:hAnsi="宋体" w:eastAsia="宋体" w:cs="宋体"/>
                <w:b/>
                <w:color w:val="000000"/>
                <w:spacing w:val="0"/>
                <w:position w:val="0"/>
                <w:sz w:val="22"/>
                <w:shd w:val="clear" w:fill="auto"/>
              </w:rPr>
              <w:t>指标解释</w:t>
            </w:r>
          </w:p>
        </w:tc>
        <w:tc>
          <w:tcPr>
            <w:tcW w:w="990" w:type="dxa"/>
            <w:tcBorders>
              <w:top w:val="single" w:color="000000" w:sz="8" w:space="0"/>
              <w:left w:val="single" w:color="000000" w:sz="4" w:space="0"/>
              <w:bottom w:val="single" w:color="000000" w:sz="8" w:space="0"/>
              <w:right w:val="single" w:color="000000" w:sz="8" w:space="0"/>
            </w:tcBorders>
            <w:shd w:val="clear" w:color="auto" w:fill="FFFFFF"/>
            <w:tcMar>
              <w:left w:w="108" w:type="dxa"/>
              <w:right w:w="108" w:type="dxa"/>
            </w:tcMar>
            <w:vAlign w:val="top"/>
          </w:tcPr>
          <w:p w14:paraId="769D7EA7">
            <w:pPr>
              <w:widowControl w:val="0"/>
              <w:spacing w:before="0" w:after="0" w:line="600" w:lineRule="auto"/>
              <w:ind w:left="0" w:right="0" w:firstLine="0"/>
              <w:jc w:val="center"/>
              <w:rPr>
                <w:rFonts w:ascii="宋体" w:hAnsi="宋体" w:eastAsia="宋体" w:cs="宋体"/>
                <w:spacing w:val="0"/>
                <w:position w:val="0"/>
                <w:sz w:val="22"/>
                <w:shd w:val="clear" w:fill="auto"/>
              </w:rPr>
            </w:pPr>
            <w:r>
              <w:rPr>
                <w:rFonts w:ascii="宋体" w:hAnsi="宋体" w:eastAsia="宋体" w:cs="宋体"/>
                <w:b/>
                <w:color w:val="000000"/>
                <w:spacing w:val="0"/>
                <w:position w:val="0"/>
                <w:sz w:val="22"/>
                <w:shd w:val="clear" w:fill="auto"/>
              </w:rPr>
              <w:t>分值</w:t>
            </w:r>
          </w:p>
        </w:tc>
        <w:tc>
          <w:tcPr>
            <w:tcW w:w="874"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top"/>
          </w:tcPr>
          <w:p w14:paraId="3E5081F7">
            <w:pPr>
              <w:widowControl w:val="0"/>
              <w:spacing w:before="0" w:after="0" w:line="600" w:lineRule="auto"/>
              <w:ind w:left="0" w:right="0" w:firstLine="0"/>
              <w:jc w:val="center"/>
              <w:rPr>
                <w:rFonts w:ascii="宋体" w:hAnsi="宋体" w:eastAsia="宋体" w:cs="宋体"/>
                <w:spacing w:val="0"/>
                <w:position w:val="0"/>
                <w:sz w:val="22"/>
                <w:shd w:val="clear" w:fill="auto"/>
              </w:rPr>
            </w:pPr>
            <w:r>
              <w:rPr>
                <w:rFonts w:ascii="宋体" w:hAnsi="宋体" w:eastAsia="宋体" w:cs="宋体"/>
                <w:b/>
                <w:color w:val="000000"/>
                <w:spacing w:val="0"/>
                <w:position w:val="0"/>
                <w:sz w:val="22"/>
                <w:shd w:val="clear" w:fill="auto"/>
              </w:rPr>
              <w:t>得分</w:t>
            </w:r>
          </w:p>
        </w:tc>
      </w:tr>
      <w:tr w14:paraId="535B25E5">
        <w:tblPrEx>
          <w:tblCellMar>
            <w:top w:w="0" w:type="dxa"/>
            <w:left w:w="10" w:type="dxa"/>
            <w:bottom w:w="0" w:type="dxa"/>
            <w:right w:w="10" w:type="dxa"/>
          </w:tblCellMar>
        </w:tblPrEx>
        <w:trPr>
          <w:trHeight w:val="0" w:hRule="atLeast"/>
          <w:jc w:val="center"/>
        </w:trPr>
        <w:tc>
          <w:tcPr>
            <w:tcW w:w="757" w:type="dxa"/>
            <w:vMerge w:val="restart"/>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795C762D">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决策</w:t>
            </w:r>
          </w:p>
        </w:tc>
        <w:tc>
          <w:tcPr>
            <w:tcW w:w="1478" w:type="dxa"/>
            <w:vMerge w:val="restart"/>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21DF8075">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项目立项　</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684BE752">
            <w:pPr>
              <w:widowControl w:val="0"/>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立项依据</w:t>
            </w:r>
          </w:p>
          <w:p w14:paraId="437C1C73">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充分性</w:t>
            </w:r>
          </w:p>
        </w:tc>
        <w:tc>
          <w:tcPr>
            <w:tcW w:w="388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1FB10F05">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项目立项是否符合法律法规、相关政策、发展规划以及部门职责，用以反映和考核项目立项依据情况。</w:t>
            </w:r>
          </w:p>
        </w:tc>
        <w:tc>
          <w:tcPr>
            <w:tcW w:w="990" w:type="dxa"/>
            <w:tcBorders>
              <w:top w:val="single" w:color="000000" w:sz="8" w:space="0"/>
              <w:left w:val="single" w:color="000000" w:sz="4" w:space="0"/>
              <w:bottom w:val="single" w:color="000000" w:sz="8" w:space="0"/>
              <w:right w:val="single" w:color="000000" w:sz="8" w:space="0"/>
            </w:tcBorders>
            <w:shd w:val="clear" w:color="auto" w:fill="FFFFFF"/>
            <w:tcMar>
              <w:left w:w="108" w:type="dxa"/>
              <w:right w:w="108" w:type="dxa"/>
            </w:tcMar>
            <w:vAlign w:val="top"/>
          </w:tcPr>
          <w:p w14:paraId="7BD36A06">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4" w:space="0"/>
              <w:right w:val="single" w:color="000000" w:sz="8" w:space="0"/>
            </w:tcBorders>
            <w:shd w:val="clear" w:color="auto" w:fill="FFFFFF"/>
            <w:tcMar>
              <w:left w:w="108" w:type="dxa"/>
              <w:right w:w="108" w:type="dxa"/>
            </w:tcMar>
            <w:vAlign w:val="top"/>
          </w:tcPr>
          <w:p w14:paraId="7CDE104C">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r>
      <w:tr w14:paraId="0BC36A8E">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6C704A83">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1DC8AD0E">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5A04DA7A">
            <w:pPr>
              <w:widowControl w:val="0"/>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立项程序</w:t>
            </w:r>
          </w:p>
          <w:p w14:paraId="1039C5BE">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规范性</w:t>
            </w:r>
          </w:p>
        </w:tc>
        <w:tc>
          <w:tcPr>
            <w:tcW w:w="388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57CB1B8B">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项目申请、设立过程是否符合相关要求，用以反映和考核项目立项的规范情况</w:t>
            </w:r>
          </w:p>
        </w:tc>
        <w:tc>
          <w:tcPr>
            <w:tcW w:w="990" w:type="dxa"/>
            <w:tcBorders>
              <w:top w:val="single" w:color="000000" w:sz="8" w:space="0"/>
              <w:left w:val="single" w:color="000000" w:sz="4" w:space="0"/>
              <w:bottom w:val="single" w:color="000000" w:sz="8" w:space="0"/>
              <w:right w:val="single" w:color="000000" w:sz="8" w:space="0"/>
            </w:tcBorders>
            <w:shd w:val="clear" w:color="auto" w:fill="FFFFFF"/>
            <w:tcMar>
              <w:left w:w="108" w:type="dxa"/>
              <w:right w:w="108" w:type="dxa"/>
            </w:tcMar>
            <w:vAlign w:val="top"/>
          </w:tcPr>
          <w:p w14:paraId="309B8B00">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top"/>
          </w:tcPr>
          <w:p w14:paraId="22B0785D">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r>
      <w:tr w14:paraId="0C2BAEAB">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6E1AB169">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vMerge w:val="restart"/>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171370DC">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绩效目标</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212689FF">
            <w:pPr>
              <w:widowControl w:val="0"/>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绩效目标</w:t>
            </w:r>
          </w:p>
          <w:p w14:paraId="507B5F14">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合理性</w:t>
            </w:r>
          </w:p>
        </w:tc>
        <w:tc>
          <w:tcPr>
            <w:tcW w:w="3885"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332F9AA6">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项目所设定的绩效目标是否依据充分，是否符合客观实际，用以反映和考核项目绩效目标与项目实施的相符情况。</w:t>
            </w:r>
          </w:p>
        </w:tc>
        <w:tc>
          <w:tcPr>
            <w:tcW w:w="99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top"/>
          </w:tcPr>
          <w:p w14:paraId="2299DA46">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8" w:space="0"/>
              <w:right w:val="single" w:color="000000" w:sz="8" w:space="0"/>
            </w:tcBorders>
            <w:shd w:val="clear" w:color="000000" w:fill="FFFFFF"/>
            <w:tcMar>
              <w:left w:w="108" w:type="dxa"/>
              <w:right w:w="108" w:type="dxa"/>
            </w:tcMar>
            <w:vAlign w:val="top"/>
          </w:tcPr>
          <w:p w14:paraId="3FD69348">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r>
      <w:tr w14:paraId="58CF8C77">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48C31AC8">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0C9933FF">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5522DBB9">
            <w:pPr>
              <w:widowControl w:val="0"/>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绩效指标</w:t>
            </w:r>
          </w:p>
          <w:p w14:paraId="0AAE6477">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明确性</w:t>
            </w:r>
          </w:p>
        </w:tc>
        <w:tc>
          <w:tcPr>
            <w:tcW w:w="3885"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5549A158">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依据绩效目标设定的绩效指标是否清晰、细化、可衡量等，用以反映和考核项目绩效目标的明细化情况。</w:t>
            </w:r>
          </w:p>
        </w:tc>
        <w:tc>
          <w:tcPr>
            <w:tcW w:w="99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top"/>
          </w:tcPr>
          <w:p w14:paraId="530B2B12">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4" w:space="0"/>
              <w:right w:val="single" w:color="000000" w:sz="8" w:space="0"/>
            </w:tcBorders>
            <w:shd w:val="clear" w:color="000000" w:fill="FFFFFF"/>
            <w:tcMar>
              <w:left w:w="108" w:type="dxa"/>
              <w:right w:w="108" w:type="dxa"/>
            </w:tcMar>
            <w:vAlign w:val="top"/>
          </w:tcPr>
          <w:p w14:paraId="4A8E917E">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r>
      <w:tr w14:paraId="0FC8F646">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2FB2C3A1">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vMerge w:val="restart"/>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5558A0AF">
            <w:pPr>
              <w:widowControl w:val="0"/>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资金投入</w:t>
            </w:r>
          </w:p>
          <w:p w14:paraId="78D77C6C">
            <w:pPr>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　</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50D2A79B">
            <w:pPr>
              <w:widowControl w:val="0"/>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预算编制</w:t>
            </w:r>
          </w:p>
          <w:p w14:paraId="152A2FEE">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科学性</w:t>
            </w:r>
          </w:p>
        </w:tc>
        <w:tc>
          <w:tcPr>
            <w:tcW w:w="388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19883FC1">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项目预算编制是否经过科学论证、有明确标准，资金额度与年度目标是否相适应，用以反映和考核项目预算编制的科学性、合理性情况。</w:t>
            </w:r>
          </w:p>
        </w:tc>
        <w:tc>
          <w:tcPr>
            <w:tcW w:w="990" w:type="dxa"/>
            <w:tcBorders>
              <w:top w:val="single" w:color="000000" w:sz="8" w:space="0"/>
              <w:left w:val="single" w:color="000000" w:sz="4" w:space="0"/>
              <w:bottom w:val="single" w:color="000000" w:sz="8" w:space="0"/>
              <w:right w:val="single" w:color="000000" w:sz="8" w:space="0"/>
            </w:tcBorders>
            <w:shd w:val="clear" w:color="auto" w:fill="FFFFFF"/>
            <w:tcMar>
              <w:left w:w="108" w:type="dxa"/>
              <w:right w:w="108" w:type="dxa"/>
            </w:tcMar>
            <w:vAlign w:val="top"/>
          </w:tcPr>
          <w:p w14:paraId="6513AE5F">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4" w:space="0"/>
              <w:right w:val="single" w:color="000000" w:sz="8" w:space="0"/>
            </w:tcBorders>
            <w:shd w:val="clear" w:color="auto" w:fill="FFFFFF"/>
            <w:tcMar>
              <w:left w:w="108" w:type="dxa"/>
              <w:right w:w="108" w:type="dxa"/>
            </w:tcMar>
            <w:vAlign w:val="top"/>
          </w:tcPr>
          <w:p w14:paraId="5D96C5B9">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r>
      <w:tr w14:paraId="582570F1">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7AFBA434">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24872558">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223F58C7">
            <w:pPr>
              <w:widowControl w:val="0"/>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资金分配</w:t>
            </w:r>
          </w:p>
          <w:p w14:paraId="7E473DAB">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合理性</w:t>
            </w:r>
          </w:p>
        </w:tc>
        <w:tc>
          <w:tcPr>
            <w:tcW w:w="388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382816E0">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项目预算资金分配是否有测算依据，与补助单位或地方实际是否相适应，用以反映和考核项目预算资金分配的科学性、合理性情况。</w:t>
            </w:r>
          </w:p>
        </w:tc>
        <w:tc>
          <w:tcPr>
            <w:tcW w:w="990" w:type="dxa"/>
            <w:tcBorders>
              <w:top w:val="single" w:color="000000" w:sz="8" w:space="0"/>
              <w:left w:val="single" w:color="000000" w:sz="4" w:space="0"/>
              <w:bottom w:val="single" w:color="000000" w:sz="8" w:space="0"/>
              <w:right w:val="single" w:color="000000" w:sz="8" w:space="0"/>
            </w:tcBorders>
            <w:shd w:val="clear" w:color="auto" w:fill="FFFFFF"/>
            <w:tcMar>
              <w:left w:w="108" w:type="dxa"/>
              <w:right w:w="108" w:type="dxa"/>
            </w:tcMar>
            <w:vAlign w:val="top"/>
          </w:tcPr>
          <w:p w14:paraId="090E9935">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top"/>
          </w:tcPr>
          <w:p w14:paraId="1DA2F69A">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r>
      <w:tr w14:paraId="5AA0456F">
        <w:tblPrEx>
          <w:tblCellMar>
            <w:top w:w="0" w:type="dxa"/>
            <w:left w:w="10" w:type="dxa"/>
            <w:bottom w:w="0" w:type="dxa"/>
            <w:right w:w="10" w:type="dxa"/>
          </w:tblCellMar>
        </w:tblPrEx>
        <w:trPr>
          <w:trHeight w:val="0" w:hRule="atLeast"/>
          <w:jc w:val="center"/>
        </w:trPr>
        <w:tc>
          <w:tcPr>
            <w:tcW w:w="757" w:type="dxa"/>
            <w:vMerge w:val="restart"/>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267E9329">
            <w:pPr>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过程</w:t>
            </w:r>
          </w:p>
        </w:tc>
        <w:tc>
          <w:tcPr>
            <w:tcW w:w="1478" w:type="dxa"/>
            <w:vMerge w:val="restart"/>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51676DE5">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资金管理</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46EFDD5D">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资金到位率</w:t>
            </w:r>
          </w:p>
        </w:tc>
        <w:tc>
          <w:tcPr>
            <w:tcW w:w="3885"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244378F2">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实际到位资金与预算资金的比率，用以反映和考核资金落实情况对项目实施的总体保障程度。</w:t>
            </w:r>
          </w:p>
        </w:tc>
        <w:tc>
          <w:tcPr>
            <w:tcW w:w="99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top"/>
          </w:tcPr>
          <w:p w14:paraId="5A434948">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4" w:space="0"/>
              <w:right w:val="single" w:color="000000" w:sz="8" w:space="0"/>
            </w:tcBorders>
            <w:shd w:val="clear" w:color="000000" w:fill="FFFFFF"/>
            <w:tcMar>
              <w:left w:w="108" w:type="dxa"/>
              <w:right w:w="108" w:type="dxa"/>
            </w:tcMar>
            <w:vAlign w:val="top"/>
          </w:tcPr>
          <w:p w14:paraId="672994A8">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r>
      <w:tr w14:paraId="41EFE3DF">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67182746">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615842F1">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706B54A3">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预算执行率</w:t>
            </w:r>
          </w:p>
        </w:tc>
        <w:tc>
          <w:tcPr>
            <w:tcW w:w="388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672B8AEF">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项目预算资金是否按照计划执行，用以反映或考核项目预算执行情况</w:t>
            </w:r>
          </w:p>
        </w:tc>
        <w:tc>
          <w:tcPr>
            <w:tcW w:w="990" w:type="dxa"/>
            <w:tcBorders>
              <w:top w:val="single" w:color="000000" w:sz="8" w:space="0"/>
              <w:left w:val="single" w:color="000000" w:sz="4" w:space="0"/>
              <w:bottom w:val="single" w:color="000000" w:sz="8" w:space="0"/>
              <w:right w:val="single" w:color="000000" w:sz="8" w:space="0"/>
            </w:tcBorders>
            <w:shd w:val="clear" w:color="auto" w:fill="FFFFFF"/>
            <w:tcMar>
              <w:left w:w="108" w:type="dxa"/>
              <w:right w:w="108" w:type="dxa"/>
            </w:tcMar>
            <w:vAlign w:val="top"/>
          </w:tcPr>
          <w:p w14:paraId="7B3A1266">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4" w:space="0"/>
              <w:right w:val="single" w:color="000000" w:sz="8" w:space="0"/>
            </w:tcBorders>
            <w:shd w:val="clear" w:color="auto" w:fill="FFFFFF"/>
            <w:tcMar>
              <w:left w:w="108" w:type="dxa"/>
              <w:right w:w="108" w:type="dxa"/>
            </w:tcMar>
            <w:vAlign w:val="top"/>
          </w:tcPr>
          <w:p w14:paraId="741058C9">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r>
      <w:tr w14:paraId="095CB038">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39CE5733">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7477370B">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资金管理</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2A9E0B95">
            <w:pPr>
              <w:widowControl w:val="0"/>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资金使用</w:t>
            </w:r>
          </w:p>
          <w:p w14:paraId="03935DC1">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合规性</w:t>
            </w:r>
          </w:p>
        </w:tc>
        <w:tc>
          <w:tcPr>
            <w:tcW w:w="3885"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5ACEAD5D">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项目资金使用是否符合相关的财务管理制度规定，用以反映和考核项目资金的规范运行情况。</w:t>
            </w:r>
          </w:p>
        </w:tc>
        <w:tc>
          <w:tcPr>
            <w:tcW w:w="99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top"/>
          </w:tcPr>
          <w:p w14:paraId="66E49352">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4" w:space="0"/>
              <w:right w:val="single" w:color="000000" w:sz="8" w:space="0"/>
            </w:tcBorders>
            <w:shd w:val="clear" w:color="000000" w:fill="FFFFFF"/>
            <w:tcMar>
              <w:left w:w="108" w:type="dxa"/>
              <w:right w:w="108" w:type="dxa"/>
            </w:tcMar>
            <w:vAlign w:val="top"/>
          </w:tcPr>
          <w:p w14:paraId="1F27DE2B">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r>
      <w:tr w14:paraId="04C74E20">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20131552">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vMerge w:val="restart"/>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0BBF281A">
            <w:pPr>
              <w:widowControl w:val="0"/>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组织实施</w:t>
            </w:r>
          </w:p>
          <w:p w14:paraId="4CE5B56A">
            <w:pPr>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　</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2DDA611B">
            <w:pPr>
              <w:widowControl w:val="0"/>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管理制度</w:t>
            </w:r>
          </w:p>
          <w:p w14:paraId="4E40CBE2">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健全性</w:t>
            </w:r>
          </w:p>
        </w:tc>
        <w:tc>
          <w:tcPr>
            <w:tcW w:w="3885"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3578BF52">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项目实施单位的财务和业务管理制度是否健全，用以反映和考核财务和业务管理制度对项目顺利实施的保障情况。</w:t>
            </w:r>
          </w:p>
        </w:tc>
        <w:tc>
          <w:tcPr>
            <w:tcW w:w="99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top"/>
          </w:tcPr>
          <w:p w14:paraId="7EA69EBA">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4" w:space="0"/>
              <w:right w:val="single" w:color="000000" w:sz="8" w:space="0"/>
            </w:tcBorders>
            <w:shd w:val="clear" w:color="000000" w:fill="FFFFFF"/>
            <w:tcMar>
              <w:left w:w="108" w:type="dxa"/>
              <w:right w:w="108" w:type="dxa"/>
            </w:tcMar>
            <w:vAlign w:val="top"/>
          </w:tcPr>
          <w:p w14:paraId="2FD81E9D">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r>
      <w:tr w14:paraId="38C9D3E7">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0C9F1FAE">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6B9E01CF">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09FE1AC5">
            <w:pPr>
              <w:widowControl w:val="0"/>
              <w:spacing w:before="0" w:after="0" w:line="240" w:lineRule="auto"/>
              <w:ind w:left="0" w:right="0" w:firstLine="0"/>
              <w:jc w:val="center"/>
              <w:rPr>
                <w:rFonts w:ascii="宋体" w:hAnsi="宋体" w:eastAsia="宋体" w:cs="宋体"/>
                <w:color w:val="000000"/>
                <w:spacing w:val="0"/>
                <w:position w:val="0"/>
                <w:sz w:val="22"/>
                <w:shd w:val="clear" w:fill="auto"/>
              </w:rPr>
            </w:pPr>
            <w:r>
              <w:rPr>
                <w:rFonts w:ascii="宋体" w:hAnsi="宋体" w:eastAsia="宋体" w:cs="宋体"/>
                <w:color w:val="000000"/>
                <w:spacing w:val="0"/>
                <w:position w:val="0"/>
                <w:sz w:val="22"/>
                <w:shd w:val="clear" w:fill="auto"/>
              </w:rPr>
              <w:t>制度执行</w:t>
            </w:r>
          </w:p>
          <w:p w14:paraId="3E2CABD8">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有效性</w:t>
            </w:r>
          </w:p>
        </w:tc>
        <w:tc>
          <w:tcPr>
            <w:tcW w:w="3885"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0F07AF5F">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项目实施是否符合相关管理规定，用以反映和考核相关管理制度的有效执行情况。</w:t>
            </w:r>
          </w:p>
        </w:tc>
        <w:tc>
          <w:tcPr>
            <w:tcW w:w="99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top"/>
          </w:tcPr>
          <w:p w14:paraId="1A7F713A">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4" w:space="0"/>
              <w:right w:val="single" w:color="000000" w:sz="8" w:space="0"/>
            </w:tcBorders>
            <w:shd w:val="clear" w:color="000000" w:fill="FFFFFF"/>
            <w:tcMar>
              <w:left w:w="108" w:type="dxa"/>
              <w:right w:w="108" w:type="dxa"/>
            </w:tcMar>
            <w:vAlign w:val="top"/>
          </w:tcPr>
          <w:p w14:paraId="64613A22">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r>
      <w:tr w14:paraId="66E311EF">
        <w:tblPrEx>
          <w:tblCellMar>
            <w:top w:w="0" w:type="dxa"/>
            <w:left w:w="10" w:type="dxa"/>
            <w:bottom w:w="0" w:type="dxa"/>
            <w:right w:w="10" w:type="dxa"/>
          </w:tblCellMar>
        </w:tblPrEx>
        <w:trPr>
          <w:trHeight w:val="0" w:hRule="atLeast"/>
          <w:jc w:val="center"/>
        </w:trPr>
        <w:tc>
          <w:tcPr>
            <w:tcW w:w="757" w:type="dxa"/>
            <w:vMerge w:val="restart"/>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694A4D73">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产出</w:t>
            </w:r>
          </w:p>
        </w:tc>
        <w:tc>
          <w:tcPr>
            <w:tcW w:w="1478"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4AD0E6EC">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产出数量</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792A7394">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实际完成率</w:t>
            </w:r>
          </w:p>
        </w:tc>
        <w:tc>
          <w:tcPr>
            <w:tcW w:w="3885"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1913A68A">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项目实施的实际产出数与计划产出数的比率，用以反映和考核项目产出数量目标的实现程度。</w:t>
            </w:r>
          </w:p>
        </w:tc>
        <w:tc>
          <w:tcPr>
            <w:tcW w:w="99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top"/>
          </w:tcPr>
          <w:p w14:paraId="4745ECAA">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10</w:t>
            </w:r>
          </w:p>
        </w:tc>
        <w:tc>
          <w:tcPr>
            <w:tcW w:w="874" w:type="dxa"/>
            <w:tcBorders>
              <w:top w:val="single" w:color="000000" w:sz="8" w:space="0"/>
              <w:left w:val="single" w:color="000000" w:sz="8" w:space="0"/>
              <w:bottom w:val="single" w:color="000000" w:sz="8" w:space="0"/>
              <w:right w:val="single" w:color="000000" w:sz="8" w:space="0"/>
            </w:tcBorders>
            <w:shd w:val="clear" w:color="000000" w:fill="FFFFFF"/>
            <w:tcMar>
              <w:left w:w="108" w:type="dxa"/>
              <w:right w:w="108" w:type="dxa"/>
            </w:tcMar>
            <w:vAlign w:val="top"/>
          </w:tcPr>
          <w:p w14:paraId="723AF43D">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10</w:t>
            </w:r>
          </w:p>
        </w:tc>
      </w:tr>
      <w:tr w14:paraId="39650CB3">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6E723721">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5A651ECE">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产出质量</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545971CA">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质量达标率</w:t>
            </w:r>
          </w:p>
        </w:tc>
        <w:tc>
          <w:tcPr>
            <w:tcW w:w="3885"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3DEE5929">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项目完成的质量达标产出数与实际产出数的比率，用以反映和考核项目产出质量目标的实现程度。</w:t>
            </w:r>
          </w:p>
        </w:tc>
        <w:tc>
          <w:tcPr>
            <w:tcW w:w="99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top"/>
          </w:tcPr>
          <w:p w14:paraId="09D93E52">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10</w:t>
            </w:r>
          </w:p>
        </w:tc>
        <w:tc>
          <w:tcPr>
            <w:tcW w:w="874" w:type="dxa"/>
            <w:tcBorders>
              <w:top w:val="single" w:color="000000" w:sz="8" w:space="0"/>
              <w:left w:val="single" w:color="000000" w:sz="8" w:space="0"/>
              <w:bottom w:val="single" w:color="000000" w:sz="8" w:space="0"/>
              <w:right w:val="single" w:color="000000" w:sz="8" w:space="0"/>
            </w:tcBorders>
            <w:shd w:val="clear" w:color="000000" w:fill="FFFFFF"/>
            <w:tcMar>
              <w:left w:w="108" w:type="dxa"/>
              <w:right w:w="108" w:type="dxa"/>
            </w:tcMar>
            <w:vAlign w:val="top"/>
          </w:tcPr>
          <w:p w14:paraId="0303D71F">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10</w:t>
            </w:r>
          </w:p>
        </w:tc>
      </w:tr>
      <w:tr w14:paraId="420BAB85">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71642F39">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0F79684A">
            <w:pPr>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产出时效</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67DB5DC3">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完成及时性</w:t>
            </w:r>
          </w:p>
        </w:tc>
        <w:tc>
          <w:tcPr>
            <w:tcW w:w="3885"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48621B0B">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项目实际完成时间与计划完成时间的比较，用以反映和考核项目产出时效目标的实现程度。</w:t>
            </w:r>
          </w:p>
        </w:tc>
        <w:tc>
          <w:tcPr>
            <w:tcW w:w="99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top"/>
          </w:tcPr>
          <w:p w14:paraId="34250372">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10</w:t>
            </w:r>
          </w:p>
        </w:tc>
        <w:tc>
          <w:tcPr>
            <w:tcW w:w="874" w:type="dxa"/>
            <w:tcBorders>
              <w:top w:val="single" w:color="000000" w:sz="8" w:space="0"/>
              <w:left w:val="single" w:color="000000" w:sz="8" w:space="0"/>
              <w:bottom w:val="single" w:color="000000" w:sz="8" w:space="0"/>
              <w:right w:val="single" w:color="000000" w:sz="8" w:space="0"/>
            </w:tcBorders>
            <w:shd w:val="clear" w:color="000000" w:fill="FFFFFF"/>
            <w:tcMar>
              <w:left w:w="108" w:type="dxa"/>
              <w:right w:w="108" w:type="dxa"/>
            </w:tcMar>
            <w:vAlign w:val="top"/>
          </w:tcPr>
          <w:p w14:paraId="372A9672">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10</w:t>
            </w:r>
          </w:p>
        </w:tc>
      </w:tr>
      <w:tr w14:paraId="5D954958">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2DEF947F">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10AC58EB">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产出成本</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79F9F700">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成本节约率</w:t>
            </w:r>
          </w:p>
        </w:tc>
        <w:tc>
          <w:tcPr>
            <w:tcW w:w="388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177DAD78">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完成项目计划工作目标的实际节约成本与计划成本的比率，用以反映和考核项目的成本节约程度。</w:t>
            </w:r>
          </w:p>
        </w:tc>
        <w:tc>
          <w:tcPr>
            <w:tcW w:w="990" w:type="dxa"/>
            <w:tcBorders>
              <w:top w:val="single" w:color="000000" w:sz="8" w:space="0"/>
              <w:left w:val="single" w:color="000000" w:sz="4" w:space="0"/>
              <w:bottom w:val="single" w:color="000000" w:sz="8" w:space="0"/>
              <w:right w:val="single" w:color="000000" w:sz="8" w:space="0"/>
            </w:tcBorders>
            <w:shd w:val="clear" w:color="auto" w:fill="FFFFFF"/>
            <w:tcMar>
              <w:left w:w="108" w:type="dxa"/>
              <w:right w:w="108" w:type="dxa"/>
            </w:tcMar>
            <w:vAlign w:val="top"/>
          </w:tcPr>
          <w:p w14:paraId="522C36A0">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top"/>
          </w:tcPr>
          <w:p w14:paraId="7F418F8F">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r>
      <w:tr w14:paraId="248E64C7">
        <w:tblPrEx>
          <w:tblCellMar>
            <w:top w:w="0" w:type="dxa"/>
            <w:left w:w="10" w:type="dxa"/>
            <w:bottom w:w="0" w:type="dxa"/>
            <w:right w:w="10" w:type="dxa"/>
          </w:tblCellMar>
        </w:tblPrEx>
        <w:trPr>
          <w:trHeight w:val="0" w:hRule="atLeast"/>
          <w:jc w:val="center"/>
        </w:trPr>
        <w:tc>
          <w:tcPr>
            <w:tcW w:w="757" w:type="dxa"/>
            <w:vMerge w:val="restart"/>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237A1573">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效益　</w:t>
            </w:r>
          </w:p>
        </w:tc>
        <w:tc>
          <w:tcPr>
            <w:tcW w:w="1478" w:type="dxa"/>
            <w:vMerge w:val="restart"/>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0BAEAACA">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项目效益　</w:t>
            </w: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42F02C6C">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实施效益</w:t>
            </w:r>
          </w:p>
        </w:tc>
        <w:tc>
          <w:tcPr>
            <w:tcW w:w="388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56B08AD1">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项目实施所产生的效益。</w:t>
            </w:r>
          </w:p>
        </w:tc>
        <w:tc>
          <w:tcPr>
            <w:tcW w:w="990" w:type="dxa"/>
            <w:tcBorders>
              <w:top w:val="single" w:color="000000" w:sz="8" w:space="0"/>
              <w:left w:val="single" w:color="000000" w:sz="4" w:space="0"/>
              <w:bottom w:val="single" w:color="000000" w:sz="8" w:space="0"/>
              <w:right w:val="single" w:color="000000" w:sz="8" w:space="0"/>
            </w:tcBorders>
            <w:shd w:val="clear" w:color="auto" w:fill="FFFFFF"/>
            <w:tcMar>
              <w:left w:w="108" w:type="dxa"/>
              <w:right w:w="108" w:type="dxa"/>
            </w:tcMar>
            <w:vAlign w:val="top"/>
          </w:tcPr>
          <w:p w14:paraId="70864E13">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top"/>
          </w:tcPr>
          <w:p w14:paraId="6B7BAE41">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r>
      <w:tr w14:paraId="5C04D1A7">
        <w:tblPrEx>
          <w:tblCellMar>
            <w:top w:w="0" w:type="dxa"/>
            <w:left w:w="10" w:type="dxa"/>
            <w:bottom w:w="0" w:type="dxa"/>
            <w:right w:w="10" w:type="dxa"/>
          </w:tblCellMar>
        </w:tblPrEx>
        <w:trPr>
          <w:trHeight w:val="0" w:hRule="atLeast"/>
          <w:jc w:val="center"/>
        </w:trPr>
        <w:tc>
          <w:tcPr>
            <w:tcW w:w="757"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03F893DF">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478" w:type="dxa"/>
            <w:vMerge w:val="continue"/>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709013C6">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87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3C079B73">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满意度</w:t>
            </w:r>
          </w:p>
        </w:tc>
        <w:tc>
          <w:tcPr>
            <w:tcW w:w="3885" w:type="dxa"/>
            <w:tcBorders>
              <w:top w:val="single" w:color="000000" w:sz="8" w:space="0"/>
              <w:left w:val="single" w:color="000000" w:sz="8" w:space="0"/>
              <w:bottom w:val="single" w:color="000000" w:sz="8" w:space="0"/>
              <w:right w:val="single" w:color="000000" w:sz="4" w:space="0"/>
            </w:tcBorders>
            <w:shd w:val="clear" w:color="000000" w:fill="FFFFFF"/>
            <w:tcMar>
              <w:left w:w="108" w:type="dxa"/>
              <w:right w:w="108" w:type="dxa"/>
            </w:tcMar>
            <w:vAlign w:val="center"/>
          </w:tcPr>
          <w:p w14:paraId="0179A20E">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社会公众或服务对象对项目实施效果的满意程度。</w:t>
            </w:r>
          </w:p>
        </w:tc>
        <w:tc>
          <w:tcPr>
            <w:tcW w:w="990" w:type="dxa"/>
            <w:tcBorders>
              <w:top w:val="single" w:color="000000" w:sz="8" w:space="0"/>
              <w:left w:val="single" w:color="000000" w:sz="4" w:space="0"/>
              <w:bottom w:val="single" w:color="000000" w:sz="8" w:space="0"/>
              <w:right w:val="single" w:color="000000" w:sz="8" w:space="0"/>
            </w:tcBorders>
            <w:shd w:val="clear" w:color="000000" w:fill="FFFFFF"/>
            <w:tcMar>
              <w:left w:w="108" w:type="dxa"/>
              <w:right w:w="108" w:type="dxa"/>
            </w:tcMar>
            <w:vAlign w:val="top"/>
          </w:tcPr>
          <w:p w14:paraId="28F757FF">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c>
          <w:tcPr>
            <w:tcW w:w="874" w:type="dxa"/>
            <w:tcBorders>
              <w:top w:val="single" w:color="000000" w:sz="8" w:space="0"/>
              <w:left w:val="single" w:color="000000" w:sz="8" w:space="0"/>
              <w:bottom w:val="single" w:color="000000" w:sz="8" w:space="0"/>
              <w:right w:val="single" w:color="000000" w:sz="8" w:space="0"/>
            </w:tcBorders>
            <w:shd w:val="clear" w:color="000000" w:fill="FFFFFF"/>
            <w:tcMar>
              <w:left w:w="108" w:type="dxa"/>
              <w:right w:w="108" w:type="dxa"/>
            </w:tcMar>
            <w:vAlign w:val="top"/>
          </w:tcPr>
          <w:p w14:paraId="15F52EDD">
            <w:pPr>
              <w:spacing w:before="0" w:after="0" w:line="60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30"/>
                <w:shd w:val="clear" w:fill="auto"/>
              </w:rPr>
              <w:t>5</w:t>
            </w:r>
          </w:p>
        </w:tc>
      </w:tr>
      <w:tr w14:paraId="1E6D1513">
        <w:tblPrEx>
          <w:tblCellMar>
            <w:top w:w="0" w:type="dxa"/>
            <w:left w:w="10" w:type="dxa"/>
            <w:bottom w:w="0" w:type="dxa"/>
            <w:right w:w="10" w:type="dxa"/>
          </w:tblCellMar>
        </w:tblPrEx>
        <w:trPr>
          <w:trHeight w:val="0" w:hRule="atLeast"/>
          <w:jc w:val="center"/>
        </w:trPr>
        <w:tc>
          <w:tcPr>
            <w:tcW w:w="4110" w:type="dxa"/>
            <w:gridSpan w:val="3"/>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center"/>
          </w:tcPr>
          <w:p w14:paraId="1A34342D">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b/>
                <w:color w:val="000000"/>
                <w:spacing w:val="0"/>
                <w:position w:val="0"/>
                <w:sz w:val="22"/>
                <w:shd w:val="clear" w:fill="auto"/>
              </w:rPr>
              <w:t>总分</w:t>
            </w:r>
          </w:p>
        </w:tc>
        <w:tc>
          <w:tcPr>
            <w:tcW w:w="3885" w:type="dxa"/>
            <w:tcBorders>
              <w:top w:val="single" w:color="000000" w:sz="8" w:space="0"/>
              <w:left w:val="single" w:color="000000" w:sz="8" w:space="0"/>
              <w:bottom w:val="single" w:color="000000" w:sz="8" w:space="0"/>
              <w:right w:val="single" w:color="000000" w:sz="4" w:space="0"/>
            </w:tcBorders>
            <w:shd w:val="clear" w:color="auto" w:fill="FFFFFF"/>
            <w:tcMar>
              <w:left w:w="108" w:type="dxa"/>
              <w:right w:w="108" w:type="dxa"/>
            </w:tcMar>
            <w:vAlign w:val="top"/>
          </w:tcPr>
          <w:p w14:paraId="65EC896F">
            <w:pPr>
              <w:widowControl w:val="0"/>
              <w:spacing w:before="0" w:after="0" w:line="240" w:lineRule="auto"/>
              <w:ind w:left="0" w:right="0" w:firstLine="0"/>
              <w:jc w:val="center"/>
              <w:rPr>
                <w:rFonts w:ascii="宋体" w:hAnsi="宋体" w:eastAsia="宋体" w:cs="宋体"/>
                <w:color w:val="auto"/>
                <w:spacing w:val="0"/>
                <w:position w:val="0"/>
                <w:sz w:val="22"/>
                <w:shd w:val="clear" w:fill="auto"/>
              </w:rPr>
            </w:pPr>
          </w:p>
        </w:tc>
        <w:tc>
          <w:tcPr>
            <w:tcW w:w="990" w:type="dxa"/>
            <w:tcBorders>
              <w:top w:val="single" w:color="000000" w:sz="8" w:space="0"/>
              <w:left w:val="single" w:color="000000" w:sz="4" w:space="0"/>
              <w:bottom w:val="single" w:color="000000" w:sz="8" w:space="0"/>
              <w:right w:val="single" w:color="000000" w:sz="8" w:space="0"/>
            </w:tcBorders>
            <w:shd w:val="clear" w:color="auto" w:fill="FFFFFF"/>
            <w:tcMar>
              <w:left w:w="108" w:type="dxa"/>
              <w:right w:w="108" w:type="dxa"/>
            </w:tcMar>
            <w:vAlign w:val="center"/>
          </w:tcPr>
          <w:p w14:paraId="48F4B941">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100</w:t>
            </w:r>
          </w:p>
        </w:tc>
        <w:tc>
          <w:tcPr>
            <w:tcW w:w="874"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14:paraId="5B917BBE">
            <w:pPr>
              <w:widowControl w:val="0"/>
              <w:spacing w:before="0" w:after="0" w:line="240" w:lineRule="auto"/>
              <w:ind w:left="0" w:right="0" w:firstLine="0"/>
              <w:jc w:val="center"/>
              <w:rPr>
                <w:rFonts w:ascii="宋体" w:hAnsi="宋体" w:eastAsia="宋体" w:cs="宋体"/>
                <w:spacing w:val="0"/>
                <w:position w:val="0"/>
                <w:sz w:val="22"/>
                <w:shd w:val="clear" w:fill="auto"/>
              </w:rPr>
            </w:pPr>
            <w:r>
              <w:rPr>
                <w:rFonts w:ascii="宋体" w:hAnsi="宋体" w:eastAsia="宋体" w:cs="宋体"/>
                <w:color w:val="000000"/>
                <w:spacing w:val="0"/>
                <w:position w:val="0"/>
                <w:sz w:val="22"/>
                <w:shd w:val="clear" w:fill="auto"/>
              </w:rPr>
              <w:t>100</w:t>
            </w:r>
          </w:p>
        </w:tc>
      </w:tr>
    </w:tbl>
    <w:p w14:paraId="4BD7B6F8">
      <w:pPr>
        <w:spacing w:before="0" w:after="0" w:line="240" w:lineRule="auto"/>
        <w:ind w:left="0" w:right="0" w:firstLine="0"/>
        <w:jc w:val="both"/>
        <w:rPr>
          <w:rFonts w:ascii="Times New Roman" w:hAnsi="Times New Roman" w:eastAsia="Times New Roman" w:cs="Times New Roman"/>
          <w:color w:val="auto"/>
          <w:spacing w:val="0"/>
          <w:position w:val="0"/>
          <w:sz w:val="30"/>
          <w:shd w:val="clear" w:fill="auto"/>
        </w:rPr>
      </w:pPr>
    </w:p>
    <w:p w14:paraId="682E5099">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3</w:t>
      </w:r>
      <w:r>
        <w:rPr>
          <w:rFonts w:ascii="宋体" w:hAnsi="宋体" w:eastAsia="宋体" w:cs="宋体"/>
          <w:color w:val="auto"/>
          <w:spacing w:val="0"/>
          <w:position w:val="0"/>
          <w:sz w:val="30"/>
          <w:shd w:val="clear" w:fill="auto"/>
        </w:rPr>
        <w:t>、评价方法</w:t>
      </w:r>
    </w:p>
    <w:p w14:paraId="35B07F53">
      <w:pPr>
        <w:spacing w:before="0" w:after="0" w:line="360" w:lineRule="auto"/>
        <w:ind w:left="0" w:right="0" w:firstLine="640"/>
        <w:jc w:val="both"/>
        <w:rPr>
          <w:rFonts w:ascii="Times New Roman" w:hAnsi="Times New Roman" w:eastAsia="Times New Roman" w:cs="Times New Roman"/>
          <w:color w:val="auto"/>
          <w:spacing w:val="0"/>
          <w:position w:val="0"/>
          <w:sz w:val="32"/>
          <w:shd w:val="clear" w:fill="auto"/>
        </w:rPr>
      </w:pPr>
      <w:r>
        <w:rPr>
          <w:rFonts w:ascii="宋体" w:hAnsi="宋体" w:eastAsia="宋体" w:cs="宋体"/>
          <w:color w:val="auto"/>
          <w:spacing w:val="0"/>
          <w:position w:val="0"/>
          <w:sz w:val="32"/>
          <w:shd w:val="clear" w:fill="auto"/>
        </w:rPr>
        <w:t>财政和部门评价的方法主要包括成本效益分析法、比较法、因素分析法、最低成本法、公众评判法、标杆管理法等。本次项目支出绩效自评采用因素分析法方法，原因是：这种方法具有全面性、客观性和可操性。</w:t>
      </w:r>
    </w:p>
    <w:p w14:paraId="1FB62E3B">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4</w:t>
      </w:r>
      <w:r>
        <w:rPr>
          <w:rFonts w:ascii="宋体" w:hAnsi="宋体" w:eastAsia="宋体" w:cs="宋体"/>
          <w:color w:val="auto"/>
          <w:spacing w:val="0"/>
          <w:position w:val="0"/>
          <w:sz w:val="30"/>
          <w:shd w:val="clear" w:fill="auto"/>
        </w:rPr>
        <w:t>、评价标准</w:t>
      </w:r>
    </w:p>
    <w:p w14:paraId="0F23BCA4">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p>
    <w:p w14:paraId="75BEF812">
      <w:pPr>
        <w:spacing w:before="0" w:after="0" w:line="360" w:lineRule="auto"/>
        <w:ind w:left="0" w:right="0" w:firstLine="0"/>
        <w:jc w:val="both"/>
        <w:rPr>
          <w:rFonts w:ascii="Times New Roman" w:hAnsi="Times New Roman" w:eastAsia="Times New Roman" w:cs="Times New Roman"/>
          <w:color w:val="auto"/>
          <w:spacing w:val="0"/>
          <w:position w:val="0"/>
          <w:sz w:val="32"/>
          <w:shd w:val="clear" w:fill="auto"/>
        </w:rPr>
      </w:pPr>
      <w:r>
        <w:rPr>
          <w:rFonts w:ascii="Times New Roman" w:hAnsi="Times New Roman" w:eastAsia="Times New Roman" w:cs="Times New Roman"/>
          <w:color w:val="auto"/>
          <w:spacing w:val="0"/>
          <w:position w:val="0"/>
          <w:sz w:val="30"/>
          <w:shd w:val="clear" w:fill="auto"/>
        </w:rPr>
        <w:t xml:space="preserve">       </w:t>
      </w:r>
      <w:r>
        <w:rPr>
          <w:rFonts w:ascii="宋体" w:hAnsi="宋体" w:eastAsia="宋体" w:cs="宋体"/>
          <w:color w:val="auto"/>
          <w:spacing w:val="0"/>
          <w:position w:val="0"/>
          <w:sz w:val="32"/>
          <w:shd w:val="clear" w:fill="auto"/>
        </w:rPr>
        <w:t>绩效评价标准通常包括计划标准、行业标准、历史标准等，本次项目支出绩效自评采用计划标准，原因是：确保项目的目标明确、可控性强、公平公正、并有助于总结经验教训，为今后的项目提供有益的参考。</w:t>
      </w:r>
    </w:p>
    <w:p w14:paraId="3D7C7D9C">
      <w:pPr>
        <w:keepNext/>
        <w:keepLines/>
        <w:spacing w:before="0" w:after="0" w:line="560" w:lineRule="auto"/>
        <w:ind w:left="0" w:right="0" w:firstLine="640"/>
        <w:jc w:val="both"/>
        <w:rPr>
          <w:rFonts w:ascii="??_GB2312" w:hAnsi="??_GB2312" w:eastAsia="??_GB2312" w:cs="??_GB2312"/>
          <w:color w:val="auto"/>
          <w:spacing w:val="0"/>
          <w:position w:val="0"/>
          <w:sz w:val="32"/>
          <w:shd w:val="clear" w:fill="auto"/>
        </w:rPr>
      </w:pPr>
      <w:r>
        <w:rPr>
          <w:rFonts w:ascii="宋体" w:hAnsi="宋体" w:eastAsia="宋体" w:cs="宋体"/>
          <w:color w:val="auto"/>
          <w:spacing w:val="0"/>
          <w:position w:val="0"/>
          <w:sz w:val="32"/>
          <w:shd w:val="clear" w:fill="auto"/>
        </w:rPr>
        <w:t>（三）绩效评价工作过程。</w:t>
      </w:r>
    </w:p>
    <w:p w14:paraId="77B02898">
      <w:pPr>
        <w:spacing w:before="0" w:after="0" w:line="560" w:lineRule="auto"/>
        <w:ind w:left="0" w:right="0" w:firstLine="640"/>
        <w:jc w:val="both"/>
        <w:rPr>
          <w:rFonts w:ascii="Times New Roman" w:hAnsi="Times New Roman" w:eastAsia="Times New Roman" w:cs="Times New Roman"/>
          <w:color w:val="auto"/>
          <w:spacing w:val="0"/>
          <w:position w:val="0"/>
          <w:sz w:val="32"/>
          <w:shd w:val="clear" w:fill="auto"/>
        </w:rPr>
      </w:pPr>
      <w:r>
        <w:rPr>
          <w:rFonts w:ascii="Times New Roman" w:hAnsi="Times New Roman" w:eastAsia="Times New Roman" w:cs="Times New Roman"/>
          <w:color w:val="auto"/>
          <w:spacing w:val="0"/>
          <w:position w:val="0"/>
          <w:sz w:val="32"/>
          <w:shd w:val="clear" w:fill="auto"/>
        </w:rPr>
        <w:t>1.</w:t>
      </w:r>
      <w:r>
        <w:rPr>
          <w:rFonts w:ascii="宋体" w:hAnsi="宋体" w:eastAsia="宋体" w:cs="宋体"/>
          <w:color w:val="auto"/>
          <w:spacing w:val="0"/>
          <w:position w:val="0"/>
          <w:sz w:val="32"/>
          <w:shd w:val="clear" w:fill="auto"/>
        </w:rPr>
        <w:t>前期准备。首先成立评价工作组，开展前期调研；其次明确项目绩效目标，设计绩效评价指标体系并确定绩效评价方法；接着确定现场和非现场评价范围，设计资料清单；最后制定评价实施方案并进行论证。</w:t>
      </w:r>
    </w:p>
    <w:p w14:paraId="16F37966">
      <w:pPr>
        <w:spacing w:before="0" w:after="0" w:line="560" w:lineRule="auto"/>
        <w:ind w:left="0" w:right="0" w:firstLine="640"/>
        <w:jc w:val="both"/>
        <w:rPr>
          <w:rFonts w:ascii="Times New Roman" w:hAnsi="Times New Roman" w:eastAsia="Times New Roman" w:cs="Times New Roman"/>
          <w:color w:val="auto"/>
          <w:spacing w:val="0"/>
          <w:position w:val="0"/>
          <w:sz w:val="32"/>
          <w:shd w:val="clear" w:fill="auto"/>
        </w:rPr>
      </w:pPr>
      <w:r>
        <w:rPr>
          <w:rFonts w:ascii="Times New Roman" w:hAnsi="Times New Roman" w:eastAsia="Times New Roman" w:cs="Times New Roman"/>
          <w:color w:val="auto"/>
          <w:spacing w:val="0"/>
          <w:position w:val="0"/>
          <w:sz w:val="32"/>
          <w:shd w:val="clear" w:fill="auto"/>
        </w:rPr>
        <w:t>2.</w:t>
      </w:r>
      <w:r>
        <w:rPr>
          <w:rFonts w:ascii="宋体" w:hAnsi="宋体" w:eastAsia="宋体" w:cs="宋体"/>
          <w:color w:val="auto"/>
          <w:spacing w:val="0"/>
          <w:position w:val="0"/>
          <w:sz w:val="32"/>
          <w:shd w:val="clear" w:fill="auto"/>
        </w:rPr>
        <w:t>组织实施。制定绩效评价工作方案，具体包括项目概况、评价思路、方法手段、组织实施、进度安排等。收集项目立项依据、相关会议纪要、实施方案、财政资金分配方案、支付管理情况等相关评价资料并进行梳理。</w:t>
      </w:r>
    </w:p>
    <w:p w14:paraId="63148817">
      <w:pPr>
        <w:spacing w:before="0" w:after="0" w:line="560" w:lineRule="auto"/>
        <w:ind w:left="0" w:right="0" w:firstLine="640"/>
        <w:jc w:val="both"/>
        <w:rPr>
          <w:rFonts w:ascii="Times New Roman" w:hAnsi="Times New Roman" w:eastAsia="Times New Roman" w:cs="Times New Roman"/>
          <w:color w:val="auto"/>
          <w:spacing w:val="0"/>
          <w:position w:val="0"/>
          <w:sz w:val="32"/>
          <w:shd w:val="clear" w:fill="auto"/>
        </w:rPr>
      </w:pPr>
      <w:r>
        <w:rPr>
          <w:rFonts w:ascii="Times New Roman" w:hAnsi="Times New Roman" w:eastAsia="Times New Roman" w:cs="Times New Roman"/>
          <w:color w:val="auto"/>
          <w:spacing w:val="0"/>
          <w:position w:val="0"/>
          <w:sz w:val="32"/>
          <w:shd w:val="clear" w:fill="auto"/>
        </w:rPr>
        <w:t>3.</w:t>
      </w:r>
      <w:r>
        <w:rPr>
          <w:rFonts w:ascii="宋体" w:hAnsi="宋体" w:eastAsia="宋体" w:cs="宋体"/>
          <w:color w:val="auto"/>
          <w:spacing w:val="0"/>
          <w:position w:val="0"/>
          <w:sz w:val="32"/>
          <w:shd w:val="clear" w:fill="auto"/>
        </w:rPr>
        <w:t>分析评价。根据收集梳理的资料围绕项目立项、资金落实、业务管理、财务管理、项目产出、项目效益等内容，对照已确定的绩效评价指标进行详细全面的分析评价，逐项打分并形成绩效评价最终结果。</w:t>
      </w:r>
    </w:p>
    <w:p w14:paraId="1B5633B0">
      <w:pPr>
        <w:spacing w:before="0" w:after="0" w:line="240" w:lineRule="auto"/>
        <w:ind w:left="0" w:right="0" w:firstLine="0"/>
        <w:jc w:val="left"/>
        <w:rPr>
          <w:rFonts w:ascii="Times New Roman" w:hAnsi="Times New Roman" w:eastAsia="Times New Roman" w:cs="Times New Roman"/>
          <w:color w:val="auto"/>
          <w:spacing w:val="0"/>
          <w:position w:val="0"/>
          <w:sz w:val="18"/>
          <w:shd w:val="clear" w:fill="auto"/>
        </w:rPr>
      </w:pPr>
    </w:p>
    <w:p w14:paraId="293922CD">
      <w:pPr>
        <w:keepNext/>
        <w:keepLines/>
        <w:spacing w:before="340" w:after="330" w:line="360" w:lineRule="auto"/>
        <w:ind w:left="0" w:right="0" w:firstLine="0"/>
        <w:jc w:val="both"/>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三、综合评价情况及评价结论</w:t>
      </w:r>
    </w:p>
    <w:p w14:paraId="0471604F">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（一）综合评价情况</w:t>
      </w:r>
    </w:p>
    <w:p w14:paraId="64002066">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本项目严格按照绩效评价原则，采用因素分析评价方法，坚持计划绩效评价标准对本项目的立项、项绩效目标、资金投入、资金管理、组织实施、产出数量、产出质量、产出时效、产出成本、项目效益进行了综合评价。</w:t>
      </w:r>
    </w:p>
    <w:p w14:paraId="7E8A1767">
      <w:pPr>
        <w:spacing w:before="0" w:after="0" w:line="360" w:lineRule="auto"/>
        <w:ind w:left="0" w:right="0" w:firstLine="600"/>
        <w:jc w:val="center"/>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年焉耆县中央重大传染病补助资金分配表（巴财社</w:t>
      </w:r>
      <w:r>
        <w:rPr>
          <w:rFonts w:ascii="Times New Roman" w:hAnsi="Times New Roman" w:eastAsia="Times New Roman" w:cs="Times New Roman"/>
          <w:color w:val="auto"/>
          <w:spacing w:val="0"/>
          <w:position w:val="0"/>
          <w:sz w:val="30"/>
          <w:shd w:val="clear" w:fill="auto"/>
        </w:rPr>
        <w:t>{2022}99</w:t>
      </w:r>
      <w:r>
        <w:rPr>
          <w:rFonts w:ascii="宋体" w:hAnsi="宋体" w:eastAsia="宋体" w:cs="宋体"/>
          <w:color w:val="auto"/>
          <w:spacing w:val="0"/>
          <w:position w:val="0"/>
          <w:sz w:val="30"/>
          <w:shd w:val="clear" w:fill="auto"/>
        </w:rPr>
        <w:t>号项目评价得分情况</w:t>
      </w:r>
    </w:p>
    <w:tbl>
      <w:tblPr>
        <w:tblStyle w:val="2"/>
        <w:tblW w:w="0" w:type="auto"/>
        <w:jc w:val="center"/>
        <w:tblLayout w:type="autofit"/>
        <w:tblCellMar>
          <w:top w:w="0" w:type="dxa"/>
          <w:left w:w="10" w:type="dxa"/>
          <w:bottom w:w="0" w:type="dxa"/>
          <w:right w:w="10" w:type="dxa"/>
        </w:tblCellMar>
      </w:tblPr>
      <w:tblGrid>
        <w:gridCol w:w="3137"/>
        <w:gridCol w:w="2168"/>
        <w:gridCol w:w="2278"/>
      </w:tblGrid>
      <w:tr w14:paraId="53FAC547">
        <w:tblPrEx>
          <w:tblCellMar>
            <w:top w:w="0" w:type="dxa"/>
            <w:left w:w="10" w:type="dxa"/>
            <w:bottom w:w="0" w:type="dxa"/>
            <w:right w:w="10" w:type="dxa"/>
          </w:tblCellMar>
        </w:tblPrEx>
        <w:trPr>
          <w:trHeight w:val="0" w:hRule="atLeast"/>
          <w:jc w:val="center"/>
        </w:trPr>
        <w:tc>
          <w:tcPr>
            <w:tcW w:w="3137" w:type="dxa"/>
            <w:tcBorders>
              <w:top w:val="single" w:color="000000" w:sz="4" w:space="0"/>
              <w:left w:val="single" w:color="000000" w:sz="4" w:space="0"/>
              <w:bottom w:val="single" w:color="000000" w:sz="4" w:space="0"/>
              <w:right w:val="single" w:color="000000" w:sz="4" w:space="0"/>
            </w:tcBorders>
            <w:shd w:val="clear" w:color="000000" w:fill="BEBEBE"/>
            <w:tcMar>
              <w:left w:w="108" w:type="dxa"/>
              <w:right w:w="108" w:type="dxa"/>
            </w:tcMar>
            <w:vAlign w:val="center"/>
          </w:tcPr>
          <w:p w14:paraId="53E142A9">
            <w:pPr>
              <w:spacing w:before="0" w:after="0" w:line="240" w:lineRule="auto"/>
              <w:ind w:left="0" w:right="0" w:firstLine="0"/>
              <w:jc w:val="center"/>
              <w:rPr>
                <w:rFonts w:ascii="宋体" w:hAnsi="宋体" w:eastAsia="宋体" w:cs="宋体"/>
                <w:color w:val="auto"/>
                <w:spacing w:val="0"/>
                <w:position w:val="0"/>
                <w:sz w:val="22"/>
                <w:shd w:val="clear" w:fill="auto"/>
              </w:rPr>
            </w:pPr>
            <w:r>
              <w:rPr>
                <w:rFonts w:ascii="宋体" w:hAnsi="宋体" w:eastAsia="宋体" w:cs="宋体"/>
                <w:b/>
                <w:color w:val="auto"/>
                <w:spacing w:val="0"/>
                <w:position w:val="0"/>
                <w:sz w:val="22"/>
                <w:shd w:val="clear" w:fill="auto"/>
              </w:rPr>
              <w:t>一级指标</w:t>
            </w:r>
          </w:p>
        </w:tc>
        <w:tc>
          <w:tcPr>
            <w:tcW w:w="2168" w:type="dxa"/>
            <w:tcBorders>
              <w:top w:val="single" w:color="000000" w:sz="4" w:space="0"/>
              <w:left w:val="single" w:color="000000" w:sz="0" w:space="0"/>
              <w:bottom w:val="single" w:color="000000" w:sz="4" w:space="0"/>
              <w:right w:val="single" w:color="000000" w:sz="4" w:space="0"/>
            </w:tcBorders>
            <w:shd w:val="clear" w:color="000000" w:fill="BEBEBE"/>
            <w:tcMar>
              <w:left w:w="108" w:type="dxa"/>
              <w:right w:w="108" w:type="dxa"/>
            </w:tcMar>
            <w:vAlign w:val="center"/>
          </w:tcPr>
          <w:p w14:paraId="5480FFBF">
            <w:pPr>
              <w:spacing w:before="0" w:after="0" w:line="240" w:lineRule="auto"/>
              <w:ind w:left="0" w:right="0" w:firstLine="0"/>
              <w:jc w:val="center"/>
              <w:rPr>
                <w:rFonts w:ascii="宋体" w:hAnsi="宋体" w:eastAsia="宋体" w:cs="宋体"/>
                <w:color w:val="auto"/>
                <w:spacing w:val="0"/>
                <w:position w:val="0"/>
                <w:sz w:val="22"/>
                <w:shd w:val="clear" w:fill="auto"/>
              </w:rPr>
            </w:pPr>
            <w:r>
              <w:rPr>
                <w:rFonts w:ascii="宋体" w:hAnsi="宋体" w:eastAsia="宋体" w:cs="宋体"/>
                <w:b/>
                <w:color w:val="auto"/>
                <w:spacing w:val="0"/>
                <w:position w:val="0"/>
                <w:sz w:val="22"/>
                <w:shd w:val="clear" w:fill="auto"/>
              </w:rPr>
              <w:t>权重分</w:t>
            </w:r>
          </w:p>
        </w:tc>
        <w:tc>
          <w:tcPr>
            <w:tcW w:w="2278" w:type="dxa"/>
            <w:tcBorders>
              <w:top w:val="single" w:color="000000" w:sz="4" w:space="0"/>
              <w:left w:val="single" w:color="000000" w:sz="0" w:space="0"/>
              <w:bottom w:val="single" w:color="000000" w:sz="4" w:space="0"/>
              <w:right w:val="single" w:color="000000" w:sz="4" w:space="0"/>
            </w:tcBorders>
            <w:shd w:val="clear" w:color="000000" w:fill="BEBEBE"/>
            <w:tcMar>
              <w:left w:w="108" w:type="dxa"/>
              <w:right w:w="108" w:type="dxa"/>
            </w:tcMar>
            <w:vAlign w:val="center"/>
          </w:tcPr>
          <w:p w14:paraId="04C6CCFB">
            <w:pPr>
              <w:spacing w:before="0" w:after="0" w:line="240" w:lineRule="auto"/>
              <w:ind w:left="0" w:right="0" w:firstLine="0"/>
              <w:jc w:val="center"/>
              <w:rPr>
                <w:rFonts w:ascii="宋体" w:hAnsi="宋体" w:eastAsia="宋体" w:cs="宋体"/>
                <w:color w:val="auto"/>
                <w:spacing w:val="0"/>
                <w:position w:val="0"/>
                <w:sz w:val="22"/>
                <w:shd w:val="clear" w:fill="auto"/>
              </w:rPr>
            </w:pPr>
            <w:r>
              <w:rPr>
                <w:rFonts w:ascii="宋体" w:hAnsi="宋体" w:eastAsia="宋体" w:cs="宋体"/>
                <w:b/>
                <w:color w:val="auto"/>
                <w:spacing w:val="0"/>
                <w:position w:val="0"/>
                <w:sz w:val="22"/>
                <w:shd w:val="clear" w:fill="auto"/>
              </w:rPr>
              <w:t>得分</w:t>
            </w:r>
          </w:p>
        </w:tc>
      </w:tr>
      <w:tr w14:paraId="114A2F75">
        <w:tblPrEx>
          <w:tblCellMar>
            <w:top w:w="0" w:type="dxa"/>
            <w:left w:w="10" w:type="dxa"/>
            <w:bottom w:w="0" w:type="dxa"/>
            <w:right w:w="10" w:type="dxa"/>
          </w:tblCellMar>
        </w:tblPrEx>
        <w:trPr>
          <w:trHeight w:val="0" w:hRule="atLeast"/>
          <w:jc w:val="center"/>
        </w:trPr>
        <w:tc>
          <w:tcPr>
            <w:tcW w:w="3137" w:type="dxa"/>
            <w:tcBorders>
              <w:top w:val="single" w:color="000000" w:sz="0"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662357E1">
            <w:pPr>
              <w:spacing w:before="0" w:after="0" w:line="240" w:lineRule="auto"/>
              <w:ind w:left="0" w:right="0" w:firstLine="0"/>
              <w:jc w:val="center"/>
              <w:rPr>
                <w:rFonts w:ascii="宋体" w:hAnsi="宋体" w:eastAsia="宋体" w:cs="宋体"/>
                <w:color w:val="auto"/>
                <w:spacing w:val="0"/>
                <w:position w:val="0"/>
                <w:sz w:val="22"/>
                <w:shd w:val="clear" w:fill="auto"/>
              </w:rPr>
            </w:pPr>
            <w:r>
              <w:rPr>
                <w:rFonts w:ascii="宋体" w:hAnsi="宋体" w:eastAsia="宋体" w:cs="宋体"/>
                <w:color w:val="auto"/>
                <w:spacing w:val="0"/>
                <w:position w:val="0"/>
                <w:sz w:val="22"/>
                <w:shd w:val="clear" w:fill="auto"/>
              </w:rPr>
              <w:t>项目决策</w:t>
            </w:r>
          </w:p>
        </w:tc>
        <w:tc>
          <w:tcPr>
            <w:tcW w:w="216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00972EAC">
            <w:pPr>
              <w:spacing w:before="0" w:after="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30</w:t>
            </w:r>
          </w:p>
        </w:tc>
        <w:tc>
          <w:tcPr>
            <w:tcW w:w="227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1B59DD0B">
            <w:pPr>
              <w:spacing w:before="0" w:after="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30</w:t>
            </w:r>
          </w:p>
        </w:tc>
      </w:tr>
      <w:tr w14:paraId="2BC353E5">
        <w:tblPrEx>
          <w:tblCellMar>
            <w:top w:w="0" w:type="dxa"/>
            <w:left w:w="10" w:type="dxa"/>
            <w:bottom w:w="0" w:type="dxa"/>
            <w:right w:w="10" w:type="dxa"/>
          </w:tblCellMar>
        </w:tblPrEx>
        <w:trPr>
          <w:trHeight w:val="0" w:hRule="atLeast"/>
          <w:jc w:val="center"/>
        </w:trPr>
        <w:tc>
          <w:tcPr>
            <w:tcW w:w="3137" w:type="dxa"/>
            <w:tcBorders>
              <w:top w:val="single" w:color="000000" w:sz="0"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1D4ED85C">
            <w:pPr>
              <w:spacing w:before="0" w:after="0" w:line="240" w:lineRule="auto"/>
              <w:ind w:left="0" w:right="0" w:firstLine="0"/>
              <w:jc w:val="center"/>
              <w:rPr>
                <w:rFonts w:ascii="宋体" w:hAnsi="宋体" w:eastAsia="宋体" w:cs="宋体"/>
                <w:color w:val="auto"/>
                <w:spacing w:val="0"/>
                <w:position w:val="0"/>
                <w:sz w:val="22"/>
                <w:shd w:val="clear" w:fill="auto"/>
              </w:rPr>
            </w:pPr>
            <w:r>
              <w:rPr>
                <w:rFonts w:ascii="宋体" w:hAnsi="宋体" w:eastAsia="宋体" w:cs="宋体"/>
                <w:color w:val="auto"/>
                <w:spacing w:val="0"/>
                <w:position w:val="0"/>
                <w:sz w:val="22"/>
                <w:shd w:val="clear" w:fill="auto"/>
              </w:rPr>
              <w:t>项目过程</w:t>
            </w:r>
          </w:p>
        </w:tc>
        <w:tc>
          <w:tcPr>
            <w:tcW w:w="216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1A93B9A3">
            <w:pPr>
              <w:spacing w:before="0" w:after="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30</w:t>
            </w:r>
          </w:p>
        </w:tc>
        <w:tc>
          <w:tcPr>
            <w:tcW w:w="227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1B613146">
            <w:pPr>
              <w:spacing w:before="0" w:after="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30</w:t>
            </w:r>
          </w:p>
        </w:tc>
      </w:tr>
      <w:tr w14:paraId="2676E720">
        <w:tblPrEx>
          <w:tblCellMar>
            <w:top w:w="0" w:type="dxa"/>
            <w:left w:w="10" w:type="dxa"/>
            <w:bottom w:w="0" w:type="dxa"/>
            <w:right w:w="10" w:type="dxa"/>
          </w:tblCellMar>
        </w:tblPrEx>
        <w:trPr>
          <w:trHeight w:val="0" w:hRule="atLeast"/>
          <w:jc w:val="center"/>
        </w:trPr>
        <w:tc>
          <w:tcPr>
            <w:tcW w:w="3137" w:type="dxa"/>
            <w:tcBorders>
              <w:top w:val="single" w:color="000000" w:sz="0"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E9D5ED9">
            <w:pPr>
              <w:spacing w:before="0" w:after="0" w:line="240" w:lineRule="auto"/>
              <w:ind w:left="0" w:right="0" w:firstLine="0"/>
              <w:jc w:val="center"/>
              <w:rPr>
                <w:rFonts w:ascii="宋体" w:hAnsi="宋体" w:eastAsia="宋体" w:cs="宋体"/>
                <w:color w:val="auto"/>
                <w:spacing w:val="0"/>
                <w:position w:val="0"/>
                <w:sz w:val="22"/>
                <w:shd w:val="clear" w:fill="auto"/>
              </w:rPr>
            </w:pPr>
            <w:r>
              <w:rPr>
                <w:rFonts w:ascii="宋体" w:hAnsi="宋体" w:eastAsia="宋体" w:cs="宋体"/>
                <w:color w:val="auto"/>
                <w:spacing w:val="0"/>
                <w:position w:val="0"/>
                <w:sz w:val="22"/>
                <w:shd w:val="clear" w:fill="auto"/>
              </w:rPr>
              <w:t>项目产出</w:t>
            </w:r>
          </w:p>
        </w:tc>
        <w:tc>
          <w:tcPr>
            <w:tcW w:w="216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3825580D">
            <w:pPr>
              <w:spacing w:before="0" w:after="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20</w:t>
            </w:r>
          </w:p>
        </w:tc>
        <w:tc>
          <w:tcPr>
            <w:tcW w:w="227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02BE50B8">
            <w:pPr>
              <w:spacing w:before="0" w:after="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20</w:t>
            </w:r>
          </w:p>
        </w:tc>
      </w:tr>
      <w:tr w14:paraId="7418D8A1">
        <w:tblPrEx>
          <w:tblCellMar>
            <w:top w:w="0" w:type="dxa"/>
            <w:left w:w="10" w:type="dxa"/>
            <w:bottom w:w="0" w:type="dxa"/>
            <w:right w:w="10" w:type="dxa"/>
          </w:tblCellMar>
        </w:tblPrEx>
        <w:trPr>
          <w:trHeight w:val="0" w:hRule="atLeast"/>
          <w:jc w:val="center"/>
        </w:trPr>
        <w:tc>
          <w:tcPr>
            <w:tcW w:w="3137" w:type="dxa"/>
            <w:tcBorders>
              <w:top w:val="single" w:color="000000" w:sz="0"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ECBF9CF">
            <w:pPr>
              <w:spacing w:before="0" w:after="0" w:line="240" w:lineRule="auto"/>
              <w:ind w:left="0" w:right="0" w:firstLine="0"/>
              <w:jc w:val="center"/>
              <w:rPr>
                <w:rFonts w:ascii="宋体" w:hAnsi="宋体" w:eastAsia="宋体" w:cs="宋体"/>
                <w:color w:val="auto"/>
                <w:spacing w:val="0"/>
                <w:position w:val="0"/>
                <w:sz w:val="22"/>
                <w:shd w:val="clear" w:fill="auto"/>
              </w:rPr>
            </w:pPr>
            <w:r>
              <w:rPr>
                <w:rFonts w:ascii="宋体" w:hAnsi="宋体" w:eastAsia="宋体" w:cs="宋体"/>
                <w:color w:val="auto"/>
                <w:spacing w:val="0"/>
                <w:position w:val="0"/>
                <w:sz w:val="22"/>
                <w:shd w:val="clear" w:fill="auto"/>
              </w:rPr>
              <w:t>项目效益</w:t>
            </w:r>
          </w:p>
        </w:tc>
        <w:tc>
          <w:tcPr>
            <w:tcW w:w="216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374A7CB6">
            <w:pPr>
              <w:spacing w:before="0" w:after="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20</w:t>
            </w:r>
          </w:p>
        </w:tc>
        <w:tc>
          <w:tcPr>
            <w:tcW w:w="227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7E12FE74">
            <w:pPr>
              <w:spacing w:before="0" w:after="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20</w:t>
            </w:r>
          </w:p>
        </w:tc>
      </w:tr>
      <w:tr w14:paraId="33A3D355">
        <w:tblPrEx>
          <w:tblCellMar>
            <w:top w:w="0" w:type="dxa"/>
            <w:left w:w="10" w:type="dxa"/>
            <w:bottom w:w="0" w:type="dxa"/>
            <w:right w:w="10" w:type="dxa"/>
          </w:tblCellMar>
        </w:tblPrEx>
        <w:trPr>
          <w:trHeight w:val="0" w:hRule="atLeast"/>
          <w:jc w:val="center"/>
        </w:trPr>
        <w:tc>
          <w:tcPr>
            <w:tcW w:w="3137" w:type="dxa"/>
            <w:tcBorders>
              <w:top w:val="single" w:color="000000" w:sz="0"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33C203DC">
            <w:pPr>
              <w:spacing w:before="0" w:after="0" w:line="240" w:lineRule="auto"/>
              <w:ind w:left="0" w:right="0" w:firstLine="0"/>
              <w:jc w:val="center"/>
              <w:rPr>
                <w:rFonts w:ascii="宋体" w:hAnsi="宋体" w:eastAsia="宋体" w:cs="宋体"/>
                <w:color w:val="auto"/>
                <w:spacing w:val="0"/>
                <w:position w:val="0"/>
                <w:sz w:val="22"/>
                <w:shd w:val="clear" w:fill="auto"/>
              </w:rPr>
            </w:pPr>
            <w:r>
              <w:rPr>
                <w:rFonts w:ascii="宋体" w:hAnsi="宋体" w:eastAsia="宋体" w:cs="宋体"/>
                <w:b/>
                <w:color w:val="auto"/>
                <w:spacing w:val="0"/>
                <w:position w:val="0"/>
                <w:sz w:val="22"/>
                <w:shd w:val="clear" w:fill="auto"/>
              </w:rPr>
              <w:t>合计</w:t>
            </w:r>
          </w:p>
        </w:tc>
        <w:tc>
          <w:tcPr>
            <w:tcW w:w="216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5305C647">
            <w:pPr>
              <w:spacing w:before="0" w:after="0" w:line="240" w:lineRule="auto"/>
              <w:ind w:left="0" w:right="0" w:firstLine="0"/>
              <w:jc w:val="center"/>
              <w:rPr>
                <w:color w:val="auto"/>
                <w:spacing w:val="0"/>
                <w:position w:val="0"/>
                <w:sz w:val="22"/>
                <w:shd w:val="clear" w:fill="auto"/>
              </w:rPr>
            </w:pPr>
            <w:r>
              <w:rPr>
                <w:rFonts w:ascii="Times New Roman" w:hAnsi="Times New Roman" w:eastAsia="Times New Roman" w:cs="Times New Roman"/>
                <w:b/>
                <w:color w:val="auto"/>
                <w:spacing w:val="0"/>
                <w:position w:val="0"/>
                <w:sz w:val="22"/>
                <w:shd w:val="clear" w:fill="auto"/>
              </w:rPr>
              <w:t>100</w:t>
            </w:r>
          </w:p>
        </w:tc>
        <w:tc>
          <w:tcPr>
            <w:tcW w:w="227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518B31C1">
            <w:pPr>
              <w:spacing w:before="0" w:after="0" w:line="240" w:lineRule="auto"/>
              <w:ind w:left="0" w:right="0" w:firstLine="0"/>
              <w:jc w:val="center"/>
              <w:rPr>
                <w:color w:val="auto"/>
                <w:spacing w:val="0"/>
                <w:position w:val="0"/>
                <w:sz w:val="22"/>
                <w:shd w:val="clear" w:fill="auto"/>
              </w:rPr>
            </w:pPr>
            <w:r>
              <w:rPr>
                <w:rFonts w:ascii="Times New Roman" w:hAnsi="Times New Roman" w:eastAsia="Times New Roman" w:cs="Times New Roman"/>
                <w:b/>
                <w:color w:val="auto"/>
                <w:spacing w:val="0"/>
                <w:position w:val="0"/>
                <w:sz w:val="22"/>
                <w:shd w:val="clear" w:fill="auto"/>
              </w:rPr>
              <w:t>100</w:t>
            </w:r>
          </w:p>
        </w:tc>
      </w:tr>
    </w:tbl>
    <w:p w14:paraId="39AB83DF">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（二）评价结论</w:t>
      </w:r>
    </w:p>
    <w:p w14:paraId="639D9A05">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本项目的项目决策、项目过程、项目产出、项目效益均达到了预期要求，最终得分为</w:t>
      </w:r>
      <w:r>
        <w:rPr>
          <w:rFonts w:ascii="Times New Roman" w:hAnsi="Times New Roman" w:eastAsia="Times New Roman" w:cs="Times New Roman"/>
          <w:color w:val="auto"/>
          <w:spacing w:val="0"/>
          <w:position w:val="0"/>
          <w:sz w:val="30"/>
          <w:shd w:val="clear" w:fill="auto"/>
        </w:rPr>
        <w:t>100</w:t>
      </w:r>
      <w:r>
        <w:rPr>
          <w:rFonts w:ascii="宋体" w:hAnsi="宋体" w:eastAsia="宋体" w:cs="宋体"/>
          <w:color w:val="auto"/>
          <w:spacing w:val="0"/>
          <w:position w:val="0"/>
          <w:sz w:val="30"/>
          <w:shd w:val="clear" w:fill="auto"/>
        </w:rPr>
        <w:t>分，项目达成年度指标。</w:t>
      </w:r>
    </w:p>
    <w:p w14:paraId="448545F0">
      <w:pPr>
        <w:keepNext/>
        <w:keepLines/>
        <w:spacing w:before="340" w:after="330" w:line="360" w:lineRule="auto"/>
        <w:ind w:left="0" w:right="0" w:firstLine="0"/>
        <w:jc w:val="both"/>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四、绩效评价指标分析</w:t>
      </w:r>
    </w:p>
    <w:p w14:paraId="7CA2EB2D">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（一）项目决策情况。</w:t>
      </w:r>
    </w:p>
    <w:p w14:paraId="0246DCFA">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、立项依据充分性</w:t>
      </w:r>
    </w:p>
    <w:p w14:paraId="2E214CBB">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年焉耆县中央重大传染病补助资金分配表（巴财社</w:t>
      </w:r>
      <w:r>
        <w:rPr>
          <w:rFonts w:ascii="Times New Roman" w:hAnsi="Times New Roman" w:eastAsia="Times New Roman" w:cs="Times New Roman"/>
          <w:color w:val="auto"/>
          <w:spacing w:val="0"/>
          <w:position w:val="0"/>
          <w:sz w:val="30"/>
          <w:shd w:val="clear" w:fill="auto"/>
        </w:rPr>
        <w:t>{2022}99</w:t>
      </w:r>
      <w:r>
        <w:rPr>
          <w:rFonts w:ascii="宋体" w:hAnsi="宋体" w:eastAsia="宋体" w:cs="宋体"/>
          <w:color w:val="auto"/>
          <w:spacing w:val="0"/>
          <w:position w:val="0"/>
          <w:sz w:val="30"/>
          <w:shd w:val="clear" w:fill="auto"/>
        </w:rPr>
        <w:t>号项目立项符合国家法律法规、国民经济发展规划和相关政策；项目立项符合行业发展规划和政策要求</w:t>
      </w:r>
      <w:r>
        <w:rPr>
          <w:rFonts w:ascii="宋体" w:hAnsi="宋体" w:eastAsia="宋体" w:cs="宋体"/>
          <w:color w:val="FF0000"/>
          <w:spacing w:val="0"/>
          <w:position w:val="0"/>
          <w:sz w:val="30"/>
          <w:shd w:val="clear" w:fill="auto"/>
        </w:rPr>
        <w:t>；</w:t>
      </w:r>
      <w:r>
        <w:rPr>
          <w:rFonts w:ascii="宋体" w:hAnsi="宋体" w:eastAsia="宋体" w:cs="宋体"/>
          <w:color w:val="auto"/>
          <w:spacing w:val="0"/>
          <w:position w:val="0"/>
          <w:sz w:val="30"/>
          <w:shd w:val="clear" w:fill="auto"/>
        </w:rPr>
        <w:t>项目立项与部门职责范围相符，属于部门履职所需；项目属于公共财政支持范围，符合中央、地方事权支出责任划分原则；项目与相关部门同类项目或部门内部相关项目重复。</w:t>
      </w:r>
    </w:p>
    <w:p w14:paraId="15EA304E">
      <w:pPr>
        <w:spacing w:before="0" w:after="0" w:line="360" w:lineRule="auto"/>
        <w:ind w:left="0" w:right="0" w:firstLine="600"/>
        <w:jc w:val="both"/>
        <w:rPr>
          <w:rFonts w:ascii="Times New Roman" w:hAnsi="Times New Roman" w:eastAsia="Times New Roman" w:cs="Times New Roman"/>
          <w:color w:val="FF0000"/>
          <w:spacing w:val="0"/>
          <w:position w:val="0"/>
          <w:sz w:val="30"/>
          <w:shd w:val="clear" w:fill="auto"/>
        </w:rPr>
      </w:pPr>
      <w:r>
        <w:rPr>
          <w:rFonts w:ascii="宋体" w:hAnsi="宋体" w:eastAsia="宋体" w:cs="宋体"/>
          <w:color w:val="auto"/>
          <w:spacing w:val="0"/>
          <w:position w:val="0"/>
          <w:sz w:val="30"/>
          <w:shd w:val="clear" w:fill="auto"/>
        </w:rPr>
        <w:t>项目立项依据《</w:t>
      </w: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年焉耆县中央重大传染病补助资金分配表（巴财社</w:t>
      </w:r>
      <w:r>
        <w:rPr>
          <w:rFonts w:ascii="Times New Roman" w:hAnsi="Times New Roman" w:eastAsia="Times New Roman" w:cs="Times New Roman"/>
          <w:color w:val="auto"/>
          <w:spacing w:val="0"/>
          <w:position w:val="0"/>
          <w:sz w:val="30"/>
          <w:shd w:val="clear" w:fill="auto"/>
        </w:rPr>
        <w:t>{2022}99</w:t>
      </w:r>
      <w:r>
        <w:rPr>
          <w:rFonts w:ascii="宋体" w:hAnsi="宋体" w:eastAsia="宋体" w:cs="宋体"/>
          <w:color w:val="auto"/>
          <w:spacing w:val="0"/>
          <w:position w:val="0"/>
          <w:sz w:val="30"/>
          <w:shd w:val="clear" w:fill="auto"/>
        </w:rPr>
        <w:t>号项目》。</w:t>
      </w:r>
    </w:p>
    <w:p w14:paraId="73CC0E1E">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w:t>
      </w:r>
      <w:r>
        <w:rPr>
          <w:rFonts w:ascii="宋体" w:hAnsi="宋体" w:eastAsia="宋体" w:cs="宋体"/>
          <w:color w:val="auto"/>
          <w:spacing w:val="0"/>
          <w:position w:val="0"/>
          <w:sz w:val="30"/>
          <w:shd w:val="clear" w:fill="auto"/>
        </w:rPr>
        <w:t>、立项程序规范性</w:t>
      </w:r>
    </w:p>
    <w:p w14:paraId="176816F5">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年焉耆县中央重大传染病补助资金分配表（巴财社</w:t>
      </w:r>
      <w:r>
        <w:rPr>
          <w:rFonts w:ascii="Times New Roman" w:hAnsi="Times New Roman" w:eastAsia="Times New Roman" w:cs="Times New Roman"/>
          <w:color w:val="auto"/>
          <w:spacing w:val="0"/>
          <w:position w:val="0"/>
          <w:sz w:val="30"/>
          <w:shd w:val="clear" w:fill="auto"/>
        </w:rPr>
        <w:t>{2022}99</w:t>
      </w:r>
      <w:r>
        <w:rPr>
          <w:rFonts w:ascii="宋体" w:hAnsi="宋体" w:eastAsia="宋体" w:cs="宋体"/>
          <w:color w:val="auto"/>
          <w:spacing w:val="0"/>
          <w:position w:val="0"/>
          <w:sz w:val="30"/>
          <w:shd w:val="clear" w:fill="auto"/>
        </w:rPr>
        <w:t>号项目按照规定的程序申请设立；审批文件、材料符合相关要求；事前已经过必要的可行性研究、专家论证、风险评估、绩效评估、集体决策。</w:t>
      </w:r>
    </w:p>
    <w:p w14:paraId="45B9A1BB">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3</w:t>
      </w:r>
      <w:r>
        <w:rPr>
          <w:rFonts w:ascii="宋体" w:hAnsi="宋体" w:eastAsia="宋体" w:cs="宋体"/>
          <w:color w:val="auto"/>
          <w:spacing w:val="0"/>
          <w:position w:val="0"/>
          <w:sz w:val="30"/>
          <w:shd w:val="clear" w:fill="auto"/>
        </w:rPr>
        <w:t>、绩效目标合理性</w:t>
      </w:r>
    </w:p>
    <w:p w14:paraId="182A97E9">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年焉耆县中央重大传染病补助资金分配表（巴财社</w:t>
      </w:r>
      <w:r>
        <w:rPr>
          <w:rFonts w:ascii="Times New Roman" w:hAnsi="Times New Roman" w:eastAsia="Times New Roman" w:cs="Times New Roman"/>
          <w:color w:val="auto"/>
          <w:spacing w:val="0"/>
          <w:position w:val="0"/>
          <w:sz w:val="30"/>
          <w:shd w:val="clear" w:fill="auto"/>
        </w:rPr>
        <w:t>{2022}99</w:t>
      </w:r>
      <w:r>
        <w:rPr>
          <w:rFonts w:ascii="宋体" w:hAnsi="宋体" w:eastAsia="宋体" w:cs="宋体"/>
          <w:color w:val="auto"/>
          <w:spacing w:val="0"/>
          <w:position w:val="0"/>
          <w:sz w:val="30"/>
          <w:shd w:val="clear" w:fill="auto"/>
        </w:rPr>
        <w:t>号项目有绩效目标；项目绩效目标与实际工作内容具有相关性；项目预期产出效益和效果符合正常的业绩水平；与预算确定的项目投资额相匹配。</w:t>
      </w:r>
    </w:p>
    <w:p w14:paraId="528D5CD5">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项目设立了项目绩效目标，与</w:t>
      </w:r>
      <w:r>
        <w:rPr>
          <w:rFonts w:ascii="宋体" w:hAnsi="宋体" w:eastAsia="宋体" w:cs="宋体"/>
          <w:color w:val="auto"/>
          <w:spacing w:val="0"/>
          <w:position w:val="0"/>
          <w:sz w:val="24"/>
          <w:shd w:val="clear" w:fill="auto"/>
        </w:rPr>
        <w:t>基本公卫</w:t>
      </w:r>
      <w:r>
        <w:rPr>
          <w:rFonts w:ascii="宋体" w:hAnsi="宋体" w:eastAsia="宋体" w:cs="宋体"/>
          <w:color w:val="auto"/>
          <w:spacing w:val="0"/>
          <w:position w:val="0"/>
          <w:sz w:val="30"/>
          <w:shd w:val="clear" w:fill="auto"/>
        </w:rPr>
        <w:t>具有相关性，项目的预期产出效益和效果也均能符合正常的业绩水平，并且与预算确定的项目投资额或资金量相匹配。</w:t>
      </w:r>
    </w:p>
    <w:p w14:paraId="0DF80AFF">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4</w:t>
      </w:r>
      <w:r>
        <w:rPr>
          <w:rFonts w:ascii="宋体" w:hAnsi="宋体" w:eastAsia="宋体" w:cs="宋体"/>
          <w:color w:val="auto"/>
          <w:spacing w:val="0"/>
          <w:position w:val="0"/>
          <w:sz w:val="30"/>
          <w:shd w:val="clear" w:fill="auto"/>
        </w:rPr>
        <w:t>、绩效指标明确性</w:t>
      </w:r>
    </w:p>
    <w:p w14:paraId="0F446BBB">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年焉耆县中央重大传染病补助资金分配表（巴财社</w:t>
      </w:r>
      <w:r>
        <w:rPr>
          <w:rFonts w:ascii="Times New Roman" w:hAnsi="Times New Roman" w:eastAsia="Times New Roman" w:cs="Times New Roman"/>
          <w:color w:val="auto"/>
          <w:spacing w:val="0"/>
          <w:position w:val="0"/>
          <w:sz w:val="30"/>
          <w:shd w:val="clear" w:fill="auto"/>
        </w:rPr>
        <w:t>{2022}99</w:t>
      </w:r>
      <w:r>
        <w:rPr>
          <w:rFonts w:ascii="宋体" w:hAnsi="宋体" w:eastAsia="宋体" w:cs="宋体"/>
          <w:color w:val="auto"/>
          <w:spacing w:val="0"/>
          <w:position w:val="0"/>
          <w:sz w:val="30"/>
          <w:shd w:val="clear" w:fill="auto"/>
        </w:rPr>
        <w:t>号项目将项目绩效目标细化分解为具体的绩效指标；通过清晰、可衡量的指标值予以体现；与项目目标任务数或计划数相对应。</w:t>
      </w:r>
    </w:p>
    <w:p w14:paraId="5D0513B6">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年项目将项目绩效目标细化分解为具体的绩效指标，一级指标共</w:t>
      </w:r>
      <w:r>
        <w:rPr>
          <w:rFonts w:ascii="Times New Roman" w:hAnsi="Times New Roman" w:eastAsia="Times New Roman" w:cs="Times New Roman"/>
          <w:color w:val="auto"/>
          <w:spacing w:val="0"/>
          <w:position w:val="0"/>
          <w:sz w:val="30"/>
          <w:shd w:val="clear" w:fill="auto"/>
        </w:rPr>
        <w:t>4</w:t>
      </w:r>
      <w:r>
        <w:rPr>
          <w:rFonts w:ascii="宋体" w:hAnsi="宋体" w:eastAsia="宋体" w:cs="宋体"/>
          <w:color w:val="auto"/>
          <w:spacing w:val="0"/>
          <w:position w:val="0"/>
          <w:sz w:val="30"/>
          <w:shd w:val="clear" w:fill="auto"/>
        </w:rPr>
        <w:t>条，二级指标共</w:t>
      </w:r>
      <w:r>
        <w:rPr>
          <w:rFonts w:ascii="Times New Roman" w:hAnsi="Times New Roman" w:eastAsia="Times New Roman" w:cs="Times New Roman"/>
          <w:color w:val="auto"/>
          <w:spacing w:val="0"/>
          <w:position w:val="0"/>
          <w:sz w:val="30"/>
          <w:shd w:val="clear" w:fill="auto"/>
        </w:rPr>
        <w:t>6</w:t>
      </w:r>
      <w:r>
        <w:rPr>
          <w:rFonts w:ascii="宋体" w:hAnsi="宋体" w:eastAsia="宋体" w:cs="宋体"/>
          <w:color w:val="auto"/>
          <w:spacing w:val="0"/>
          <w:position w:val="0"/>
          <w:sz w:val="30"/>
          <w:shd w:val="clear" w:fill="auto"/>
        </w:rPr>
        <w:t>条，三级指标共</w:t>
      </w:r>
      <w:r>
        <w:rPr>
          <w:rFonts w:ascii="Times New Roman" w:hAnsi="Times New Roman" w:eastAsia="Times New Roman" w:cs="Times New Roman"/>
          <w:color w:val="auto"/>
          <w:spacing w:val="0"/>
          <w:position w:val="0"/>
          <w:sz w:val="30"/>
          <w:shd w:val="clear" w:fill="auto"/>
        </w:rPr>
        <w:t>7</w:t>
      </w:r>
      <w:r>
        <w:rPr>
          <w:rFonts w:ascii="宋体" w:hAnsi="宋体" w:eastAsia="宋体" w:cs="宋体"/>
          <w:color w:val="auto"/>
          <w:spacing w:val="0"/>
          <w:position w:val="0"/>
          <w:sz w:val="30"/>
          <w:shd w:val="clear" w:fill="auto"/>
        </w:rPr>
        <w:t>条，其中量化指标条数共</w:t>
      </w:r>
      <w:r>
        <w:rPr>
          <w:rFonts w:ascii="Times New Roman" w:hAnsi="Times New Roman" w:eastAsia="Times New Roman" w:cs="Times New Roman"/>
          <w:color w:val="auto"/>
          <w:spacing w:val="0"/>
          <w:position w:val="0"/>
          <w:sz w:val="30"/>
          <w:shd w:val="clear" w:fill="auto"/>
        </w:rPr>
        <w:t>7</w:t>
      </w:r>
      <w:r>
        <w:rPr>
          <w:rFonts w:ascii="宋体" w:hAnsi="宋体" w:eastAsia="宋体" w:cs="宋体"/>
          <w:color w:val="auto"/>
          <w:spacing w:val="0"/>
          <w:position w:val="0"/>
          <w:sz w:val="30"/>
          <w:shd w:val="clear" w:fill="auto"/>
        </w:rPr>
        <w:t>条，所有绩效指标均通过清晰、可衡量的指标值予以体现，并且做到了与项目目标任务数或计划数相对应。</w:t>
      </w:r>
    </w:p>
    <w:p w14:paraId="47059CD6">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5</w:t>
      </w:r>
      <w:r>
        <w:rPr>
          <w:rFonts w:ascii="宋体" w:hAnsi="宋体" w:eastAsia="宋体" w:cs="宋体"/>
          <w:color w:val="auto"/>
          <w:spacing w:val="0"/>
          <w:position w:val="0"/>
          <w:sz w:val="30"/>
          <w:shd w:val="clear" w:fill="auto"/>
        </w:rPr>
        <w:t>、预算编制科学性</w:t>
      </w:r>
    </w:p>
    <w:p w14:paraId="7071F7DF">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年焉耆县中央重大传染病补助资金分配表（巴财社</w:t>
      </w:r>
      <w:r>
        <w:rPr>
          <w:rFonts w:ascii="Times New Roman" w:hAnsi="Times New Roman" w:eastAsia="Times New Roman" w:cs="Times New Roman"/>
          <w:color w:val="auto"/>
          <w:spacing w:val="0"/>
          <w:position w:val="0"/>
          <w:sz w:val="30"/>
          <w:shd w:val="clear" w:fill="auto"/>
        </w:rPr>
        <w:t>{2022}99</w:t>
      </w:r>
      <w:r>
        <w:rPr>
          <w:rFonts w:ascii="宋体" w:hAnsi="宋体" w:eastAsia="宋体" w:cs="宋体"/>
          <w:color w:val="auto"/>
          <w:spacing w:val="0"/>
          <w:position w:val="0"/>
          <w:sz w:val="30"/>
          <w:shd w:val="clear" w:fill="auto"/>
        </w:rPr>
        <w:t>号项目预算编制经过科学论证；预算内容与项目内容匹配；预算额度测算依据充分，按照标准编制；预算确定的项目投资额或资金量与工作任务相匹配。</w:t>
      </w:r>
    </w:p>
    <w:p w14:paraId="15E3F64B">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（二）项目过程情况。</w:t>
      </w:r>
    </w:p>
    <w:p w14:paraId="35CD3AEA">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、资金到位率：</w:t>
      </w:r>
    </w:p>
    <w:p w14:paraId="2F584506">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实际到位资金</w:t>
      </w:r>
      <w:r>
        <w:rPr>
          <w:rFonts w:ascii="Times New Roman" w:hAnsi="Times New Roman" w:eastAsia="Times New Roman" w:cs="Times New Roman"/>
          <w:color w:val="auto"/>
          <w:spacing w:val="0"/>
          <w:position w:val="0"/>
          <w:sz w:val="30"/>
          <w:shd w:val="clear" w:fill="auto"/>
        </w:rPr>
        <w:t>11.94</w:t>
      </w:r>
      <w:r>
        <w:rPr>
          <w:rFonts w:ascii="宋体" w:hAnsi="宋体" w:eastAsia="宋体" w:cs="宋体"/>
          <w:color w:val="auto"/>
          <w:spacing w:val="0"/>
          <w:position w:val="0"/>
          <w:sz w:val="30"/>
          <w:shd w:val="clear" w:fill="auto"/>
        </w:rPr>
        <w:t>万元，预算资金</w:t>
      </w:r>
      <w:r>
        <w:rPr>
          <w:rFonts w:ascii="Times New Roman" w:hAnsi="Times New Roman" w:eastAsia="Times New Roman" w:cs="Times New Roman"/>
          <w:color w:val="auto"/>
          <w:spacing w:val="0"/>
          <w:position w:val="0"/>
          <w:sz w:val="30"/>
          <w:shd w:val="clear" w:fill="auto"/>
        </w:rPr>
        <w:t xml:space="preserve"> 11.94</w:t>
      </w:r>
      <w:r>
        <w:rPr>
          <w:rFonts w:ascii="宋体" w:hAnsi="宋体" w:eastAsia="宋体" w:cs="宋体"/>
          <w:color w:val="auto"/>
          <w:spacing w:val="0"/>
          <w:position w:val="0"/>
          <w:sz w:val="30"/>
          <w:shd w:val="clear" w:fill="auto"/>
        </w:rPr>
        <w:t>万元，资金到位率</w:t>
      </w:r>
      <w:r>
        <w:rPr>
          <w:rFonts w:ascii="Times New Roman" w:hAnsi="Times New Roman" w:eastAsia="Times New Roman" w:cs="Times New Roman"/>
          <w:color w:val="auto"/>
          <w:spacing w:val="0"/>
          <w:position w:val="0"/>
          <w:sz w:val="30"/>
          <w:shd w:val="clear" w:fill="auto"/>
        </w:rPr>
        <w:t>100%</w:t>
      </w:r>
      <w:r>
        <w:rPr>
          <w:rFonts w:ascii="宋体" w:hAnsi="宋体" w:eastAsia="宋体" w:cs="宋体"/>
          <w:color w:val="auto"/>
          <w:spacing w:val="0"/>
          <w:position w:val="0"/>
          <w:sz w:val="30"/>
          <w:shd w:val="clear" w:fill="auto"/>
        </w:rPr>
        <w:t>。</w:t>
      </w:r>
    </w:p>
    <w:p w14:paraId="7CF1A6CB">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w:t>
      </w:r>
      <w:r>
        <w:rPr>
          <w:rFonts w:ascii="宋体" w:hAnsi="宋体" w:eastAsia="宋体" w:cs="宋体"/>
          <w:color w:val="auto"/>
          <w:spacing w:val="0"/>
          <w:position w:val="0"/>
          <w:sz w:val="30"/>
          <w:shd w:val="clear" w:fill="auto"/>
        </w:rPr>
        <w:t>、预算执行率</w:t>
      </w:r>
    </w:p>
    <w:p w14:paraId="2D7B47E2">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年初预算数</w:t>
      </w:r>
      <w:r>
        <w:rPr>
          <w:rFonts w:ascii="Times New Roman" w:hAnsi="Times New Roman" w:eastAsia="Times New Roman" w:cs="Times New Roman"/>
          <w:color w:val="auto"/>
          <w:spacing w:val="0"/>
          <w:position w:val="0"/>
          <w:sz w:val="30"/>
          <w:shd w:val="clear" w:fill="auto"/>
        </w:rPr>
        <w:t>0</w:t>
      </w:r>
      <w:r>
        <w:rPr>
          <w:rFonts w:ascii="宋体" w:hAnsi="宋体" w:eastAsia="宋体" w:cs="宋体"/>
          <w:color w:val="auto"/>
          <w:spacing w:val="0"/>
          <w:position w:val="0"/>
          <w:sz w:val="30"/>
          <w:shd w:val="clear" w:fill="auto"/>
        </w:rPr>
        <w:t>万元，全年预算数</w:t>
      </w:r>
      <w:r>
        <w:rPr>
          <w:rFonts w:ascii="Times New Roman" w:hAnsi="Times New Roman" w:eastAsia="Times New Roman" w:cs="Times New Roman"/>
          <w:color w:val="auto"/>
          <w:spacing w:val="0"/>
          <w:position w:val="0"/>
          <w:sz w:val="30"/>
          <w:shd w:val="clear" w:fill="auto"/>
        </w:rPr>
        <w:t>11.94</w:t>
      </w:r>
      <w:r>
        <w:rPr>
          <w:rFonts w:ascii="宋体" w:hAnsi="宋体" w:eastAsia="宋体" w:cs="宋体"/>
          <w:color w:val="auto"/>
          <w:spacing w:val="0"/>
          <w:position w:val="0"/>
          <w:sz w:val="30"/>
          <w:shd w:val="clear" w:fill="auto"/>
        </w:rPr>
        <w:t>万元，全年执行数</w:t>
      </w:r>
      <w:r>
        <w:rPr>
          <w:rFonts w:ascii="Times New Roman" w:hAnsi="Times New Roman" w:eastAsia="Times New Roman" w:cs="Times New Roman"/>
          <w:color w:val="auto"/>
          <w:spacing w:val="0"/>
          <w:position w:val="0"/>
          <w:sz w:val="30"/>
          <w:shd w:val="clear" w:fill="auto"/>
        </w:rPr>
        <w:t>11.94</w:t>
      </w:r>
      <w:r>
        <w:rPr>
          <w:rFonts w:ascii="宋体" w:hAnsi="宋体" w:eastAsia="宋体" w:cs="宋体"/>
          <w:color w:val="auto"/>
          <w:spacing w:val="0"/>
          <w:position w:val="0"/>
          <w:sz w:val="30"/>
          <w:shd w:val="clear" w:fill="auto"/>
        </w:rPr>
        <w:t>万元，预算执行率为</w:t>
      </w:r>
      <w:r>
        <w:rPr>
          <w:rFonts w:ascii="Times New Roman" w:hAnsi="Times New Roman" w:eastAsia="Times New Roman" w:cs="Times New Roman"/>
          <w:color w:val="auto"/>
          <w:spacing w:val="0"/>
          <w:position w:val="0"/>
          <w:sz w:val="30"/>
          <w:shd w:val="clear" w:fill="auto"/>
        </w:rPr>
        <w:t>100%</w:t>
      </w:r>
      <w:r>
        <w:rPr>
          <w:rFonts w:ascii="宋体" w:hAnsi="宋体" w:eastAsia="宋体" w:cs="宋体"/>
          <w:color w:val="auto"/>
          <w:spacing w:val="0"/>
          <w:position w:val="0"/>
          <w:sz w:val="30"/>
          <w:shd w:val="clear" w:fill="auto"/>
        </w:rPr>
        <w:t>。</w:t>
      </w:r>
    </w:p>
    <w:p w14:paraId="28B86F22">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3</w:t>
      </w:r>
      <w:r>
        <w:rPr>
          <w:rFonts w:ascii="宋体" w:hAnsi="宋体" w:eastAsia="宋体" w:cs="宋体"/>
          <w:color w:val="auto"/>
          <w:spacing w:val="0"/>
          <w:position w:val="0"/>
          <w:sz w:val="30"/>
          <w:shd w:val="clear" w:fill="auto"/>
        </w:rPr>
        <w:t>、资金使用合规性</w:t>
      </w:r>
    </w:p>
    <w:p w14:paraId="2F2632A3">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年焉耆县中央重大传染病补助资金分配表（巴财社</w:t>
      </w:r>
      <w:r>
        <w:rPr>
          <w:rFonts w:ascii="Times New Roman" w:hAnsi="Times New Roman" w:eastAsia="Times New Roman" w:cs="Times New Roman"/>
          <w:color w:val="auto"/>
          <w:spacing w:val="0"/>
          <w:position w:val="0"/>
          <w:sz w:val="30"/>
          <w:shd w:val="clear" w:fill="auto"/>
        </w:rPr>
        <w:t>{2022}99</w:t>
      </w:r>
      <w:r>
        <w:rPr>
          <w:rFonts w:ascii="宋体" w:hAnsi="宋体" w:eastAsia="宋体" w:cs="宋体"/>
          <w:color w:val="auto"/>
          <w:spacing w:val="0"/>
          <w:position w:val="0"/>
          <w:sz w:val="30"/>
          <w:shd w:val="clear" w:fill="auto"/>
        </w:rPr>
        <w:t>号项目符合国家财经法规和财务管理制度以及有关专项资金管理办法的规定；资金的拨付有完整的审批程序和手续；项目使用符合项目预算批复或合同规定的用途；不存在截留、挤占、挪用、虚列支出等情况。</w:t>
      </w:r>
    </w:p>
    <w:p w14:paraId="0244A5FA">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4</w:t>
      </w:r>
      <w:r>
        <w:rPr>
          <w:rFonts w:ascii="宋体" w:hAnsi="宋体" w:eastAsia="宋体" w:cs="宋体"/>
          <w:color w:val="auto"/>
          <w:spacing w:val="0"/>
          <w:position w:val="0"/>
          <w:sz w:val="30"/>
          <w:shd w:val="clear" w:fill="auto"/>
        </w:rPr>
        <w:t>、管理制度健全性</w:t>
      </w:r>
    </w:p>
    <w:p w14:paraId="47C73DE9">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年焉耆县中央重大传染病补助资金分配表（巴财社</w:t>
      </w:r>
      <w:r>
        <w:rPr>
          <w:rFonts w:ascii="Times New Roman" w:hAnsi="Times New Roman" w:eastAsia="Times New Roman" w:cs="Times New Roman"/>
          <w:color w:val="auto"/>
          <w:spacing w:val="0"/>
          <w:position w:val="0"/>
          <w:sz w:val="30"/>
          <w:shd w:val="clear" w:fill="auto"/>
        </w:rPr>
        <w:t>{2022}99</w:t>
      </w:r>
      <w:r>
        <w:rPr>
          <w:rFonts w:ascii="宋体" w:hAnsi="宋体" w:eastAsia="宋体" w:cs="宋体"/>
          <w:color w:val="auto"/>
          <w:spacing w:val="0"/>
          <w:position w:val="0"/>
          <w:sz w:val="30"/>
          <w:shd w:val="clear" w:fill="auto"/>
        </w:rPr>
        <w:t>号项目实施制定相应的财务和业务管理制度；财务和业务管理制度合法、合规、完整。</w:t>
      </w:r>
    </w:p>
    <w:p w14:paraId="6D00D2FB">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5</w:t>
      </w:r>
      <w:r>
        <w:rPr>
          <w:rFonts w:ascii="宋体" w:hAnsi="宋体" w:eastAsia="宋体" w:cs="宋体"/>
          <w:color w:val="auto"/>
          <w:spacing w:val="0"/>
          <w:position w:val="0"/>
          <w:sz w:val="30"/>
          <w:shd w:val="clear" w:fill="auto"/>
        </w:rPr>
        <w:t>、制度执行有效性</w:t>
      </w:r>
    </w:p>
    <w:p w14:paraId="6D5A7317">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年焉耆县中央重大传染病补助资金分配表（巴财社</w:t>
      </w:r>
      <w:r>
        <w:rPr>
          <w:rFonts w:ascii="Times New Roman" w:hAnsi="Times New Roman" w:eastAsia="Times New Roman" w:cs="Times New Roman"/>
          <w:color w:val="auto"/>
          <w:spacing w:val="0"/>
          <w:position w:val="0"/>
          <w:sz w:val="30"/>
          <w:shd w:val="clear" w:fill="auto"/>
        </w:rPr>
        <w:t>{2022}99</w:t>
      </w:r>
      <w:r>
        <w:rPr>
          <w:rFonts w:ascii="宋体" w:hAnsi="宋体" w:eastAsia="宋体" w:cs="宋体"/>
          <w:color w:val="auto"/>
          <w:spacing w:val="0"/>
          <w:position w:val="0"/>
          <w:sz w:val="30"/>
          <w:shd w:val="clear" w:fill="auto"/>
        </w:rPr>
        <w:t>号项目实施遵守相关法律法规和相关管理规定；项目调整及支出调整手续完备；项目合同书、验收报告、技术鉴定等资料齐全并及时归档；项目实施的人员条件、场地设备、信息支撑等落实到位。</w:t>
      </w:r>
    </w:p>
    <w:p w14:paraId="53F0B774">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（三）项目产出情况。</w:t>
      </w:r>
    </w:p>
    <w:p w14:paraId="236C0455">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、产出数量指标：指标</w:t>
      </w: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：购买医疗试剂批次</w:t>
      </w:r>
      <w:r>
        <w:rPr>
          <w:rFonts w:ascii="Times New Roman" w:hAnsi="Times New Roman" w:eastAsia="Times New Roman" w:cs="Times New Roman"/>
          <w:color w:val="auto"/>
          <w:spacing w:val="0"/>
          <w:position w:val="0"/>
          <w:sz w:val="30"/>
          <w:shd w:val="clear" w:fill="auto"/>
        </w:rPr>
        <w:t xml:space="preserve"> </w:t>
      </w:r>
      <w:r>
        <w:rPr>
          <w:rFonts w:ascii="宋体" w:hAnsi="宋体" w:eastAsia="宋体" w:cs="宋体"/>
          <w:color w:val="auto"/>
          <w:spacing w:val="0"/>
          <w:position w:val="0"/>
          <w:sz w:val="30"/>
          <w:shd w:val="clear" w:fill="auto"/>
        </w:rPr>
        <w:t>，指标值：</w:t>
      </w:r>
      <w:r>
        <w:rPr>
          <w:rFonts w:ascii="Times New Roman" w:hAnsi="Times New Roman" w:eastAsia="Times New Roman" w:cs="Times New Roman"/>
          <w:color w:val="auto"/>
          <w:spacing w:val="0"/>
          <w:position w:val="0"/>
          <w:sz w:val="30"/>
          <w:shd w:val="clear" w:fill="auto"/>
        </w:rPr>
        <w:t>&gt;=1</w:t>
      </w:r>
      <w:r>
        <w:rPr>
          <w:rFonts w:ascii="宋体" w:hAnsi="宋体" w:eastAsia="宋体" w:cs="宋体"/>
          <w:color w:val="auto"/>
          <w:spacing w:val="0"/>
          <w:position w:val="0"/>
          <w:sz w:val="30"/>
          <w:shd w:val="clear" w:fill="auto"/>
        </w:rPr>
        <w:t>批次，实际完成值</w:t>
      </w: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批次</w:t>
      </w:r>
      <w:r>
        <w:rPr>
          <w:rFonts w:ascii="Times New Roman" w:hAnsi="Times New Roman" w:eastAsia="Times New Roman" w:cs="Times New Roman"/>
          <w:color w:val="auto"/>
          <w:spacing w:val="0"/>
          <w:position w:val="0"/>
          <w:sz w:val="30"/>
          <w:shd w:val="clear" w:fill="auto"/>
        </w:rPr>
        <w:t xml:space="preserve"> </w:t>
      </w:r>
      <w:r>
        <w:rPr>
          <w:rFonts w:ascii="宋体" w:hAnsi="宋体" w:eastAsia="宋体" w:cs="宋体"/>
          <w:color w:val="auto"/>
          <w:spacing w:val="0"/>
          <w:position w:val="0"/>
          <w:sz w:val="30"/>
          <w:shd w:val="clear" w:fill="auto"/>
        </w:rPr>
        <w:t>，指标完成率</w:t>
      </w:r>
      <w:r>
        <w:rPr>
          <w:rFonts w:ascii="Times New Roman" w:hAnsi="Times New Roman" w:eastAsia="Times New Roman" w:cs="Times New Roman"/>
          <w:color w:val="auto"/>
          <w:spacing w:val="0"/>
          <w:position w:val="0"/>
          <w:sz w:val="30"/>
          <w:shd w:val="clear" w:fill="auto"/>
        </w:rPr>
        <w:t xml:space="preserve"> 100%</w:t>
      </w:r>
      <w:r>
        <w:rPr>
          <w:rFonts w:ascii="宋体" w:hAnsi="宋体" w:eastAsia="宋体" w:cs="宋体"/>
          <w:color w:val="auto"/>
          <w:spacing w:val="0"/>
          <w:position w:val="0"/>
          <w:sz w:val="30"/>
          <w:shd w:val="clear" w:fill="auto"/>
        </w:rPr>
        <w:t>，偏差原因：无</w:t>
      </w:r>
      <w:r>
        <w:rPr>
          <w:rFonts w:ascii="Times New Roman" w:hAnsi="Times New Roman" w:eastAsia="Times New Roman" w:cs="Times New Roman"/>
          <w:color w:val="auto"/>
          <w:spacing w:val="0"/>
          <w:position w:val="0"/>
          <w:sz w:val="30"/>
          <w:shd w:val="clear" w:fill="auto"/>
        </w:rPr>
        <w:t xml:space="preserve">  </w:t>
      </w:r>
      <w:r>
        <w:rPr>
          <w:rFonts w:ascii="宋体" w:hAnsi="宋体" w:eastAsia="宋体" w:cs="宋体"/>
          <w:color w:val="auto"/>
          <w:spacing w:val="0"/>
          <w:position w:val="0"/>
          <w:sz w:val="30"/>
          <w:shd w:val="clear" w:fill="auto"/>
        </w:rPr>
        <w:t>；</w:t>
      </w:r>
    </w:p>
    <w:p w14:paraId="6BFE8725">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w:t>
      </w:r>
      <w:r>
        <w:rPr>
          <w:rFonts w:ascii="宋体" w:hAnsi="宋体" w:eastAsia="宋体" w:cs="宋体"/>
          <w:color w:val="auto"/>
          <w:spacing w:val="0"/>
          <w:position w:val="0"/>
          <w:sz w:val="30"/>
          <w:shd w:val="clear" w:fill="auto"/>
        </w:rPr>
        <w:t>、质量指标：医疗试剂质量合格率，指标值：</w:t>
      </w:r>
      <w:r>
        <w:rPr>
          <w:rFonts w:ascii="Times New Roman" w:hAnsi="Times New Roman" w:eastAsia="Times New Roman" w:cs="Times New Roman"/>
          <w:color w:val="auto"/>
          <w:spacing w:val="0"/>
          <w:position w:val="0"/>
          <w:sz w:val="30"/>
          <w:shd w:val="clear" w:fill="auto"/>
        </w:rPr>
        <w:t xml:space="preserve">&gt;=98% </w:t>
      </w:r>
      <w:r>
        <w:rPr>
          <w:rFonts w:ascii="宋体" w:hAnsi="宋体" w:eastAsia="宋体" w:cs="宋体"/>
          <w:color w:val="auto"/>
          <w:spacing w:val="0"/>
          <w:position w:val="0"/>
          <w:sz w:val="30"/>
          <w:shd w:val="clear" w:fill="auto"/>
        </w:rPr>
        <w:t>，实际完成值</w:t>
      </w:r>
      <w:r>
        <w:rPr>
          <w:rFonts w:ascii="Times New Roman" w:hAnsi="Times New Roman" w:eastAsia="Times New Roman" w:cs="Times New Roman"/>
          <w:color w:val="auto"/>
          <w:spacing w:val="0"/>
          <w:position w:val="0"/>
          <w:sz w:val="30"/>
          <w:shd w:val="clear" w:fill="auto"/>
        </w:rPr>
        <w:t>=98%</w:t>
      </w:r>
      <w:r>
        <w:rPr>
          <w:rFonts w:ascii="宋体" w:hAnsi="宋体" w:eastAsia="宋体" w:cs="宋体"/>
          <w:color w:val="auto"/>
          <w:spacing w:val="0"/>
          <w:position w:val="0"/>
          <w:sz w:val="30"/>
          <w:shd w:val="clear" w:fill="auto"/>
        </w:rPr>
        <w:t>，指标完成率</w:t>
      </w:r>
      <w:r>
        <w:rPr>
          <w:rFonts w:ascii="Times New Roman" w:hAnsi="Times New Roman" w:eastAsia="Times New Roman" w:cs="Times New Roman"/>
          <w:color w:val="auto"/>
          <w:spacing w:val="0"/>
          <w:position w:val="0"/>
          <w:sz w:val="30"/>
          <w:shd w:val="clear" w:fill="auto"/>
        </w:rPr>
        <w:t xml:space="preserve"> 100 %</w:t>
      </w:r>
      <w:r>
        <w:rPr>
          <w:rFonts w:ascii="宋体" w:hAnsi="宋体" w:eastAsia="宋体" w:cs="宋体"/>
          <w:color w:val="auto"/>
          <w:spacing w:val="0"/>
          <w:position w:val="0"/>
          <w:sz w:val="30"/>
          <w:shd w:val="clear" w:fill="auto"/>
        </w:rPr>
        <w:t>，偏差原因：无；</w:t>
      </w:r>
    </w:p>
    <w:p w14:paraId="5B48D85E">
      <w:pPr>
        <w:widowControl w:val="0"/>
        <w:spacing w:before="240" w:after="60" w:line="240" w:lineRule="auto"/>
        <w:ind w:left="0" w:right="0" w:firstLine="600"/>
        <w:jc w:val="left"/>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质量指标：医疗试剂验收合格率，指标值：</w:t>
      </w:r>
      <w:r>
        <w:rPr>
          <w:rFonts w:ascii="Times New Roman" w:hAnsi="Times New Roman" w:eastAsia="Times New Roman" w:cs="Times New Roman"/>
          <w:color w:val="auto"/>
          <w:spacing w:val="0"/>
          <w:position w:val="0"/>
          <w:sz w:val="30"/>
          <w:shd w:val="clear" w:fill="auto"/>
        </w:rPr>
        <w:t xml:space="preserve">&gt;=98% </w:t>
      </w:r>
      <w:r>
        <w:rPr>
          <w:rFonts w:ascii="宋体" w:hAnsi="宋体" w:eastAsia="宋体" w:cs="宋体"/>
          <w:color w:val="auto"/>
          <w:spacing w:val="0"/>
          <w:position w:val="0"/>
          <w:sz w:val="30"/>
          <w:shd w:val="clear" w:fill="auto"/>
        </w:rPr>
        <w:t>，实际完成值</w:t>
      </w:r>
      <w:r>
        <w:rPr>
          <w:rFonts w:ascii="Times New Roman" w:hAnsi="Times New Roman" w:eastAsia="Times New Roman" w:cs="Times New Roman"/>
          <w:color w:val="auto"/>
          <w:spacing w:val="0"/>
          <w:position w:val="0"/>
          <w:sz w:val="30"/>
          <w:shd w:val="clear" w:fill="auto"/>
        </w:rPr>
        <w:t>=98%</w:t>
      </w:r>
      <w:r>
        <w:rPr>
          <w:rFonts w:ascii="宋体" w:hAnsi="宋体" w:eastAsia="宋体" w:cs="宋体"/>
          <w:color w:val="auto"/>
          <w:spacing w:val="0"/>
          <w:position w:val="0"/>
          <w:sz w:val="30"/>
          <w:shd w:val="clear" w:fill="auto"/>
        </w:rPr>
        <w:t>，指标完成率</w:t>
      </w:r>
      <w:r>
        <w:rPr>
          <w:rFonts w:ascii="Times New Roman" w:hAnsi="Times New Roman" w:eastAsia="Times New Roman" w:cs="Times New Roman"/>
          <w:color w:val="auto"/>
          <w:spacing w:val="0"/>
          <w:position w:val="0"/>
          <w:sz w:val="30"/>
          <w:shd w:val="clear" w:fill="auto"/>
        </w:rPr>
        <w:t xml:space="preserve"> 100 %</w:t>
      </w:r>
      <w:r>
        <w:rPr>
          <w:rFonts w:ascii="宋体" w:hAnsi="宋体" w:eastAsia="宋体" w:cs="宋体"/>
          <w:color w:val="auto"/>
          <w:spacing w:val="0"/>
          <w:position w:val="0"/>
          <w:sz w:val="30"/>
          <w:shd w:val="clear" w:fill="auto"/>
        </w:rPr>
        <w:t>，偏差原因：无；</w:t>
      </w:r>
    </w:p>
    <w:p w14:paraId="5D0B72B6">
      <w:pPr>
        <w:numPr>
          <w:ilvl w:val="0"/>
          <w:numId w:val="2"/>
        </w:numPr>
        <w:tabs>
          <w:tab w:val="left" w:pos="312"/>
        </w:tabs>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时效指标：试剂采购完成及时率：指标值：</w:t>
      </w:r>
      <w:r>
        <w:rPr>
          <w:rFonts w:ascii="Times New Roman" w:hAnsi="Times New Roman" w:eastAsia="Times New Roman" w:cs="Times New Roman"/>
          <w:color w:val="auto"/>
          <w:spacing w:val="0"/>
          <w:position w:val="0"/>
          <w:sz w:val="30"/>
          <w:shd w:val="clear" w:fill="auto"/>
        </w:rPr>
        <w:t xml:space="preserve">&gt;=98% </w:t>
      </w:r>
      <w:r>
        <w:rPr>
          <w:rFonts w:ascii="宋体" w:hAnsi="宋体" w:eastAsia="宋体" w:cs="宋体"/>
          <w:color w:val="auto"/>
          <w:spacing w:val="0"/>
          <w:position w:val="0"/>
          <w:sz w:val="30"/>
          <w:shd w:val="clear" w:fill="auto"/>
        </w:rPr>
        <w:t>，实际完成值</w:t>
      </w:r>
      <w:r>
        <w:rPr>
          <w:rFonts w:ascii="Times New Roman" w:hAnsi="Times New Roman" w:eastAsia="Times New Roman" w:cs="Times New Roman"/>
          <w:color w:val="auto"/>
          <w:spacing w:val="0"/>
          <w:position w:val="0"/>
          <w:sz w:val="30"/>
          <w:shd w:val="clear" w:fill="auto"/>
        </w:rPr>
        <w:t>=98%</w:t>
      </w:r>
      <w:r>
        <w:rPr>
          <w:rFonts w:ascii="宋体" w:hAnsi="宋体" w:eastAsia="宋体" w:cs="宋体"/>
          <w:color w:val="auto"/>
          <w:spacing w:val="0"/>
          <w:position w:val="0"/>
          <w:sz w:val="30"/>
          <w:shd w:val="clear" w:fill="auto"/>
        </w:rPr>
        <w:t>，指标完成率</w:t>
      </w:r>
      <w:r>
        <w:rPr>
          <w:rFonts w:ascii="Times New Roman" w:hAnsi="Times New Roman" w:eastAsia="Times New Roman" w:cs="Times New Roman"/>
          <w:color w:val="auto"/>
          <w:spacing w:val="0"/>
          <w:position w:val="0"/>
          <w:sz w:val="30"/>
          <w:shd w:val="clear" w:fill="auto"/>
        </w:rPr>
        <w:t xml:space="preserve"> 100 %</w:t>
      </w:r>
      <w:r>
        <w:rPr>
          <w:rFonts w:ascii="宋体" w:hAnsi="宋体" w:eastAsia="宋体" w:cs="宋体"/>
          <w:color w:val="auto"/>
          <w:spacing w:val="0"/>
          <w:position w:val="0"/>
          <w:sz w:val="30"/>
          <w:shd w:val="clear" w:fill="auto"/>
        </w:rPr>
        <w:t>，偏差原因：无；</w:t>
      </w:r>
    </w:p>
    <w:p w14:paraId="3678EFD4">
      <w:pPr>
        <w:numPr>
          <w:ilvl w:val="0"/>
          <w:numId w:val="2"/>
        </w:numPr>
        <w:tabs>
          <w:tab w:val="left" w:pos="312"/>
        </w:tabs>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经济成本指标：预算控制率：指标值：</w:t>
      </w:r>
      <w:r>
        <w:rPr>
          <w:rFonts w:ascii="Times New Roman" w:hAnsi="Times New Roman" w:eastAsia="Times New Roman" w:cs="Times New Roman"/>
          <w:color w:val="auto"/>
          <w:spacing w:val="0"/>
          <w:position w:val="0"/>
          <w:sz w:val="30"/>
          <w:shd w:val="clear" w:fill="auto"/>
        </w:rPr>
        <w:t xml:space="preserve">&lt;=100% </w:t>
      </w:r>
      <w:r>
        <w:rPr>
          <w:rFonts w:ascii="宋体" w:hAnsi="宋体" w:eastAsia="宋体" w:cs="宋体"/>
          <w:color w:val="auto"/>
          <w:spacing w:val="0"/>
          <w:position w:val="0"/>
          <w:sz w:val="30"/>
          <w:shd w:val="clear" w:fill="auto"/>
        </w:rPr>
        <w:t>，实际完成值</w:t>
      </w:r>
      <w:r>
        <w:rPr>
          <w:rFonts w:ascii="Times New Roman" w:hAnsi="Times New Roman" w:eastAsia="Times New Roman" w:cs="Times New Roman"/>
          <w:color w:val="auto"/>
          <w:spacing w:val="0"/>
          <w:position w:val="0"/>
          <w:sz w:val="30"/>
          <w:shd w:val="clear" w:fill="auto"/>
        </w:rPr>
        <w:t xml:space="preserve">     =100%</w:t>
      </w:r>
      <w:r>
        <w:rPr>
          <w:rFonts w:ascii="宋体" w:hAnsi="宋体" w:eastAsia="宋体" w:cs="宋体"/>
          <w:color w:val="auto"/>
          <w:spacing w:val="0"/>
          <w:position w:val="0"/>
          <w:sz w:val="30"/>
          <w:shd w:val="clear" w:fill="auto"/>
        </w:rPr>
        <w:t>，指标完成率</w:t>
      </w:r>
      <w:r>
        <w:rPr>
          <w:rFonts w:ascii="Times New Roman" w:hAnsi="Times New Roman" w:eastAsia="Times New Roman" w:cs="Times New Roman"/>
          <w:color w:val="auto"/>
          <w:spacing w:val="0"/>
          <w:position w:val="0"/>
          <w:sz w:val="30"/>
          <w:shd w:val="clear" w:fill="auto"/>
        </w:rPr>
        <w:t xml:space="preserve"> 100%</w:t>
      </w:r>
      <w:r>
        <w:rPr>
          <w:rFonts w:ascii="宋体" w:hAnsi="宋体" w:eastAsia="宋体" w:cs="宋体"/>
          <w:color w:val="auto"/>
          <w:spacing w:val="0"/>
          <w:position w:val="0"/>
          <w:sz w:val="30"/>
          <w:shd w:val="clear" w:fill="auto"/>
        </w:rPr>
        <w:t>，偏差原因：无</w:t>
      </w:r>
      <w:r>
        <w:rPr>
          <w:rFonts w:ascii="Times New Roman" w:hAnsi="Times New Roman" w:eastAsia="Times New Roman" w:cs="Times New Roman"/>
          <w:color w:val="auto"/>
          <w:spacing w:val="0"/>
          <w:position w:val="0"/>
          <w:sz w:val="30"/>
          <w:shd w:val="clear" w:fill="auto"/>
        </w:rPr>
        <w:t xml:space="preserve"> </w:t>
      </w:r>
    </w:p>
    <w:p w14:paraId="0DA74266">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（四）项目效益情况。</w:t>
      </w:r>
    </w:p>
    <w:p w14:paraId="52C0F16E">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效益指标</w:t>
      </w:r>
    </w:p>
    <w:p w14:paraId="736FE00B">
      <w:pPr>
        <w:spacing w:before="0" w:after="0" w:line="360" w:lineRule="auto"/>
        <w:ind w:left="0" w:right="0" w:firstLine="600"/>
        <w:jc w:val="both"/>
        <w:rPr>
          <w:rFonts w:ascii="宋体" w:hAnsi="宋体" w:eastAsia="宋体" w:cs="宋体"/>
          <w:color w:val="auto"/>
          <w:spacing w:val="0"/>
          <w:position w:val="0"/>
          <w:sz w:val="30"/>
          <w:shd w:val="clear" w:fill="auto"/>
        </w:rPr>
      </w:pPr>
      <w:r>
        <w:rPr>
          <w:rFonts w:ascii="宋体" w:hAnsi="宋体" w:eastAsia="宋体" w:cs="宋体"/>
          <w:color w:val="auto"/>
          <w:spacing w:val="0"/>
          <w:position w:val="0"/>
          <w:sz w:val="30"/>
          <w:shd w:val="clear" w:fill="auto"/>
        </w:rPr>
        <w:t>社会效益指标：妇幼保健机构重大疾病医疗水平：指标值：有所提升</w:t>
      </w:r>
      <w:r>
        <w:rPr>
          <w:rFonts w:ascii="Times New Roman" w:hAnsi="Times New Roman" w:eastAsia="Times New Roman" w:cs="Times New Roman"/>
          <w:color w:val="auto"/>
          <w:spacing w:val="0"/>
          <w:position w:val="0"/>
          <w:sz w:val="30"/>
          <w:shd w:val="clear" w:fill="auto"/>
        </w:rPr>
        <w:t xml:space="preserve"> </w:t>
      </w:r>
      <w:r>
        <w:rPr>
          <w:rFonts w:ascii="宋体" w:hAnsi="宋体" w:eastAsia="宋体" w:cs="宋体"/>
          <w:color w:val="auto"/>
          <w:spacing w:val="0"/>
          <w:position w:val="0"/>
          <w:sz w:val="30"/>
          <w:shd w:val="clear" w:fill="auto"/>
        </w:rPr>
        <w:t>，实际完成值达成目标，指标完成率</w:t>
      </w:r>
      <w:r>
        <w:rPr>
          <w:rFonts w:ascii="Times New Roman" w:hAnsi="Times New Roman" w:eastAsia="Times New Roman" w:cs="Times New Roman"/>
          <w:color w:val="auto"/>
          <w:spacing w:val="0"/>
          <w:position w:val="0"/>
          <w:sz w:val="30"/>
          <w:shd w:val="clear" w:fill="auto"/>
        </w:rPr>
        <w:t xml:space="preserve"> 100%</w:t>
      </w:r>
      <w:r>
        <w:rPr>
          <w:rFonts w:ascii="宋体" w:hAnsi="宋体" w:eastAsia="宋体" w:cs="宋体"/>
          <w:color w:val="auto"/>
          <w:spacing w:val="0"/>
          <w:position w:val="0"/>
          <w:sz w:val="30"/>
          <w:shd w:val="clear" w:fill="auto"/>
        </w:rPr>
        <w:t>，偏差原因：无。</w:t>
      </w:r>
    </w:p>
    <w:p w14:paraId="761784E4">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满意度指标：受益群众满意度：指标值：</w:t>
      </w:r>
      <w:r>
        <w:rPr>
          <w:rFonts w:ascii="Times New Roman" w:hAnsi="Times New Roman" w:eastAsia="Times New Roman" w:cs="Times New Roman"/>
          <w:color w:val="auto"/>
          <w:spacing w:val="0"/>
          <w:position w:val="0"/>
          <w:sz w:val="30"/>
          <w:shd w:val="clear" w:fill="auto"/>
        </w:rPr>
        <w:t>&lt;=</w:t>
      </w:r>
      <w:r>
        <w:rPr>
          <w:rFonts w:ascii="宋体" w:hAnsi="宋体" w:eastAsia="宋体" w:cs="宋体"/>
          <w:color w:val="auto"/>
          <w:spacing w:val="0"/>
          <w:position w:val="0"/>
          <w:sz w:val="30"/>
          <w:shd w:val="clear" w:fill="auto"/>
        </w:rPr>
        <w:t>90%，实际完成值90%，指标完成率</w:t>
      </w:r>
      <w:r>
        <w:rPr>
          <w:rFonts w:ascii="Times New Roman" w:hAnsi="Times New Roman" w:eastAsia="Times New Roman" w:cs="Times New Roman"/>
          <w:color w:val="auto"/>
          <w:spacing w:val="0"/>
          <w:position w:val="0"/>
          <w:sz w:val="30"/>
          <w:shd w:val="clear" w:fill="auto"/>
        </w:rPr>
        <w:t xml:space="preserve"> 100%</w:t>
      </w:r>
      <w:r>
        <w:rPr>
          <w:rFonts w:ascii="宋体" w:hAnsi="宋体" w:eastAsia="宋体" w:cs="宋体"/>
          <w:color w:val="auto"/>
          <w:spacing w:val="0"/>
          <w:position w:val="0"/>
          <w:sz w:val="30"/>
          <w:shd w:val="clear" w:fill="auto"/>
        </w:rPr>
        <w:t>，偏差原因：无。</w:t>
      </w:r>
      <w:r>
        <w:rPr>
          <w:rFonts w:ascii="Times New Roman" w:hAnsi="Times New Roman" w:eastAsia="Times New Roman" w:cs="Times New Roman"/>
          <w:color w:val="auto"/>
          <w:spacing w:val="0"/>
          <w:position w:val="0"/>
          <w:sz w:val="30"/>
          <w:shd w:val="clear" w:fill="auto"/>
        </w:rPr>
        <w:t xml:space="preserve"> </w:t>
      </w:r>
    </w:p>
    <w:p w14:paraId="12EE6108">
      <w:pPr>
        <w:spacing w:before="0" w:after="0" w:line="360" w:lineRule="auto"/>
        <w:ind w:left="0" w:right="0" w:firstLine="600"/>
        <w:jc w:val="both"/>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 xml:space="preserve"> </w:t>
      </w:r>
    </w:p>
    <w:p w14:paraId="31118DD5">
      <w:pPr>
        <w:keepNext/>
        <w:keepLines/>
        <w:spacing w:before="340" w:after="330" w:line="360" w:lineRule="auto"/>
        <w:ind w:left="0" w:right="0" w:firstLine="0"/>
        <w:jc w:val="both"/>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五、主要经验及做法、存在的问题及原因分析</w:t>
      </w:r>
    </w:p>
    <w:p w14:paraId="442CA94B">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（一）主要经验及做法</w:t>
      </w:r>
    </w:p>
    <w:p w14:paraId="6F2D724F">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项目实施过程中，我单位加强科室配合，监管有力，及时按年初预算进度支付经费，为项目实施做好资金保障。项目实施科室有条不紊开展相关工作，并做好资料收集整理工作。</w:t>
      </w:r>
    </w:p>
    <w:p w14:paraId="010DBC0D">
      <w:pPr>
        <w:keepNext/>
        <w:keepLines/>
        <w:spacing w:before="260" w:after="26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（二）存在的问题及原因分析</w:t>
      </w:r>
    </w:p>
    <w:p w14:paraId="28C56EF0">
      <w:pPr>
        <w:keepNext/>
        <w:keepLines/>
        <w:spacing w:before="340" w:after="330" w:line="360" w:lineRule="auto"/>
        <w:ind w:left="0" w:right="0" w:firstLine="0"/>
        <w:jc w:val="both"/>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财政绩效管理工作水平有提升空间，应加强财政支出绩效管理要求学习，建立科学的财政资金效益考评制度体系，不断完善绩效评价体系及工作流程，提供财政资金使用水平和效率。</w:t>
      </w:r>
    </w:p>
    <w:p w14:paraId="4D0096F5">
      <w:pPr>
        <w:keepNext/>
        <w:keepLines/>
        <w:spacing w:before="340" w:after="330" w:line="360" w:lineRule="auto"/>
        <w:ind w:left="0" w:right="0" w:firstLine="0"/>
        <w:jc w:val="both"/>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六、有关建议</w:t>
      </w:r>
    </w:p>
    <w:p w14:paraId="40972FDD">
      <w:pPr>
        <w:numPr>
          <w:ilvl w:val="0"/>
          <w:numId w:val="3"/>
        </w:numPr>
        <w:tabs>
          <w:tab w:val="left" w:pos="312"/>
        </w:tabs>
        <w:spacing w:before="0" w:after="0" w:line="240" w:lineRule="auto"/>
        <w:ind w:left="0" w:right="0" w:firstLine="0"/>
        <w:jc w:val="left"/>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对项目决策的建议：加强绩效评价管理制度和流程的建设</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进一步深化</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完善绩效管理系统</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建立全过程的预算绩效管理机制</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促进绩效管理工作向广度和深度延伸</w:t>
      </w:r>
      <w:r>
        <w:rPr>
          <w:rFonts w:ascii="仿宋_GB2312" w:hAnsi="仿宋_GB2312" w:eastAsia="仿宋_GB2312" w:cs="仿宋_GB2312"/>
          <w:color w:val="auto"/>
          <w:spacing w:val="0"/>
          <w:position w:val="0"/>
          <w:sz w:val="32"/>
          <w:shd w:val="clear" w:fill="auto"/>
        </w:rPr>
        <w:t>.</w:t>
      </w:r>
    </w:p>
    <w:p w14:paraId="0E28D5F1">
      <w:pPr>
        <w:widowControl w:val="0"/>
        <w:spacing w:before="450" w:after="0" w:line="240" w:lineRule="auto"/>
        <w:ind w:left="0" w:right="0" w:firstLine="0"/>
        <w:jc w:val="left"/>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24"/>
          <w:shd w:val="clear" w:fill="auto"/>
        </w:rPr>
        <w:t>2</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对预算安排与执行的建议</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规范绩效评价管理资料收集整理</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确保相关信息完整</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可靠</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客观公正地反映项目资金实际使用和产生的绩效状况</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为今后该项目实施方向及管理方式的改进提供指导</w:t>
      </w:r>
      <w:r>
        <w:rPr>
          <w:rFonts w:ascii="仿宋_GB2312" w:hAnsi="仿宋_GB2312" w:eastAsia="仿宋_GB2312" w:cs="仿宋_GB2312"/>
          <w:color w:val="auto"/>
          <w:spacing w:val="0"/>
          <w:position w:val="0"/>
          <w:sz w:val="32"/>
          <w:shd w:val="clear" w:fill="auto"/>
        </w:rPr>
        <w:t>.</w:t>
      </w:r>
    </w:p>
    <w:p w14:paraId="744807D5">
      <w:pPr>
        <w:widowControl w:val="0"/>
        <w:spacing w:before="450" w:after="0" w:line="240" w:lineRule="auto"/>
        <w:ind w:left="0" w:right="0" w:firstLine="0"/>
        <w:jc w:val="left"/>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24"/>
          <w:shd w:val="clear" w:fill="auto"/>
        </w:rPr>
        <w:t>3.</w:t>
      </w:r>
      <w:r>
        <w:rPr>
          <w:rFonts w:ascii="宋体" w:hAnsi="宋体" w:eastAsia="宋体" w:cs="宋体"/>
          <w:color w:val="auto"/>
          <w:spacing w:val="0"/>
          <w:position w:val="0"/>
          <w:sz w:val="32"/>
          <w:shd w:val="clear" w:fill="auto"/>
        </w:rPr>
        <w:t>对资金管理的建议：合理安排项目资金，确保项目及时必要。制订项目资金使用管理规定，保证资金使用严格按财务制度办理。</w:t>
      </w:r>
    </w:p>
    <w:p w14:paraId="4976B64B">
      <w:pPr>
        <w:widowControl w:val="0"/>
        <w:spacing w:before="450" w:after="0" w:line="240" w:lineRule="auto"/>
        <w:ind w:left="0" w:right="0" w:firstLine="0"/>
        <w:jc w:val="left"/>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4.</w:t>
      </w:r>
      <w:r>
        <w:rPr>
          <w:rFonts w:ascii="宋体" w:hAnsi="宋体" w:eastAsia="宋体" w:cs="宋体"/>
          <w:color w:val="auto"/>
          <w:spacing w:val="0"/>
          <w:position w:val="0"/>
          <w:sz w:val="32"/>
          <w:shd w:val="clear" w:fill="auto"/>
        </w:rPr>
        <w:t>项目管理的建议：加大预算绩效管理培训力度</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贯彻落实下相关办法及制度</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采取集中学习</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讲座</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专题会议等方式</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加大对参与绩效管理工作人员培训力度</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进一步统一认识</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充实业务知识</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以达到预算绩效管理标准化</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常态化的要求</w:t>
      </w:r>
      <w:r>
        <w:rPr>
          <w:rFonts w:ascii="仿宋_GB2312" w:hAnsi="仿宋_GB2312" w:eastAsia="仿宋_GB2312" w:cs="仿宋_GB2312"/>
          <w:color w:val="auto"/>
          <w:spacing w:val="0"/>
          <w:position w:val="0"/>
          <w:sz w:val="32"/>
          <w:shd w:val="clear" w:fill="auto"/>
        </w:rPr>
        <w:t>,</w:t>
      </w:r>
      <w:r>
        <w:rPr>
          <w:rFonts w:ascii="宋体" w:hAnsi="宋体" w:eastAsia="宋体" w:cs="宋体"/>
          <w:color w:val="auto"/>
          <w:spacing w:val="0"/>
          <w:position w:val="0"/>
          <w:sz w:val="32"/>
          <w:shd w:val="clear" w:fill="auto"/>
        </w:rPr>
        <w:t>最终实现提高绩效管理工作效率及质量的目标</w:t>
      </w:r>
      <w:r>
        <w:rPr>
          <w:rFonts w:ascii="仿宋_GB2312" w:hAnsi="仿宋_GB2312" w:eastAsia="仿宋_GB2312" w:cs="仿宋_GB2312"/>
          <w:color w:val="auto"/>
          <w:spacing w:val="0"/>
          <w:position w:val="0"/>
          <w:sz w:val="32"/>
          <w:shd w:val="clear" w:fill="auto"/>
        </w:rPr>
        <w:t>.</w:t>
      </w:r>
    </w:p>
    <w:p w14:paraId="2CBFC54A">
      <w:pPr>
        <w:keepNext/>
        <w:keepLines/>
        <w:spacing w:before="340" w:after="330" w:line="360" w:lineRule="auto"/>
        <w:ind w:left="0" w:right="0" w:firstLine="0"/>
        <w:jc w:val="both"/>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七、其他需要说明的问题</w:t>
      </w:r>
    </w:p>
    <w:p w14:paraId="0987AC3C">
      <w:pPr>
        <w:spacing w:before="0" w:after="0" w:line="560" w:lineRule="auto"/>
        <w:ind w:left="0" w:right="0" w:firstLine="640"/>
        <w:jc w:val="left"/>
        <w:rPr>
          <w:rFonts w:ascii="仿宋_GB2312" w:hAnsi="仿宋_GB2312" w:eastAsia="仿宋_GB2312" w:cs="仿宋_GB2312"/>
          <w:color w:val="333333"/>
          <w:spacing w:val="0"/>
          <w:position w:val="0"/>
          <w:sz w:val="32"/>
          <w:shd w:val="clear" w:fill="auto"/>
        </w:rPr>
      </w:pPr>
      <w:r>
        <w:rPr>
          <w:rFonts w:ascii="Times New Roman" w:hAnsi="Times New Roman" w:eastAsia="Times New Roman" w:cs="Times New Roman"/>
          <w:color w:val="333333"/>
          <w:spacing w:val="0"/>
          <w:position w:val="0"/>
          <w:sz w:val="32"/>
          <w:shd w:val="clear" w:fill="auto"/>
        </w:rPr>
        <w:t xml:space="preserve">  </w:t>
      </w:r>
      <w:r>
        <w:rPr>
          <w:rFonts w:ascii="宋体" w:hAnsi="宋体" w:eastAsia="宋体" w:cs="宋体"/>
          <w:color w:val="333333"/>
          <w:spacing w:val="0"/>
          <w:position w:val="0"/>
          <w:sz w:val="32"/>
          <w:shd w:val="clear" w:fill="auto"/>
        </w:rPr>
        <w:t>本次预算绩效评价所采集的数据因为采集时间、数据来源等诸多因素的影响，可能会出现一定的偏差，进而对评价结果存在影响。</w:t>
      </w:r>
    </w:p>
    <w:p w14:paraId="023110A0">
      <w:pPr>
        <w:spacing w:before="0" w:after="0" w:line="360" w:lineRule="auto"/>
        <w:ind w:left="0" w:right="0" w:firstLine="0"/>
        <w:jc w:val="both"/>
        <w:rPr>
          <w:rFonts w:ascii="Times New Roman" w:hAnsi="Times New Roman" w:eastAsia="Times New Roman" w:cs="Times New Roman"/>
          <w:color w:val="auto"/>
          <w:spacing w:val="0"/>
          <w:position w:val="0"/>
          <w:sz w:val="30"/>
          <w:shd w:val="clear" w:fill="auto"/>
        </w:rPr>
      </w:pPr>
    </w:p>
    <w:p w14:paraId="6A24169E">
      <w:pPr>
        <w:spacing w:before="0" w:after="0" w:line="240" w:lineRule="auto"/>
        <w:ind w:left="0" w:right="0" w:firstLine="0"/>
        <w:jc w:val="both"/>
        <w:rPr>
          <w:rFonts w:ascii="Times New Roman" w:hAnsi="Times New Roman" w:eastAsia="Times New Roman" w:cs="Times New Roman"/>
          <w:color w:val="auto"/>
          <w:spacing w:val="0"/>
          <w:position w:val="0"/>
          <w:sz w:val="30"/>
          <w:shd w:val="clear" w:fill="auto"/>
        </w:rPr>
      </w:pP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Arial">
    <w:panose1 w:val="020B0604020202020204"/>
    <w:charset w:val="00"/>
    <w:family w:val="auto"/>
    <w:pitch w:val="default"/>
    <w:sig w:usb0="E0002AFF" w:usb1="C0007843" w:usb2="00000009" w:usb3="00000000" w:csb0="400001FF" w:csb1="FFFF0000"/>
  </w:font>
  <w:font w:name="??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1"/>
      <w:numFmt w:val="decimal"/>
      <w:lvlText w:val="%1."/>
      <w:lvlJc w:val="left"/>
    </w:lvl>
  </w:abstractNum>
  <w:abstractNum w:abstractNumId="1">
    <w:nsid w:val="0053208E"/>
    <w:multiLevelType w:val="singleLevel"/>
    <w:tmpl w:val="0053208E"/>
    <w:lvl w:ilvl="0" w:tentative="0">
      <w:start w:val="1"/>
      <w:numFmt w:val="decimal"/>
      <w:lvlText w:val="%1."/>
      <w:lvlJc w:val="left"/>
    </w:lvl>
  </w:abstractNum>
  <w:abstractNum w:abstractNumId="2">
    <w:nsid w:val="59ADCABA"/>
    <w:multiLevelType w:val="singleLevel"/>
    <w:tmpl w:val="59ADCABA"/>
    <w:lvl w:ilvl="0" w:tentative="0">
      <w:start w:val="1"/>
      <w:numFmt w:val="decimal"/>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splitPgBreakAndParaMark/>
    <w:compatSetting w:name="compatibilityMode" w:uri="http://schemas.microsoft.com/office/word" w:val="12"/>
  </w:compat>
  <w:rsids>
    <w:rsidRoot w:val="00000000"/>
    <w:rsid w:val="1FFE6A3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Pages>
  <TotalTime>0</TotalTime>
  <ScaleCrop>false</ScaleCrop>
  <LinksUpToDate>false</LinksUpToDate>
  <Application>WPS Office_12.8.2.18205_F1E327BC-269C-435d-A152-05C5408002CA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2025-02-07T05:28:07Z</dcterms:created>
  <dc:creator>Administrator</dc:creator>
  <cp:lastModifiedBy>Administrator</cp:lastModifiedBy>
  <dcterms:modified xsi:type="dcterms:W3CDTF">2025-02-07T05:28:32Z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5F3A6A86707C43F79382AFFDA2FC97F1_12</vt:lpwstr>
  </property>
</Properties>
</file>