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60" w:lineRule="exact"/>
        <w:ind w:left="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60" w:lineRule="exact"/>
        <w:ind w:left="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60" w:lineRule="exact"/>
        <w:ind w:left="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60" w:lineRule="exact"/>
        <w:ind w:left="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pacing w:line="560" w:lineRule="exact"/>
        <w:ind w:left="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pageBreakBefore w:val="0"/>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60" w:lineRule="exact"/>
        <w:ind w:left="0" w:firstLine="321" w:firstLineChars="1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焉耆县</w:t>
      </w:r>
      <w:r>
        <w:rPr>
          <w:rFonts w:hint="default" w:ascii="宋体" w:hAnsi="宋体" w:eastAsia="宋体" w:cs="宋体"/>
          <w:kern w:val="0"/>
          <w:sz w:val="32"/>
          <w:szCs w:val="32"/>
          <w:lang w:val="en-US" w:eastAsia="zh-CN"/>
        </w:rPr>
        <w:t>仓储物流园建设项目</w:t>
      </w:r>
    </w:p>
    <w:p>
      <w:pPr>
        <w:pageBreakBefore w:val="0"/>
        <w:kinsoku/>
        <w:wordWrap/>
        <w:overflowPunct/>
        <w:topLinePunct w:val="0"/>
        <w:autoSpaceDE/>
        <w:autoSpaceDN/>
        <w:bidi w:val="0"/>
        <w:adjustRightInd/>
        <w:spacing w:line="560" w:lineRule="exact"/>
        <w:ind w:left="0" w:firstLine="321" w:firstLineChars="1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焉耆回族自治县商务和工业信息化局</w:t>
      </w:r>
    </w:p>
    <w:p>
      <w:pPr>
        <w:pageBreakBefore w:val="0"/>
        <w:kinsoku/>
        <w:wordWrap/>
        <w:overflowPunct/>
        <w:topLinePunct w:val="0"/>
        <w:autoSpaceDE/>
        <w:autoSpaceDN/>
        <w:bidi w:val="0"/>
        <w:adjustRightInd/>
        <w:spacing w:line="560" w:lineRule="exact"/>
        <w:ind w:left="0" w:firstLine="321" w:firstLineChars="1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焉耆回族自治县商务和工业信息化局</w:t>
      </w:r>
    </w:p>
    <w:p>
      <w:pPr>
        <w:pageBreakBefore w:val="0"/>
        <w:kinsoku/>
        <w:wordWrap/>
        <w:overflowPunct/>
        <w:topLinePunct w:val="0"/>
        <w:autoSpaceDE/>
        <w:autoSpaceDN/>
        <w:bidi w:val="0"/>
        <w:adjustRightInd/>
        <w:spacing w:line="560" w:lineRule="exact"/>
        <w:ind w:left="0" w:firstLine="321" w:firstLineChars="1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高尚柱</w:t>
      </w:r>
    </w:p>
    <w:p>
      <w:pPr>
        <w:pageBreakBefore w:val="0"/>
        <w:kinsoku/>
        <w:wordWrap/>
        <w:overflowPunct/>
        <w:topLinePunct w:val="0"/>
        <w:autoSpaceDE/>
        <w:autoSpaceDN/>
        <w:bidi w:val="0"/>
        <w:adjustRightInd/>
        <w:spacing w:line="560" w:lineRule="exact"/>
        <w:ind w:left="0" w:firstLine="321" w:firstLineChars="1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pageBreakBefore w:val="0"/>
        <w:kinsoku/>
        <w:wordWrap/>
        <w:overflowPunct/>
        <w:topLinePunct w:val="0"/>
        <w:autoSpaceDE/>
        <w:autoSpaceDN/>
        <w:bidi w:val="0"/>
        <w:adjustRightInd/>
        <w:spacing w:line="560" w:lineRule="exact"/>
        <w:ind w:left="0"/>
        <w:jc w:val="center"/>
        <w:textAlignment w:val="auto"/>
        <w:rPr>
          <w:rFonts w:ascii="宋体" w:hAnsi="宋体" w:eastAsia="宋体" w:cs="Arial"/>
          <w:b/>
          <w:bCs/>
          <w:sz w:val="36"/>
          <w:szCs w:val="36"/>
        </w:rPr>
      </w:pPr>
    </w:p>
    <w:p>
      <w:pPr>
        <w:pageBreakBefore w:val="0"/>
        <w:widowControl/>
        <w:kinsoku/>
        <w:wordWrap/>
        <w:overflowPunct/>
        <w:topLinePunct w:val="0"/>
        <w:autoSpaceDE/>
        <w:autoSpaceDN/>
        <w:bidi w:val="0"/>
        <w:adjustRightInd/>
        <w:spacing w:line="560" w:lineRule="exact"/>
        <w:ind w:left="0"/>
        <w:jc w:val="left"/>
        <w:textAlignment w:val="auto"/>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8"/>
            <w:pageBreakBefore w:val="0"/>
            <w:kinsoku/>
            <w:wordWrap/>
            <w:overflowPunct/>
            <w:topLinePunct w:val="0"/>
            <w:autoSpaceDE/>
            <w:autoSpaceDN/>
            <w:bidi w:val="0"/>
            <w:adjustRightInd/>
            <w:spacing w:before="0" w:after="0" w:line="560" w:lineRule="exact"/>
            <w:ind w:left="0"/>
            <w:jc w:val="center"/>
            <w:textAlignment w:val="auto"/>
            <w:rPr>
              <w:rFonts w:ascii="宋体" w:hAnsi="宋体" w:eastAsia="宋体"/>
              <w:b/>
              <w:bCs/>
              <w:color w:val="auto"/>
              <w:lang w:val="zh-CN"/>
            </w:rPr>
          </w:pPr>
          <w:r>
            <w:rPr>
              <w:rFonts w:ascii="宋体" w:hAnsi="宋体" w:eastAsia="宋体"/>
              <w:b/>
              <w:bCs/>
              <w:color w:val="auto"/>
              <w:lang w:val="zh-CN"/>
            </w:rPr>
            <w:t>目录</w:t>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5"/>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"_Toc68703828" </w:instrText>
          </w:r>
          <w:r>
            <w:fldChar w:fldCharType="separate"/>
          </w:r>
          <w:r>
            <w:rPr>
              <w:rStyle w:val="15"/>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"_Toc68703829" </w:instrText>
          </w:r>
          <w:r>
            <w:fldChar w:fldCharType="separate"/>
          </w:r>
          <w:r>
            <w:rPr>
              <w:rStyle w:val="15"/>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"_Toc68703830" </w:instrText>
          </w:r>
          <w:r>
            <w:fldChar w:fldCharType="separate"/>
          </w:r>
          <w:r>
            <w:rPr>
              <w:rStyle w:val="15"/>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"_Toc68703831" </w:instrText>
          </w:r>
          <w:r>
            <w:fldChar w:fldCharType="separate"/>
          </w:r>
          <w:r>
            <w:rPr>
              <w:rStyle w:val="15"/>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"_Toc68703832" </w:instrText>
          </w:r>
          <w:r>
            <w:fldChar w:fldCharType="separate"/>
          </w:r>
          <w:r>
            <w:rPr>
              <w:rStyle w:val="15"/>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"_Toc68703833" </w:instrText>
          </w:r>
          <w:r>
            <w:fldChar w:fldCharType="separate"/>
          </w:r>
          <w:r>
            <w:rPr>
              <w:rStyle w:val="15"/>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"_Toc68703834" </w:instrText>
          </w:r>
          <w:r>
            <w:fldChar w:fldCharType="separate"/>
          </w:r>
          <w:r>
            <w:rPr>
              <w:rStyle w:val="15"/>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"_Toc68703835" </w:instrText>
          </w:r>
          <w:r>
            <w:fldChar w:fldCharType="separate"/>
          </w:r>
          <w:r>
            <w:rPr>
              <w:rStyle w:val="15"/>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"_Toc68703836" </w:instrText>
          </w:r>
          <w:r>
            <w:fldChar w:fldCharType="separate"/>
          </w:r>
          <w:r>
            <w:rPr>
              <w:rStyle w:val="15"/>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"_Toc68703837" </w:instrText>
          </w:r>
          <w:r>
            <w:fldChar w:fldCharType="separate"/>
          </w:r>
          <w:r>
            <w:rPr>
              <w:rStyle w:val="15"/>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"_Toc68703838" </w:instrText>
          </w:r>
          <w:r>
            <w:fldChar w:fldCharType="separate"/>
          </w:r>
          <w:r>
            <w:rPr>
              <w:rStyle w:val="15"/>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"_Toc68703839" </w:instrText>
          </w:r>
          <w:r>
            <w:fldChar w:fldCharType="separate"/>
          </w:r>
          <w:r>
            <w:rPr>
              <w:rStyle w:val="15"/>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"_Toc68703840" </w:instrText>
          </w:r>
          <w:r>
            <w:fldChar w:fldCharType="separate"/>
          </w:r>
          <w:r>
            <w:rPr>
              <w:rStyle w:val="15"/>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"_Toc68703841" </w:instrText>
          </w:r>
          <w:r>
            <w:fldChar w:fldCharType="separate"/>
          </w:r>
          <w:r>
            <w:rPr>
              <w:rStyle w:val="15"/>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"_Toc68703842" </w:instrText>
          </w:r>
          <w:r>
            <w:fldChar w:fldCharType="separate"/>
          </w:r>
          <w:r>
            <w:rPr>
              <w:rStyle w:val="15"/>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"_Toc68703843" </w:instrText>
          </w:r>
          <w:r>
            <w:fldChar w:fldCharType="separate"/>
          </w:r>
          <w:r>
            <w:rPr>
              <w:rStyle w:val="15"/>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"_Toc68703844" </w:instrText>
          </w:r>
          <w:r>
            <w:fldChar w:fldCharType="separate"/>
          </w:r>
          <w:r>
            <w:rPr>
              <w:rStyle w:val="15"/>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"_Toc68703845" </w:instrText>
          </w:r>
          <w:r>
            <w:fldChar w:fldCharType="separate"/>
          </w:r>
          <w:r>
            <w:rPr>
              <w:rStyle w:val="15"/>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after="0" w:line="560" w:lineRule="exact"/>
            <w:ind w:left="0"/>
            <w:textAlignment w:val="auto"/>
            <w:rPr>
              <w:rFonts w:cstheme="minorBidi"/>
              <w:kern w:val="2"/>
              <w:sz w:val="21"/>
            </w:rPr>
          </w:pPr>
          <w:r>
            <w:fldChar w:fldCharType="begin"/>
          </w:r>
          <w:r>
            <w:instrText xml:space="preserve"> HYPERLINK \l "_Toc68703846" </w:instrText>
          </w:r>
          <w:r>
            <w:fldChar w:fldCharType="separate"/>
          </w:r>
          <w:r>
            <w:rPr>
              <w:rStyle w:val="15"/>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pPr>
            <w:pageBreakBefore w:val="0"/>
            <w:kinsoku/>
            <w:wordWrap/>
            <w:overflowPunct/>
            <w:topLinePunct w:val="0"/>
            <w:autoSpaceDE/>
            <w:autoSpaceDN/>
            <w:bidi w:val="0"/>
            <w:adjustRightInd/>
            <w:spacing w:line="560" w:lineRule="exact"/>
            <w:ind w:left="0"/>
            <w:textAlignment w:val="auto"/>
          </w:pPr>
          <w:r>
            <w:rPr>
              <w:b/>
              <w:bCs/>
              <w:lang w:val="zh-CN"/>
            </w:rPr>
            <w:fldChar w:fldCharType="end"/>
          </w:r>
        </w:p>
      </w:sdtContent>
    </w:sdt>
    <w:p>
      <w:pPr>
        <w:pageBreakBefore w:val="0"/>
        <w:widowControl/>
        <w:kinsoku/>
        <w:wordWrap/>
        <w:overflowPunct/>
        <w:topLinePunct w:val="0"/>
        <w:autoSpaceDE/>
        <w:autoSpaceDN/>
        <w:bidi w:val="0"/>
        <w:adjustRightInd/>
        <w:spacing w:line="560" w:lineRule="exact"/>
        <w:ind w:left="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pacing w:line="560" w:lineRule="exact"/>
        <w:ind w:left="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pacing w:line="560" w:lineRule="exact"/>
        <w:ind w:left="0"/>
        <w:jc w:val="center"/>
        <w:textAlignment w:val="auto"/>
        <w:rPr>
          <w:rFonts w:ascii="仿宋_GB2312"/>
          <w:szCs w:val="30"/>
        </w:rPr>
      </w:pPr>
    </w:p>
    <w:p>
      <w:pPr>
        <w:pStyle w:val="4"/>
        <w:pageBreakBefore w:val="0"/>
        <w:kinsoku/>
        <w:wordWrap/>
        <w:overflowPunct/>
        <w:topLinePunct w:val="0"/>
        <w:autoSpaceDE/>
        <w:autoSpaceDN/>
        <w:bidi w:val="0"/>
        <w:adjustRightInd/>
        <w:spacing w:before="0" w:after="0" w:line="560" w:lineRule="exact"/>
        <w:ind w:left="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5"/>
        <w:pageBreakBefore w:val="0"/>
        <w:kinsoku/>
        <w:wordWrap/>
        <w:overflowPunct/>
        <w:topLinePunct w:val="0"/>
        <w:autoSpaceDE/>
        <w:autoSpaceDN/>
        <w:bidi w:val="0"/>
        <w:adjustRightInd/>
        <w:spacing w:before="0" w:after="0" w:line="560" w:lineRule="exact"/>
        <w:ind w:left="0"/>
        <w:textAlignment w:val="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_GB2312"/>
        </w:rPr>
      </w:pPr>
      <w:r>
        <w:rPr>
          <w:rFonts w:hint="eastAsia" w:ascii="仿宋_GB2312"/>
        </w:rPr>
        <w:t>1、项目背景</w:t>
      </w:r>
    </w:p>
    <w:p>
      <w:pPr>
        <w:pageBreakBefore w:val="0"/>
        <w:kinsoku/>
        <w:wordWrap/>
        <w:overflowPunct/>
        <w:topLinePunct w:val="0"/>
        <w:autoSpaceDE/>
        <w:autoSpaceDN/>
        <w:bidi w:val="0"/>
        <w:adjustRightInd/>
        <w:spacing w:line="560" w:lineRule="exact"/>
        <w:ind w:left="0" w:firstLine="600" w:firstLineChars="200"/>
        <w:textAlignment w:val="auto"/>
        <w:rPr>
          <w:rFonts w:hint="default"/>
          <w:lang w:val="en-US" w:eastAsia="zh-CN"/>
        </w:rPr>
      </w:pPr>
      <w:r>
        <w:rPr>
          <w:rFonts w:hint="eastAsia"/>
          <w:lang w:val="en-US" w:eastAsia="zh-CN"/>
        </w:rPr>
        <w:t>根据国家发改委、建设部《建设项目经济评价方法与参数》(第三版)(发改投资[2006]1325号);《中华人民共和国环境保护法》(2015年1月1日);《中华人民共和国节约能源法》(主席令第七十七号令《国务院关于加强节能工作的决定》(国发[2006]28号)，以焉耆县发展战略为指导，充分考虑焉耆县经济发展需要，通过优化物流体系，为项目区企业提高竞争力、优化产业结构、改善国民经济高新效率、促进各产业健康发展服务。</w:t>
      </w:r>
      <w:r>
        <w:rPr>
          <w:rFonts w:hint="default"/>
          <w:lang w:val="en-US" w:eastAsia="zh-CN"/>
        </w:rPr>
        <w:t>发挥重大项目的牵引带动作用，建立重点项目库，主动跟踪服务，强化协同推动。</w:t>
      </w:r>
    </w:p>
    <w:p>
      <w:pPr>
        <w:pageBreakBefore w:val="0"/>
        <w:kinsoku/>
        <w:wordWrap/>
        <w:overflowPunct/>
        <w:topLinePunct w:val="0"/>
        <w:autoSpaceDE/>
        <w:autoSpaceDN/>
        <w:bidi w:val="0"/>
        <w:adjustRightInd/>
        <w:spacing w:line="560" w:lineRule="exact"/>
        <w:ind w:left="0" w:firstLine="600" w:firstLineChars="200"/>
        <w:textAlignment w:val="auto"/>
        <w:rPr>
          <w:rFonts w:ascii="仿宋_GB2312"/>
        </w:rPr>
      </w:pPr>
      <w:r>
        <w:rPr>
          <w:rFonts w:hint="eastAsia" w:ascii="仿宋_GB2312"/>
        </w:rPr>
        <w:t>2、主要内容</w:t>
      </w:r>
      <w:r>
        <w:rPr>
          <w:rFonts w:hint="eastAsia"/>
        </w:rPr>
        <w:t>及</w:t>
      </w:r>
      <w:r>
        <w:rPr>
          <w:rFonts w:hint="eastAsia" w:ascii="仿宋_GB2312"/>
        </w:rPr>
        <w:t>实施情况</w:t>
      </w:r>
    </w:p>
    <w:p>
      <w:pPr>
        <w:pageBreakBefore w:val="0"/>
        <w:kinsoku/>
        <w:wordWrap/>
        <w:overflowPunct/>
        <w:topLinePunct w:val="0"/>
        <w:autoSpaceDE/>
        <w:autoSpaceDN/>
        <w:bidi w:val="0"/>
        <w:adjustRightInd/>
        <w:spacing w:line="560" w:lineRule="exact"/>
        <w:ind w:left="0" w:firstLine="600" w:firstLineChars="200"/>
        <w:textAlignment w:val="auto"/>
        <w:rPr>
          <w:rFonts w:hint="eastAsia"/>
          <w:highlight w:val="none"/>
          <w:lang w:val="en-US" w:eastAsia="zh-CN"/>
        </w:rPr>
      </w:pPr>
      <w:r>
        <w:rPr>
          <w:rFonts w:hint="eastAsia"/>
          <w:highlight w:val="none"/>
          <w:lang w:val="en-US" w:eastAsia="zh-CN"/>
        </w:rPr>
        <w:t>主要内容：</w:t>
      </w:r>
      <w:r>
        <w:rPr>
          <w:rFonts w:hint="eastAsia"/>
          <w:color w:val="auto"/>
          <w:highlight w:val="none"/>
          <w:shd w:val="clear" w:color="auto" w:fill="auto"/>
          <w:lang w:val="en-US" w:eastAsia="zh-CN"/>
        </w:rPr>
        <w:t>物流园区的发展充分利用焉耆县的产业优势、区位优势和交通优势。同时，坚持与资源整合相结合的原则，一方面要合理整合焉耆县零散的经营企业和商户资源，提高现有物流资源的利用率;另一方面要根据实际情况，投入资金尽快体现其布局合理、功能完善的现代物流服务网络体系。</w:t>
      </w:r>
    </w:p>
    <w:p>
      <w:pPr>
        <w:pageBreakBefore w:val="0"/>
        <w:kinsoku/>
        <w:wordWrap/>
        <w:overflowPunct/>
        <w:topLinePunct w:val="0"/>
        <w:autoSpaceDE/>
        <w:autoSpaceDN/>
        <w:bidi w:val="0"/>
        <w:adjustRightInd/>
        <w:spacing w:line="560" w:lineRule="exact"/>
        <w:ind w:left="0" w:firstLine="600" w:firstLineChars="200"/>
        <w:textAlignment w:val="auto"/>
        <w:rPr>
          <w:rFonts w:hint="default"/>
          <w:highlight w:val="none"/>
          <w:lang w:val="en-US" w:eastAsia="zh-CN"/>
        </w:rPr>
      </w:pPr>
      <w:r>
        <w:rPr>
          <w:rFonts w:hint="eastAsia"/>
          <w:highlight w:val="none"/>
          <w:lang w:val="en-US" w:eastAsia="zh-CN"/>
        </w:rPr>
        <w:t>实施情况：新建项目主要完成仓储物流园仓储库房（二期）共5栋，其中，建筑钢结构厂房面积11803平方米、建设公厕70.58平方米，室外电气、管网等相关配套设施，按合同工期完成，现已竣工。及时拨付焉耆县</w:t>
      </w:r>
      <w:r>
        <w:rPr>
          <w:rFonts w:hint="default"/>
          <w:highlight w:val="none"/>
          <w:lang w:val="en-US" w:eastAsia="zh-CN"/>
        </w:rPr>
        <w:t>仓储物流园建设项目资金</w:t>
      </w:r>
      <w:r>
        <w:rPr>
          <w:rFonts w:hint="eastAsia"/>
          <w:highlight w:val="none"/>
          <w:lang w:val="en-US" w:eastAsia="zh-CN"/>
        </w:rPr>
        <w:t>172.39万元，用于该项目可研报告、设计费等。</w:t>
      </w:r>
    </w:p>
    <w:p>
      <w:pPr>
        <w:pageBreakBefore w:val="0"/>
        <w:kinsoku/>
        <w:wordWrap/>
        <w:overflowPunct/>
        <w:topLinePunct w:val="0"/>
        <w:autoSpaceDE/>
        <w:autoSpaceDN/>
        <w:bidi w:val="0"/>
        <w:adjustRightInd/>
        <w:spacing w:line="560" w:lineRule="exact"/>
        <w:ind w:left="0" w:firstLine="600" w:firstLineChars="200"/>
        <w:textAlignment w:val="auto"/>
        <w:rPr>
          <w:rFonts w:ascii="仿宋_GB2312"/>
        </w:rPr>
      </w:pPr>
      <w:r>
        <w:rPr>
          <w:rFonts w:ascii="仿宋_GB2312"/>
        </w:rPr>
        <w:t>4</w:t>
      </w:r>
      <w:r>
        <w:rPr>
          <w:rFonts w:hint="eastAsia" w:ascii="仿宋_GB2312"/>
        </w:rPr>
        <w:t>、资金投入和使用情况</w:t>
      </w:r>
    </w:p>
    <w:p>
      <w:pPr>
        <w:pageBreakBefore w:val="0"/>
        <w:kinsoku/>
        <w:wordWrap/>
        <w:overflowPunct/>
        <w:topLinePunct w:val="0"/>
        <w:autoSpaceDE/>
        <w:autoSpaceDN/>
        <w:bidi w:val="0"/>
        <w:adjustRightInd/>
        <w:spacing w:line="560" w:lineRule="exact"/>
        <w:ind w:left="0" w:firstLine="600" w:firstLineChars="200"/>
        <w:textAlignment w:val="auto"/>
        <w:rPr>
          <w:rFonts w:hint="eastAsia"/>
          <w:highlight w:val="none"/>
          <w:lang w:val="en-US" w:eastAsia="zh-CN"/>
        </w:rPr>
      </w:pPr>
      <w:r>
        <w:rPr>
          <w:rFonts w:hint="eastAsia"/>
          <w:highlight w:val="none"/>
          <w:lang w:val="en-US" w:eastAsia="zh-CN"/>
        </w:rPr>
        <w:t>资金投入情况：该项目年初预算数172.39万元，全年预算数172.39万元，实际总投入172.39万元，该项目资金已全部落实到位，资金来源为财政资金。</w:t>
      </w:r>
    </w:p>
    <w:p>
      <w:pPr>
        <w:pageBreakBefore w:val="0"/>
        <w:kinsoku/>
        <w:wordWrap/>
        <w:overflowPunct/>
        <w:topLinePunct w:val="0"/>
        <w:autoSpaceDE/>
        <w:autoSpaceDN/>
        <w:bidi w:val="0"/>
        <w:adjustRightInd/>
        <w:spacing w:line="560" w:lineRule="exact"/>
        <w:ind w:left="0" w:firstLine="600" w:firstLineChars="200"/>
        <w:textAlignment w:val="auto"/>
        <w:rPr>
          <w:rFonts w:hint="eastAsia"/>
          <w:highlight w:val="none"/>
          <w:lang w:val="en-US" w:eastAsia="zh-CN"/>
        </w:rPr>
      </w:pPr>
      <w:r>
        <w:rPr>
          <w:rFonts w:hint="eastAsia"/>
          <w:highlight w:val="none"/>
          <w:lang w:val="en-US" w:eastAsia="zh-CN"/>
        </w:rPr>
        <w:t>资金使用情况：该项目年初预算数172.39万元，全年预算数172.39万元，全年执行数172.39万元，预算执行率为100%，用于：该项目勘察及设计费172.39万元。</w:t>
      </w:r>
      <w:bookmarkStart w:id="2" w:name="_Toc68703829"/>
    </w:p>
    <w:p>
      <w:pPr>
        <w:pageBreakBefore w:val="0"/>
        <w:kinsoku/>
        <w:wordWrap/>
        <w:overflowPunct/>
        <w:topLinePunct w:val="0"/>
        <w:autoSpaceDE/>
        <w:autoSpaceDN/>
        <w:bidi w:val="0"/>
        <w:adjustRightInd/>
        <w:spacing w:line="560" w:lineRule="exact"/>
        <w:ind w:left="0" w:firstLine="600" w:firstLineChars="200"/>
        <w:textAlignment w:val="auto"/>
        <w:rPr>
          <w:rFonts w:hint="eastAsia"/>
          <w:lang w:val="en-US" w:eastAsia="zh-CN"/>
        </w:rPr>
      </w:pPr>
      <w:r>
        <w:rPr>
          <w:rFonts w:hint="eastAsia"/>
          <w:lang w:val="en-US" w:eastAsia="zh-CN"/>
        </w:rPr>
        <w:t>（二）项目绩效目标。</w:t>
      </w:r>
      <w:bookmarkEnd w:id="2"/>
    </w:p>
    <w:p>
      <w:pPr>
        <w:pageBreakBefore w:val="0"/>
        <w:kinsoku/>
        <w:wordWrap/>
        <w:overflowPunct/>
        <w:topLinePunct w:val="0"/>
        <w:autoSpaceDE/>
        <w:autoSpaceDN/>
        <w:bidi w:val="0"/>
        <w:adjustRightInd/>
        <w:spacing w:line="560" w:lineRule="exact"/>
        <w:ind w:left="0" w:firstLine="600" w:firstLineChars="200"/>
        <w:textAlignment w:val="auto"/>
        <w:rPr>
          <w:rFonts w:hint="eastAsia"/>
          <w:lang w:val="en-US" w:eastAsia="zh-CN"/>
        </w:rPr>
      </w:pPr>
      <w:r>
        <w:rPr>
          <w:rFonts w:hint="eastAsia"/>
          <w:lang w:val="en-US" w:eastAsia="zh-CN"/>
        </w:rPr>
        <w:t>1、总体目标：当地资源优势，以市场为导向，积极发展高品质现代物流产业项目，既满足新疆维吾尔自治区的经济和产业发展需求，又与本地区物流长远规划相适应，引进高附加值物流服务，将极大提升焉耆县整体形象，为地方政府和投资者带来经济、社会双重效益。</w:t>
      </w:r>
    </w:p>
    <w:p>
      <w:pPr>
        <w:pageBreakBefore w:val="0"/>
        <w:kinsoku/>
        <w:wordWrap/>
        <w:overflowPunct/>
        <w:topLinePunct w:val="0"/>
        <w:autoSpaceDE/>
        <w:autoSpaceDN/>
        <w:bidi w:val="0"/>
        <w:adjustRightInd/>
        <w:spacing w:line="560" w:lineRule="exact"/>
        <w:ind w:left="0" w:firstLine="600" w:firstLineChars="200"/>
        <w:textAlignment w:val="auto"/>
        <w:rPr>
          <w:rFonts w:hint="eastAsia"/>
          <w:highlight w:val="none"/>
          <w:lang w:val="en-US" w:eastAsia="zh-CN"/>
        </w:rPr>
      </w:pPr>
      <w:r>
        <w:rPr>
          <w:rFonts w:hint="eastAsia"/>
          <w:highlight w:val="none"/>
          <w:lang w:val="en-US" w:eastAsia="zh-CN"/>
        </w:rPr>
        <w:t>2、阶段性目标：</w:t>
      </w:r>
      <w:bookmarkStart w:id="3" w:name="_Toc68703830"/>
      <w:r>
        <w:rPr>
          <w:rFonts w:hint="eastAsia"/>
          <w:highlight w:val="none"/>
          <w:lang w:val="en-US" w:eastAsia="zh-CN"/>
        </w:rPr>
        <w:t>第一阶段，对项目市场、技术、财务环境等方面进行精确系统的分析，完成包括市场和销售、规模、原辅料、投资与成本、效益及风险等计算、论证和评价，判断项目是否可行，估计成功率大小、经济效益和社会效果程度。最后为决策者和主管机关审批的上报文件。第二阶段，坚持与资源整合相结合的原则，一方面要合理整合焉耆县零散的经营企业和商户资源，提高现有物流资源的利用率;另一方面要根据实际情况，投入资金尽快体现其布局合理、功能完善的现代物流服务网络体系。</w:t>
      </w:r>
    </w:p>
    <w:p>
      <w:pPr>
        <w:pageBreakBefore w:val="0"/>
        <w:kinsoku/>
        <w:wordWrap/>
        <w:overflowPunct/>
        <w:topLinePunct w:val="0"/>
        <w:autoSpaceDE/>
        <w:autoSpaceDN/>
        <w:bidi w:val="0"/>
        <w:adjustRightInd/>
        <w:spacing w:line="560" w:lineRule="exact"/>
        <w:ind w:left="0"/>
        <w:textAlignment w:val="auto"/>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二、绩效评价工作开展情况</w:t>
      </w:r>
      <w:bookmarkEnd w:id="3"/>
    </w:p>
    <w:p>
      <w:pPr>
        <w:pStyle w:val="5"/>
        <w:pageBreakBefore w:val="0"/>
        <w:widowControl w:val="0"/>
        <w:kinsoku/>
        <w:wordWrap/>
        <w:overflowPunct/>
        <w:topLinePunct w:val="0"/>
        <w:autoSpaceDE/>
        <w:autoSpaceDN/>
        <w:bidi w:val="0"/>
        <w:adjustRightInd/>
        <w:snapToGrid/>
        <w:spacing w:before="0" w:after="0" w:line="560" w:lineRule="exact"/>
        <w:ind w:left="0"/>
        <w:textAlignment w:val="auto"/>
        <w:rPr>
          <w:rFonts w:hint="eastAsia" w:ascii="Times New Roman" w:hAnsi="Times New Roman" w:eastAsia="仿宋_GB2312" w:cs="Times New Roman"/>
          <w:b w:val="0"/>
          <w:bCs w:val="0"/>
          <w:kern w:val="2"/>
          <w:sz w:val="30"/>
          <w:szCs w:val="24"/>
          <w:lang w:val="en-US" w:eastAsia="zh-CN" w:bidi="ar-SA"/>
        </w:rPr>
      </w:pPr>
      <w:bookmarkStart w:id="4" w:name="_Toc68703831"/>
      <w:r>
        <w:rPr>
          <w:rFonts w:hint="eastAsia" w:ascii="Times New Roman" w:hAnsi="Times New Roman" w:eastAsia="仿宋_GB2312" w:cs="Times New Roman"/>
          <w:b w:val="0"/>
          <w:bCs w:val="0"/>
          <w:kern w:val="2"/>
          <w:sz w:val="30"/>
          <w:szCs w:val="24"/>
          <w:lang w:val="en-US" w:eastAsia="zh-CN" w:bidi="ar-SA"/>
        </w:rPr>
        <w:t>（一）绩效评价目的、对象和范围。</w:t>
      </w:r>
      <w:bookmarkEnd w:id="4"/>
    </w:p>
    <w:p>
      <w:pPr>
        <w:pStyle w:val="5"/>
        <w:pageBreakBefore w:val="0"/>
        <w:widowControl w:val="0"/>
        <w:kinsoku/>
        <w:wordWrap/>
        <w:overflowPunct/>
        <w:topLinePunct w:val="0"/>
        <w:autoSpaceDE/>
        <w:autoSpaceDN/>
        <w:bidi w:val="0"/>
        <w:adjustRightInd/>
        <w:snapToGrid/>
        <w:spacing w:before="0" w:after="0" w:line="560" w:lineRule="exact"/>
        <w:ind w:left="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1、绩效评价目的：</w:t>
      </w:r>
    </w:p>
    <w:p>
      <w:pPr>
        <w:pageBreakBefore w:val="0"/>
        <w:widowControl w:val="0"/>
        <w:kinsoku/>
        <w:wordWrap/>
        <w:overflowPunct/>
        <w:topLinePunct w:val="0"/>
        <w:autoSpaceDE/>
        <w:autoSpaceDN/>
        <w:bidi w:val="0"/>
        <w:adjustRightInd/>
        <w:snapToGrid/>
        <w:spacing w:line="560" w:lineRule="exact"/>
        <w:ind w:left="0"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通过绩效评价，客观地评判项目的管理绩效，了解和掌握</w:t>
      </w:r>
      <w:r>
        <w:rPr>
          <w:rFonts w:hint="eastAsia"/>
          <w:lang w:val="en-US" w:eastAsia="zh-CN"/>
        </w:rPr>
        <w:t>焉耆县仓储物流园建设项</w:t>
      </w:r>
      <w:r>
        <w:rPr>
          <w:rFonts w:hint="eastAsia" w:ascii="Times New Roman" w:hAnsi="Times New Roman" w:eastAsia="仿宋_GB2312" w:cs="Times New Roman"/>
          <w:b w:val="0"/>
          <w:bCs w:val="0"/>
          <w:kern w:val="2"/>
          <w:sz w:val="30"/>
          <w:szCs w:val="24"/>
          <w:lang w:val="en-US" w:eastAsia="zh-CN" w:bidi="ar-SA"/>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pacing w:line="560" w:lineRule="exact"/>
        <w:ind w:left="0"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2、绩效评价对象：</w:t>
      </w:r>
    </w:p>
    <w:p>
      <w:pPr>
        <w:pageBreakBefore w:val="0"/>
        <w:kinsoku/>
        <w:wordWrap/>
        <w:overflowPunct/>
        <w:topLinePunct w:val="0"/>
        <w:autoSpaceDE/>
        <w:autoSpaceDN/>
        <w:bidi w:val="0"/>
        <w:adjustRightInd/>
        <w:spacing w:line="560" w:lineRule="exact"/>
        <w:ind w:left="0" w:firstLine="600" w:firstLineChars="200"/>
        <w:textAlignment w:val="auto"/>
        <w:rPr>
          <w:rFonts w:hint="eastAsia"/>
          <w:lang w:val="en-US" w:eastAsia="zh-CN"/>
        </w:rPr>
      </w:pPr>
      <w:r>
        <w:rPr>
          <w:rFonts w:hint="eastAsia"/>
          <w:lang w:val="en-US" w:eastAsia="zh-CN"/>
        </w:rPr>
        <w:t>焉耆县仓储物流园建设项目前期费</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3、绩效评价范围：</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lang w:val="en-US" w:eastAsia="zh-CN"/>
        </w:rPr>
        <w:t>焉耆县仓储物流园建设项目前期费</w:t>
      </w:r>
      <w:r>
        <w:rPr>
          <w:rFonts w:hint="eastAsia" w:ascii="Times New Roman" w:hAnsi="Times New Roman" w:eastAsia="仿宋_GB2312" w:cs="Times New Roman"/>
          <w:b w:val="0"/>
          <w:bCs w:val="0"/>
          <w:kern w:val="2"/>
          <w:sz w:val="30"/>
          <w:szCs w:val="24"/>
          <w:lang w:val="en-US" w:eastAsia="zh-CN" w:bidi="ar-SA"/>
        </w:rPr>
        <w:t>评价，评价核心为专项资金的支出完成情况和效果。</w:t>
      </w:r>
    </w:p>
    <w:p>
      <w:pPr>
        <w:pStyle w:val="5"/>
        <w:pageBreakBefore w:val="0"/>
        <w:kinsoku/>
        <w:wordWrap/>
        <w:overflowPunct/>
        <w:topLinePunct w:val="0"/>
        <w:autoSpaceDE/>
        <w:autoSpaceDN/>
        <w:bidi w:val="0"/>
        <w:adjustRightInd/>
        <w:spacing w:before="0" w:after="0" w:line="560" w:lineRule="exact"/>
        <w:ind w:left="0"/>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kinsoku/>
        <w:wordWrap/>
        <w:overflowPunct/>
        <w:topLinePunct w:val="0"/>
        <w:autoSpaceDE/>
        <w:autoSpaceDN/>
        <w:bidi w:val="0"/>
        <w:adjustRightInd/>
        <w:spacing w:line="560" w:lineRule="exact"/>
        <w:ind w:left="0"/>
        <w:textAlignment w:val="auto"/>
      </w:pPr>
      <w:r>
        <w:rPr>
          <w:rFonts w:hint="eastAsia"/>
        </w:rPr>
        <w:t>1、绩效评价原则</w:t>
      </w:r>
    </w:p>
    <w:p>
      <w:pPr>
        <w:pageBreakBefore w:val="0"/>
        <w:kinsoku/>
        <w:wordWrap/>
        <w:overflowPunct/>
        <w:topLinePunct w:val="0"/>
        <w:autoSpaceDE/>
        <w:autoSpaceDN/>
        <w:bidi w:val="0"/>
        <w:adjustRightInd/>
        <w:spacing w:line="560" w:lineRule="exact"/>
        <w:ind w:left="0" w:firstLine="640"/>
        <w:textAlignment w:val="auto"/>
        <w:rPr>
          <w:rFonts w:hint="eastAsia" w:ascii="仿宋" w:hAnsi="仿宋" w:eastAsia="仿宋" w:cs="仿宋"/>
          <w:bCs/>
          <w:sz w:val="32"/>
          <w:szCs w:val="32"/>
        </w:rPr>
      </w:pPr>
      <w:r>
        <w:rPr>
          <w:rFonts w:hint="eastAsia" w:ascii="仿宋" w:hAnsi="仿宋" w:eastAsia="仿宋" w:cs="仿宋"/>
          <w:bCs/>
          <w:sz w:val="32"/>
          <w:szCs w:val="32"/>
        </w:rPr>
        <w:t>（1）科学公正。绩效评价应当运用科学合理的方法，按照规范的程序，对项目绩效进行客观、公正的反映。</w:t>
      </w:r>
    </w:p>
    <w:p>
      <w:pPr>
        <w:pageBreakBefore w:val="0"/>
        <w:kinsoku/>
        <w:wordWrap/>
        <w:overflowPunct/>
        <w:topLinePunct w:val="0"/>
        <w:autoSpaceDE/>
        <w:autoSpaceDN/>
        <w:bidi w:val="0"/>
        <w:adjustRightInd/>
        <w:spacing w:line="560" w:lineRule="exact"/>
        <w:ind w:left="0" w:firstLine="640"/>
        <w:textAlignment w:val="auto"/>
        <w:rPr>
          <w:rFonts w:hint="eastAsia" w:ascii="仿宋" w:hAnsi="仿宋" w:eastAsia="仿宋" w:cs="仿宋"/>
          <w:bCs/>
          <w:sz w:val="32"/>
          <w:szCs w:val="32"/>
        </w:rPr>
      </w:pPr>
      <w:r>
        <w:rPr>
          <w:rFonts w:hint="eastAsia" w:ascii="仿宋" w:hAnsi="仿宋" w:eastAsia="仿宋" w:cs="仿宋"/>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ageBreakBefore w:val="0"/>
        <w:kinsoku/>
        <w:wordWrap/>
        <w:overflowPunct/>
        <w:topLinePunct w:val="0"/>
        <w:autoSpaceDE/>
        <w:autoSpaceDN/>
        <w:bidi w:val="0"/>
        <w:adjustRightInd/>
        <w:spacing w:line="560" w:lineRule="exact"/>
        <w:ind w:left="0" w:firstLine="640"/>
        <w:textAlignment w:val="auto"/>
        <w:rPr>
          <w:rFonts w:hint="eastAsia" w:ascii="仿宋" w:hAnsi="仿宋" w:eastAsia="仿宋" w:cs="仿宋"/>
          <w:bCs/>
          <w:sz w:val="32"/>
          <w:szCs w:val="32"/>
        </w:rPr>
      </w:pPr>
      <w:r>
        <w:rPr>
          <w:rFonts w:hint="eastAsia" w:ascii="仿宋" w:hAnsi="仿宋" w:eastAsia="仿宋" w:cs="仿宋"/>
          <w:bCs/>
          <w:sz w:val="32"/>
          <w:szCs w:val="32"/>
        </w:rPr>
        <w:t>（3）激励约束。绩效评价结果应与预算安排、政策调整、改进管理实质性挂钩，体现奖优罚劣和激励相容导向，有效要安排、低效要压减、无效要问责。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pacing w:line="560" w:lineRule="exact"/>
        <w:ind w:left="0" w:firstLine="640"/>
        <w:textAlignment w:val="auto"/>
        <w:rPr>
          <w:rFonts w:hint="eastAsia" w:ascii="仿宋" w:hAnsi="仿宋" w:eastAsia="仿宋" w:cs="仿宋"/>
          <w:bCs/>
          <w:sz w:val="32"/>
          <w:szCs w:val="32"/>
        </w:rPr>
      </w:pPr>
      <w:r>
        <w:rPr>
          <w:rFonts w:hint="eastAsia" w:ascii="仿宋" w:hAnsi="仿宋" w:eastAsia="仿宋" w:cs="仿宋"/>
          <w:bCs/>
          <w:sz w:val="32"/>
          <w:szCs w:val="32"/>
        </w:rPr>
        <w:t>（4）公开透明。绩效评价结果应依法依规公开，并自觉接受社会监督。</w:t>
      </w:r>
    </w:p>
    <w:p>
      <w:pPr>
        <w:pageBreakBefore w:val="0"/>
        <w:kinsoku/>
        <w:wordWrap/>
        <w:overflowPunct/>
        <w:topLinePunct w:val="0"/>
        <w:autoSpaceDE/>
        <w:autoSpaceDN/>
        <w:bidi w:val="0"/>
        <w:adjustRightInd/>
        <w:spacing w:line="560" w:lineRule="exact"/>
        <w:ind w:left="0" w:firstLine="600" w:firstLineChars="200"/>
        <w:textAlignment w:val="auto"/>
      </w:pPr>
      <w:r>
        <w:rPr>
          <w:rFonts w:hint="eastAsia" w:ascii="仿宋" w:hAnsi="仿宋" w:eastAsia="仿宋" w:cs="仿宋"/>
        </w:rPr>
        <w:t>本次项目支出绩效自评采用以上评价原则，根据《财政部关于印发&lt;财政支出绩效评价管理暂行办法&gt;的通知》（财预〔2011〕285号）、财政部《项目支出绩效评价管理办法》（财预﹝2020﹞10号）、关于印发《自治州财政支出绩效评价管理暂行办法》的通知（巴财预〔2019〕82号），我单位组织评价小组，对</w:t>
      </w:r>
      <w:r>
        <w:rPr>
          <w:rFonts w:hint="eastAsia"/>
          <w:lang w:val="en-US" w:eastAsia="zh-CN"/>
        </w:rPr>
        <w:t>焉耆县仓储物流园建设项目前期费</w:t>
      </w:r>
      <w:r>
        <w:rPr>
          <w:rFonts w:hint="eastAsia" w:ascii="仿宋" w:hAnsi="仿宋" w:eastAsia="仿宋" w:cs="仿宋"/>
        </w:rPr>
        <w:t>项目实施情况评价，部门评价和财政评价在单位自评的基础上开展，职责明确，各有侧重，相互衔接。根据绩效评价结果体现奖优罚劣和激励相容导向。绩效评价结果依法依规公开，并自觉接受社会监督，对项目绩效进行客观、公正的反映。</w:t>
      </w:r>
    </w:p>
    <w:p>
      <w:pPr>
        <w:pageBreakBefore w:val="0"/>
        <w:kinsoku/>
        <w:wordWrap/>
        <w:overflowPunct/>
        <w:topLinePunct w:val="0"/>
        <w:autoSpaceDE/>
        <w:autoSpaceDN/>
        <w:bidi w:val="0"/>
        <w:adjustRightInd/>
        <w:spacing w:line="560" w:lineRule="exact"/>
        <w:ind w:left="0"/>
        <w:textAlignment w:val="auto"/>
      </w:pPr>
      <w:r>
        <w:rPr>
          <w:rFonts w:hint="eastAsia"/>
        </w:rPr>
        <w:t>2、评价指标体系（附表说明）</w:t>
      </w:r>
    </w:p>
    <w:p>
      <w:pPr>
        <w:pStyle w:val="5"/>
        <w:pageBreakBefore w:val="0"/>
        <w:kinsoku/>
        <w:wordWrap/>
        <w:overflowPunct/>
        <w:topLinePunct w:val="0"/>
        <w:autoSpaceDE/>
        <w:autoSpaceDN/>
        <w:bidi w:val="0"/>
        <w:adjustRightInd/>
        <w:spacing w:before="0" w:after="0" w:line="560" w:lineRule="exact"/>
        <w:ind w:left="0"/>
        <w:jc w:val="both"/>
        <w:textAlignment w:val="auto"/>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焉耆县仓储物流园建设项目</w:t>
      </w:r>
      <w:r>
        <w:rPr>
          <w:rFonts w:hint="eastAsia" w:ascii="Times New Roman" w:hAnsi="Times New Roman" w:eastAsia="仿宋_GB2312" w:cs="Times New Roman"/>
          <w:b w:val="0"/>
          <w:bCs w:val="0"/>
          <w:sz w:val="30"/>
          <w:szCs w:val="24"/>
        </w:rPr>
        <w:t>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立项依据</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立项程序</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5</w:t>
            </w:r>
          </w:p>
        </w:tc>
        <w:tc>
          <w:tcPr>
            <w:tcW w:w="874" w:type="dxa"/>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绩效目标</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c>
          <w:tcPr>
            <w:tcW w:w="874" w:type="dxa"/>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绩效指标</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资金投入</w:t>
            </w:r>
          </w:p>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预算编制</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资金分配</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c>
          <w:tcPr>
            <w:tcW w:w="874" w:type="dxa"/>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资金使用</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组织实施</w:t>
            </w:r>
          </w:p>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管理制度</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制度执行</w:t>
            </w:r>
          </w:p>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c>
          <w:tcPr>
            <w:tcW w:w="874" w:type="dxa"/>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c>
          <w:tcPr>
            <w:tcW w:w="874" w:type="dxa"/>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shd w:val="clear" w:color="auto" w:fill="FFFFFF"/>
            <w:vAlign w:val="center"/>
          </w:tcPr>
          <w:p>
            <w:pPr>
              <w:pageBreakBefore w:val="0"/>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c>
          <w:tcPr>
            <w:tcW w:w="874" w:type="dxa"/>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c>
          <w:tcPr>
            <w:tcW w:w="874" w:type="dxa"/>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15</w:t>
            </w:r>
          </w:p>
        </w:tc>
        <w:tc>
          <w:tcPr>
            <w:tcW w:w="874" w:type="dxa"/>
            <w:shd w:val="clear" w:color="auto" w:fill="FFFFFF"/>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5</w:t>
            </w:r>
          </w:p>
        </w:tc>
        <w:tc>
          <w:tcPr>
            <w:tcW w:w="874" w:type="dxa"/>
            <w:shd w:val="clear" w:color="000000" w:fill="FFFFFF"/>
          </w:tcPr>
          <w:p>
            <w:pPr>
              <w:pageBreakBefore w:val="0"/>
              <w:kinsoku/>
              <w:wordWrap/>
              <w:overflowPunct/>
              <w:topLinePunct w:val="0"/>
              <w:autoSpaceDE/>
              <w:autoSpaceDN/>
              <w:bidi w:val="0"/>
              <w:adjustRightInd/>
              <w:spacing w:line="560" w:lineRule="exact"/>
              <w:ind w:left="0"/>
              <w:jc w:val="center"/>
              <w:textAlignment w:val="auto"/>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pageBreakBefore w:val="0"/>
              <w:widowControl/>
              <w:kinsoku/>
              <w:wordWrap/>
              <w:overflowPunct/>
              <w:topLinePunct w:val="0"/>
              <w:autoSpaceDE/>
              <w:autoSpaceDN/>
              <w:bidi w:val="0"/>
              <w:adjustRightInd/>
              <w:spacing w:line="560" w:lineRule="exact"/>
              <w:ind w:left="0"/>
              <w:jc w:val="center"/>
              <w:textAlignment w:val="auto"/>
              <w:rPr>
                <w:rFonts w:ascii="宋体" w:hAnsi="宋体" w:cs="宋体"/>
                <w:color w:val="000000"/>
                <w:kern w:val="0"/>
                <w:sz w:val="22"/>
              </w:rPr>
            </w:pPr>
          </w:p>
        </w:tc>
        <w:tc>
          <w:tcPr>
            <w:tcW w:w="990" w:type="dxa"/>
            <w:tcBorders>
              <w:left w:val="single" w:color="auto" w:sz="4" w:space="0"/>
            </w:tcBorders>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pageBreakBefore w:val="0"/>
              <w:widowControl/>
              <w:kinsoku/>
              <w:wordWrap/>
              <w:overflowPunct/>
              <w:topLinePunct w:val="0"/>
              <w:autoSpaceDE/>
              <w:autoSpaceDN/>
              <w:bidi w:val="0"/>
              <w:adjustRightInd/>
              <w:spacing w:line="560" w:lineRule="exact"/>
              <w:ind w:left="0"/>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pageBreakBefore w:val="0"/>
        <w:kinsoku/>
        <w:wordWrap/>
        <w:overflowPunct/>
        <w:topLinePunct w:val="0"/>
        <w:autoSpaceDE/>
        <w:autoSpaceDN/>
        <w:bidi w:val="0"/>
        <w:adjustRightInd/>
        <w:spacing w:line="560" w:lineRule="exact"/>
        <w:ind w:left="0"/>
        <w:textAlignment w:val="auto"/>
        <w:sectPr>
          <w:pgSz w:w="11906" w:h="16838"/>
          <w:pgMar w:top="1928" w:right="1531" w:bottom="1701" w:left="1531" w:header="737" w:footer="851" w:gutter="0"/>
          <w:cols w:space="720" w:num="1"/>
          <w:docGrid w:type="lines" w:linePitch="408" w:charSpace="0"/>
        </w:sectPr>
      </w:pPr>
    </w:p>
    <w:p>
      <w:pPr>
        <w:pageBreakBefore w:val="0"/>
        <w:kinsoku/>
        <w:wordWrap/>
        <w:overflowPunct/>
        <w:topLinePunct w:val="0"/>
        <w:autoSpaceDE/>
        <w:autoSpaceDN/>
        <w:bidi w:val="0"/>
        <w:adjustRightInd/>
        <w:spacing w:line="560" w:lineRule="exact"/>
        <w:ind w:left="0"/>
        <w:textAlignment w:val="auto"/>
      </w:pPr>
      <w:r>
        <w:rPr>
          <w:rFonts w:hint="eastAsia"/>
        </w:rPr>
        <w:t>3、评价方法</w:t>
      </w:r>
    </w:p>
    <w:p>
      <w:pPr>
        <w:pageBreakBefore w:val="0"/>
        <w:kinsoku/>
        <w:wordWrap/>
        <w:overflowPunct/>
        <w:topLinePunct w:val="0"/>
        <w:autoSpaceDE/>
        <w:autoSpaceDN/>
        <w:bidi w:val="0"/>
        <w:adjustRightInd/>
        <w:spacing w:line="560" w:lineRule="exact"/>
        <w:ind w:left="0" w:firstLine="600" w:firstLineChars="200"/>
        <w:textAlignment w:val="auto"/>
        <w:rPr>
          <w:rFonts w:hint="eastAsia"/>
          <w:highlight w:val="none"/>
        </w:rPr>
      </w:pPr>
      <w:r>
        <w:rPr>
          <w:rFonts w:hint="eastAsia"/>
          <w:highlight w:val="none"/>
        </w:rPr>
        <w:t>比较法。是指将实施情况与绩效目标、历史情况、不同部门和地区同类支出情况进行比较的方法。</w:t>
      </w:r>
    </w:p>
    <w:p>
      <w:pPr>
        <w:pageBreakBefore w:val="0"/>
        <w:kinsoku/>
        <w:wordWrap/>
        <w:overflowPunct/>
        <w:topLinePunct w:val="0"/>
        <w:autoSpaceDE/>
        <w:autoSpaceDN/>
        <w:bidi w:val="0"/>
        <w:adjustRightInd/>
        <w:spacing w:line="560" w:lineRule="exact"/>
        <w:ind w:left="0" w:firstLine="600" w:firstLineChars="200"/>
        <w:textAlignment w:val="auto"/>
        <w:rPr>
          <w:rFonts w:hint="eastAsia"/>
          <w:highlight w:val="none"/>
        </w:rPr>
      </w:pPr>
      <w:r>
        <w:rPr>
          <w:rFonts w:hint="eastAsia"/>
          <w:highlight w:val="none"/>
        </w:rPr>
        <w:t>本次项目支出绩效自评采用比较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w:t>
      </w:r>
    </w:p>
    <w:p>
      <w:pPr>
        <w:pageBreakBefore w:val="0"/>
        <w:kinsoku/>
        <w:wordWrap/>
        <w:overflowPunct/>
        <w:topLinePunct w:val="0"/>
        <w:autoSpaceDE/>
        <w:autoSpaceDN/>
        <w:bidi w:val="0"/>
        <w:adjustRightInd/>
        <w:spacing w:line="560" w:lineRule="exact"/>
        <w:ind w:left="0" w:firstLine="600" w:firstLineChars="200"/>
        <w:textAlignment w:val="auto"/>
        <w:rPr>
          <w:highlight w:val="none"/>
        </w:rPr>
      </w:pPr>
      <w:r>
        <w:rPr>
          <w:rFonts w:hint="eastAsia"/>
          <w:highlight w:val="none"/>
        </w:rPr>
        <w:t>原因是：比较法能通过对年初设置的三级指标内容、历年该项目完成历史情况与当年完成情况进行对比，可以清楚明了体现出项目实施情况，在此基础上进行评价。</w:t>
      </w:r>
    </w:p>
    <w:p>
      <w:pPr>
        <w:pageBreakBefore w:val="0"/>
        <w:kinsoku/>
        <w:wordWrap/>
        <w:overflowPunct/>
        <w:topLinePunct w:val="0"/>
        <w:autoSpaceDE/>
        <w:autoSpaceDN/>
        <w:bidi w:val="0"/>
        <w:adjustRightInd/>
        <w:spacing w:line="560" w:lineRule="exact"/>
        <w:ind w:left="0"/>
        <w:textAlignment w:val="auto"/>
      </w:pPr>
      <w:r>
        <w:rPr>
          <w:rFonts w:hint="eastAsia"/>
        </w:rPr>
        <w:t>4、评价标准</w:t>
      </w:r>
    </w:p>
    <w:p>
      <w:pPr>
        <w:pageBreakBefore w:val="0"/>
        <w:kinsoku/>
        <w:wordWrap/>
        <w:overflowPunct/>
        <w:topLinePunct w:val="0"/>
        <w:autoSpaceDE/>
        <w:autoSpaceDN/>
        <w:bidi w:val="0"/>
        <w:adjustRightIn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计划标准。指以预先制定的目标、计划、预算、定额等作为评价标准。</w:t>
      </w:r>
    </w:p>
    <w:p>
      <w:pPr>
        <w:pageBreakBefore w:val="0"/>
        <w:kinsoku/>
        <w:wordWrap/>
        <w:overflowPunct/>
        <w:topLinePunct w:val="0"/>
        <w:autoSpaceDE/>
        <w:autoSpaceDN/>
        <w:bidi w:val="0"/>
        <w:adjustRightInd/>
        <w:spacing w:line="560" w:lineRule="exact"/>
        <w:ind w:left="0" w:firstLine="640" w:firstLineChars="200"/>
        <w:textAlignment w:val="auto"/>
        <w:rPr>
          <w:rFonts w:hint="eastAsia"/>
          <w:bCs/>
          <w:color w:val="FF0000"/>
          <w:sz w:val="32"/>
          <w:szCs w:val="32"/>
        </w:rPr>
      </w:pPr>
      <w:r>
        <w:rPr>
          <w:rFonts w:hint="eastAsia" w:ascii="仿宋" w:hAnsi="仿宋" w:eastAsia="仿宋" w:cs="仿宋"/>
          <w:sz w:val="32"/>
          <w:szCs w:val="32"/>
        </w:rP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pPr>
        <w:pageBreakBefore w:val="0"/>
        <w:numPr>
          <w:ilvl w:val="0"/>
          <w:numId w:val="1"/>
        </w:numPr>
        <w:kinsoku/>
        <w:wordWrap/>
        <w:overflowPunct/>
        <w:topLinePunct w:val="0"/>
        <w:autoSpaceDE/>
        <w:autoSpaceDN/>
        <w:bidi w:val="0"/>
        <w:adjustRightInd/>
        <w:spacing w:line="560" w:lineRule="exact"/>
        <w:ind w:left="0"/>
        <w:textAlignment w:val="auto"/>
        <w:rPr>
          <w:rFonts w:hint="eastAsia" w:ascii="仿宋_GB2312" w:eastAsia="仿宋_GB2312"/>
          <w:b w:val="0"/>
          <w:bCs w:val="0"/>
        </w:rPr>
      </w:pPr>
      <w:bookmarkStart w:id="6" w:name="_Toc68703833"/>
      <w:r>
        <w:rPr>
          <w:rFonts w:hint="eastAsia" w:ascii="仿宋_GB2312" w:eastAsia="仿宋_GB2312"/>
          <w:b w:val="0"/>
          <w:bCs w:val="0"/>
        </w:rPr>
        <w:t>绩效评价工作过程。</w:t>
      </w:r>
      <w:bookmarkEnd w:id="6"/>
    </w:p>
    <w:p>
      <w:pPr>
        <w:pageBreakBefore w:val="0"/>
        <w:numPr>
          <w:ilvl w:val="0"/>
          <w:numId w:val="0"/>
        </w:numPr>
        <w:kinsoku/>
        <w:wordWrap/>
        <w:overflowPunct/>
        <w:topLinePunct w:val="0"/>
        <w:autoSpaceDE/>
        <w:autoSpaceDN/>
        <w:bidi w:val="0"/>
        <w:adjustRightInd/>
        <w:spacing w:line="560" w:lineRule="exact"/>
        <w:ind w:left="0"/>
        <w:textAlignment w:val="auto"/>
        <w:rPr>
          <w:rFonts w:hint="eastAsia" w:ascii="仿宋" w:hAnsi="仿宋" w:eastAsia="仿宋" w:cs="仿宋"/>
        </w:rPr>
      </w:pPr>
      <w:r>
        <w:rPr>
          <w:rFonts w:hint="eastAsia" w:ascii="仿宋" w:hAnsi="仿宋" w:eastAsia="仿宋" w:cs="仿宋"/>
        </w:rPr>
        <w:t>1、前期准备：</w:t>
      </w:r>
      <w:r>
        <w:rPr>
          <w:rFonts w:hint="eastAsia" w:ascii="仿宋" w:hAnsi="仿宋" w:eastAsia="仿宋" w:cs="仿宋"/>
          <w:lang w:val="zh-CN"/>
        </w:rPr>
        <w:t>评价组通过前期调研</w:t>
      </w:r>
      <w:r>
        <w:rPr>
          <w:rFonts w:hint="eastAsia" w:ascii="仿宋" w:hAnsi="仿宋" w:eastAsia="仿宋" w:cs="仿宋"/>
        </w:rPr>
        <w:t>确定绩效评价对象和范围，</w:t>
      </w:r>
      <w:r>
        <w:rPr>
          <w:rFonts w:hint="eastAsia" w:ascii="仿宋" w:hAnsi="仿宋" w:eastAsia="仿宋" w:cs="仿宋"/>
          <w:lang w:val="zh-CN"/>
        </w:rPr>
        <w:t>确定了评价的目的、方法以及评价的原则，根据项目的内容和特征制定了评价指标体系及评价标准以及评价实施方案，修正并确定所需资料清单，最终确定</w:t>
      </w:r>
      <w:r>
        <w:rPr>
          <w:rFonts w:hint="eastAsia" w:ascii="仿宋" w:hAnsi="仿宋" w:eastAsia="仿宋" w:cs="仿宋"/>
        </w:rPr>
        <w:t>绩效评价工作方案；</w:t>
      </w:r>
    </w:p>
    <w:p>
      <w:pPr>
        <w:pageBreakBefore w:val="0"/>
        <w:kinsoku/>
        <w:wordWrap/>
        <w:overflowPunct/>
        <w:topLinePunct w:val="0"/>
        <w:autoSpaceDE/>
        <w:autoSpaceDN/>
        <w:bidi w:val="0"/>
        <w:adjustRightInd/>
        <w:spacing w:line="560" w:lineRule="exact"/>
        <w:ind w:left="0"/>
        <w:textAlignment w:val="auto"/>
        <w:rPr>
          <w:rFonts w:hint="eastAsia" w:ascii="仿宋" w:hAnsi="仿宋" w:eastAsia="仿宋" w:cs="仿宋"/>
        </w:rPr>
      </w:pPr>
      <w:r>
        <w:rPr>
          <w:rFonts w:hint="eastAsia" w:ascii="仿宋" w:hAnsi="仿宋" w:eastAsia="仿宋" w:cs="仿宋"/>
        </w:rPr>
        <w:t xml:space="preserve">2、组织实施：评价组收集绩效评价相关数据资料，进行现场调研、座谈；并与项目实施负责人沟通，了解资金的内容、操作流程、管理机制、资金使用方向等情况，分析形成初步结论。 </w:t>
      </w:r>
    </w:p>
    <w:p>
      <w:pPr>
        <w:pageBreakBefore w:val="0"/>
        <w:kinsoku/>
        <w:wordWrap/>
        <w:overflowPunct/>
        <w:topLinePunct w:val="0"/>
        <w:autoSpaceDE/>
        <w:autoSpaceDN/>
        <w:bidi w:val="0"/>
        <w:adjustRightInd/>
        <w:spacing w:line="560" w:lineRule="exact"/>
        <w:ind w:left="0"/>
        <w:textAlignment w:val="auto"/>
      </w:pPr>
      <w:r>
        <w:rPr>
          <w:rFonts w:hint="eastAsia" w:ascii="仿宋" w:hAnsi="仿宋" w:eastAsia="仿宋" w:cs="仿宋"/>
        </w:rPr>
        <w:t>3、分析评价：</w:t>
      </w:r>
      <w:r>
        <w:rPr>
          <w:rFonts w:hint="eastAsia" w:ascii="仿宋" w:hAnsi="仿宋" w:eastAsia="仿宋" w:cs="仿宋"/>
          <w:b w:val="0"/>
          <w:bCs w:val="0"/>
          <w:kern w:val="2"/>
          <w:sz w:val="30"/>
          <w:szCs w:val="24"/>
          <w:lang w:val="en-US" w:eastAsia="zh-CN" w:bidi="ar-SA"/>
        </w:rPr>
        <w:t>评价组按照绩效评价的原则和规范，对取得的资料进行审查核实，对采集的数据进行分析，按照绩效评价指标评分表逐项进行打分、分析，汇总各方评价结果，综合分析并形成评价结论。</w:t>
      </w:r>
    </w:p>
    <w:p>
      <w:pPr>
        <w:pStyle w:val="4"/>
        <w:pageBreakBefore w:val="0"/>
        <w:kinsoku/>
        <w:wordWrap/>
        <w:overflowPunct/>
        <w:topLinePunct w:val="0"/>
        <w:autoSpaceDE/>
        <w:autoSpaceDN/>
        <w:bidi w:val="0"/>
        <w:adjustRightInd/>
        <w:spacing w:before="0" w:after="0" w:line="560" w:lineRule="exact"/>
        <w:ind w:left="0"/>
        <w:textAlignment w:val="auto"/>
        <w:rPr>
          <w:rFonts w:hint="eastAsia" w:ascii="仿宋" w:hAnsi="仿宋" w:eastAsia="仿宋" w:cs="仿宋"/>
          <w:sz w:val="32"/>
          <w:szCs w:val="32"/>
        </w:rPr>
      </w:pPr>
      <w:bookmarkStart w:id="7" w:name="_Toc68703834"/>
      <w:r>
        <w:rPr>
          <w:rFonts w:hint="eastAsia" w:ascii="仿宋" w:hAnsi="仿宋" w:eastAsia="仿宋" w:cs="仿宋"/>
          <w:sz w:val="32"/>
          <w:szCs w:val="32"/>
        </w:rPr>
        <w:t>三、综合评价情况及评价结论</w:t>
      </w:r>
      <w:bookmarkEnd w:id="7"/>
    </w:p>
    <w:p>
      <w:pPr>
        <w:pStyle w:val="5"/>
        <w:pageBreakBefore w:val="0"/>
        <w:kinsoku/>
        <w:wordWrap/>
        <w:overflowPunct/>
        <w:topLinePunct w:val="0"/>
        <w:autoSpaceDE/>
        <w:autoSpaceDN/>
        <w:bidi w:val="0"/>
        <w:adjustRightInd/>
        <w:spacing w:before="0" w:after="0" w:line="560" w:lineRule="exact"/>
        <w:ind w:left="0"/>
        <w:textAlignment w:val="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kinsoku/>
        <w:wordWrap/>
        <w:overflowPunct/>
        <w:topLinePunct w:val="0"/>
        <w:autoSpaceDE/>
        <w:autoSpaceDN/>
        <w:bidi w:val="0"/>
        <w:adjustRightInd/>
        <w:spacing w:line="560" w:lineRule="exact"/>
        <w:ind w:left="0" w:firstLine="600" w:firstLineChars="200"/>
        <w:jc w:val="center"/>
        <w:textAlignment w:val="auto"/>
        <w:rPr>
          <w:color w:val="FF0000"/>
        </w:rPr>
      </w:pPr>
      <w:r>
        <w:rPr>
          <w:rFonts w:hint="eastAsia" w:ascii="仿宋" w:hAnsi="仿宋" w:eastAsia="仿宋" w:cs="仿宋"/>
          <w:color w:val="000000" w:themeColor="text1"/>
          <w14:textFill>
            <w14:solidFill>
              <w14:schemeClr w14:val="tx1"/>
            </w14:solidFill>
          </w14:textFill>
        </w:rPr>
        <w:t>本项目严格按照科学公正、统筹兼顾、激励约束、公开透明绩效评价原则，采用比较法评价方法，坚持计划绩效评价标准对本项目的立项、项绩效目标、资金投入、资金管理、组织实施、产出数量、产出质量、产出时效、产出成本、项目效益进行了综合评价。</w:t>
      </w:r>
      <w:r>
        <w:rPr>
          <w:rFonts w:hint="eastAsia" w:ascii="仿宋" w:hAnsi="仿宋" w:eastAsia="仿宋" w:cs="仿宋"/>
          <w:color w:val="000000" w:themeColor="text1"/>
          <w:lang w:val="en-US" w:eastAsia="zh-CN"/>
          <w14:textFill>
            <w14:solidFill>
              <w14:schemeClr w14:val="tx1"/>
            </w14:solidFill>
          </w14:textFill>
        </w:rPr>
        <w:t>2023年</w:t>
      </w:r>
      <w:r>
        <w:rPr>
          <w:rFonts w:hint="eastAsia"/>
          <w:lang w:val="en-US" w:eastAsia="zh-CN"/>
        </w:rPr>
        <w:t>焉耆县仓储物流园建设</w:t>
      </w:r>
      <w:r>
        <w:rPr>
          <w:rFonts w:hint="eastAsia" w:ascii="仿宋" w:hAnsi="仿宋" w:eastAsia="仿宋" w:cs="仿宋"/>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60" w:lineRule="exact"/>
              <w:ind w:left="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60" w:lineRule="exact"/>
              <w:ind w:left="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60" w:lineRule="exact"/>
              <w:ind w:left="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ind w:left="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5"/>
        <w:pageBreakBefore w:val="0"/>
        <w:kinsoku/>
        <w:wordWrap/>
        <w:overflowPunct/>
        <w:topLinePunct w:val="0"/>
        <w:autoSpaceDE/>
        <w:autoSpaceDN/>
        <w:bidi w:val="0"/>
        <w:adjustRightInd/>
        <w:spacing w:before="0" w:after="0" w:line="560" w:lineRule="exact"/>
        <w:ind w:left="0"/>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kinsoku/>
        <w:wordWrap/>
        <w:overflowPunct/>
        <w:topLinePunct w:val="0"/>
        <w:autoSpaceDE/>
        <w:autoSpaceDN/>
        <w:bidi w:val="0"/>
        <w:adjustRightInd/>
        <w:spacing w:line="560" w:lineRule="exact"/>
        <w:ind w:left="0" w:firstLine="600" w:firstLineChars="200"/>
        <w:textAlignment w:val="auto"/>
        <w:rPr>
          <w:color w:val="FF0000"/>
        </w:rPr>
      </w:pPr>
      <w:r>
        <w:rPr>
          <w:rFonts w:hint="eastAsia" w:ascii="仿宋" w:hAnsi="仿宋" w:eastAsia="仿宋" w:cs="仿宋"/>
        </w:rPr>
        <w:t>本项目的项目决策、项目过程、项目产出、项目效益均达到了预期要求，最终得分为100分，项目达成年度指标。</w:t>
      </w:r>
    </w:p>
    <w:p>
      <w:pPr>
        <w:pStyle w:val="4"/>
        <w:pageBreakBefore w:val="0"/>
        <w:kinsoku/>
        <w:wordWrap/>
        <w:overflowPunct/>
        <w:topLinePunct w:val="0"/>
        <w:autoSpaceDE/>
        <w:autoSpaceDN/>
        <w:bidi w:val="0"/>
        <w:adjustRightInd/>
        <w:spacing w:before="0" w:after="0" w:line="560" w:lineRule="exact"/>
        <w:ind w:left="0"/>
        <w:textAlignment w:val="auto"/>
        <w:rPr>
          <w:rFonts w:hint="eastAsia" w:ascii="仿宋" w:hAnsi="仿宋" w:eastAsia="仿宋" w:cs="仿宋"/>
          <w:sz w:val="32"/>
          <w:szCs w:val="32"/>
        </w:rPr>
      </w:pPr>
      <w:bookmarkStart w:id="10" w:name="_Toc68703837"/>
      <w:r>
        <w:rPr>
          <w:rFonts w:hint="eastAsia" w:ascii="仿宋" w:hAnsi="仿宋" w:eastAsia="仿宋" w:cs="仿宋"/>
          <w:sz w:val="32"/>
          <w:szCs w:val="32"/>
        </w:rPr>
        <w:t>四、绩效评价指标分析</w:t>
      </w:r>
      <w:bookmarkEnd w:id="10"/>
    </w:p>
    <w:p>
      <w:pPr>
        <w:pStyle w:val="5"/>
        <w:pageBreakBefore w:val="0"/>
        <w:kinsoku/>
        <w:wordWrap/>
        <w:overflowPunct/>
        <w:topLinePunct w:val="0"/>
        <w:autoSpaceDE/>
        <w:autoSpaceDN/>
        <w:bidi w:val="0"/>
        <w:adjustRightInd/>
        <w:spacing w:before="0" w:after="0" w:line="560" w:lineRule="exact"/>
        <w:ind w:left="0"/>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pacing w:line="560" w:lineRule="exact"/>
        <w:ind w:left="0"/>
        <w:textAlignment w:val="auto"/>
      </w:pPr>
      <w:r>
        <w:rPr>
          <w:rFonts w:hint="eastAsia"/>
        </w:rPr>
        <w:t>1、立项依据充分性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lang w:val="en-US" w:eastAsia="zh-CN"/>
        </w:rPr>
      </w:pPr>
      <w:r>
        <w:rPr>
          <w:rFonts w:hint="eastAsia"/>
          <w:lang w:val="en-US" w:eastAsia="zh-CN"/>
        </w:rPr>
        <w:t>根据国家发改委、建设部《建设项目经济评价方法与参数》(第三版)(发改投资[2006]1325号);《中华人民共和国环境保护法》(2015年1月1日);《中华人民共和国节约能源法》(主席令第七十七号令《国务院关于加强节能工作的决定》(国发[2006]28号)，以焉耆县发展战略为指导，充分考虑焉耆县经济发展需要，通过优化物流体系，为项目区企业提高竞争力、优化产业结构、改善国民经济高新效率、促进各产业健康发展服务。</w:t>
      </w:r>
    </w:p>
    <w:p>
      <w:pPr>
        <w:pageBreakBefore w:val="0"/>
        <w:kinsoku/>
        <w:wordWrap/>
        <w:overflowPunct/>
        <w:topLinePunct w:val="0"/>
        <w:autoSpaceDE/>
        <w:autoSpaceDN/>
        <w:bidi w:val="0"/>
        <w:adjustRightInd/>
        <w:spacing w:line="560" w:lineRule="exact"/>
        <w:ind w:left="0"/>
        <w:textAlignment w:val="auto"/>
      </w:pPr>
      <w:r>
        <w:rPr>
          <w:rFonts w:hint="eastAsia"/>
        </w:rPr>
        <w:t>2、立项程序规范性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rPr>
        <w:t>该项目按照规定的程序申请设立，具有完整的审批文件、材料。</w:t>
      </w:r>
    </w:p>
    <w:p>
      <w:pPr>
        <w:pageBreakBefore w:val="0"/>
        <w:kinsoku/>
        <w:wordWrap/>
        <w:overflowPunct/>
        <w:topLinePunct w:val="0"/>
        <w:autoSpaceDE/>
        <w:autoSpaceDN/>
        <w:bidi w:val="0"/>
        <w:adjustRightInd/>
        <w:spacing w:line="560" w:lineRule="exact"/>
        <w:ind w:left="0"/>
        <w:textAlignment w:val="auto"/>
      </w:pPr>
      <w:r>
        <w:rPr>
          <w:rFonts w:hint="eastAsia"/>
        </w:rPr>
        <w:t>3、绩效目标合理性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color w:val="000000" w:themeColor="text1"/>
          <w:lang w:val="en-US" w:eastAsia="zh-CN"/>
          <w14:textFill>
            <w14:solidFill>
              <w14:schemeClr w14:val="tx1"/>
            </w14:solidFill>
          </w14:textFill>
        </w:rPr>
        <w:t>2023年</w:t>
      </w:r>
      <w:r>
        <w:rPr>
          <w:rFonts w:hint="eastAsia"/>
          <w:lang w:val="en-US" w:eastAsia="zh-CN"/>
        </w:rPr>
        <w:t>焉耆县仓储物流园建设</w:t>
      </w:r>
      <w:r>
        <w:rPr>
          <w:rFonts w:hint="eastAsia" w:ascii="仿宋" w:hAnsi="仿宋" w:eastAsia="仿宋" w:cs="仿宋"/>
        </w:rPr>
        <w:t>项目设立了项目绩效目标，与</w:t>
      </w:r>
      <w:r>
        <w:rPr>
          <w:rFonts w:hint="eastAsia" w:ascii="仿宋" w:hAnsi="仿宋" w:eastAsia="仿宋" w:cs="仿宋"/>
          <w:color w:val="000000" w:themeColor="text1"/>
          <w:lang w:val="en-US" w:eastAsia="zh-CN"/>
          <w14:textFill>
            <w14:solidFill>
              <w14:schemeClr w14:val="tx1"/>
            </w14:solidFill>
          </w14:textFill>
        </w:rPr>
        <w:t>2023年</w:t>
      </w:r>
      <w:r>
        <w:rPr>
          <w:rFonts w:hint="eastAsia"/>
          <w:lang w:val="en-US" w:eastAsia="zh-CN"/>
        </w:rPr>
        <w:t>焉耆县仓储物流园建设</w:t>
      </w:r>
      <w:r>
        <w:rPr>
          <w:rFonts w:hint="eastAsia" w:ascii="仿宋" w:hAnsi="仿宋" w:eastAsia="仿宋" w:cs="仿宋"/>
        </w:rPr>
        <w:t>项目</w:t>
      </w:r>
      <w:r>
        <w:rPr>
          <w:rFonts w:hint="eastAsia" w:ascii="仿宋" w:hAnsi="仿宋" w:eastAsia="仿宋" w:cs="仿宋"/>
          <w:lang w:val="en-US" w:eastAsia="zh-CN"/>
        </w:rPr>
        <w:t>可研</w:t>
      </w:r>
      <w:r>
        <w:rPr>
          <w:rFonts w:hint="eastAsia" w:ascii="仿宋" w:hAnsi="仿宋" w:eastAsia="仿宋" w:cs="仿宋"/>
        </w:rPr>
        <w:t>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pacing w:line="560" w:lineRule="exact"/>
        <w:ind w:left="0"/>
        <w:textAlignment w:val="auto"/>
      </w:pPr>
      <w:r>
        <w:rPr>
          <w:rFonts w:hint="eastAsia"/>
        </w:rPr>
        <w:t>4、绩效指标明确性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bookmarkStart w:id="12" w:name="_Hlk68699917"/>
      <w:r>
        <w:rPr>
          <w:rFonts w:hint="eastAsia"/>
          <w:lang w:val="en-US" w:eastAsia="zh-CN"/>
        </w:rPr>
        <w:t>焉耆县仓储物流园建设</w:t>
      </w:r>
      <w:r>
        <w:rPr>
          <w:rFonts w:hint="eastAsia" w:ascii="仿宋" w:hAnsi="仿宋" w:eastAsia="仿宋" w:cs="仿宋"/>
        </w:rPr>
        <w:t>项目将项目绩效目标细化分解为具体的绩效指标，一级指标共3条，二级指标共7条，三级指标共8条，其中量化指标条数共6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pacing w:line="560" w:lineRule="exact"/>
        <w:ind w:left="0"/>
        <w:textAlignment w:val="auto"/>
      </w:pPr>
      <w:r>
        <w:rPr>
          <w:rFonts w:hint="eastAsia"/>
        </w:rPr>
        <w:t>5、预算编制科学性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rPr>
        <w:t>该项目预算编制经过科学论证；预算内容与项目内容匹配；预算额度测算依据充分，符合标准编制；预算确定的项目投资额或资金量与工作任务相匹配。</w:t>
      </w:r>
    </w:p>
    <w:p>
      <w:pPr>
        <w:pageBreakBefore w:val="0"/>
        <w:kinsoku/>
        <w:wordWrap/>
        <w:overflowPunct/>
        <w:topLinePunct w:val="0"/>
        <w:autoSpaceDE/>
        <w:autoSpaceDN/>
        <w:bidi w:val="0"/>
        <w:adjustRightInd/>
        <w:spacing w:line="560" w:lineRule="exact"/>
        <w:ind w:left="0"/>
        <w:textAlignment w:val="auto"/>
      </w:pPr>
      <w:r>
        <w:rPr>
          <w:rFonts w:hint="eastAsia"/>
        </w:rPr>
        <w:t>6、资金分配合理性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highlight w:val="green"/>
        </w:rPr>
      </w:pPr>
      <w:bookmarkStart w:id="13" w:name="_Toc68703839"/>
      <w:r>
        <w:rPr>
          <w:rFonts w:hint="eastAsia" w:ascii="仿宋" w:hAnsi="仿宋" w:eastAsia="仿宋" w:cs="仿宋"/>
        </w:rPr>
        <w:t>该项目预算资金分配依据充分；资金分配额度合理，与项目单位或地方实际相适应。年初预算数172.39万元，全年预算172.39万元，全年执行数172.39万元。</w:t>
      </w:r>
    </w:p>
    <w:p>
      <w:pPr>
        <w:pStyle w:val="5"/>
        <w:pageBreakBefore w:val="0"/>
        <w:kinsoku/>
        <w:wordWrap/>
        <w:overflowPunct/>
        <w:topLinePunct w:val="0"/>
        <w:autoSpaceDE/>
        <w:autoSpaceDN/>
        <w:bidi w:val="0"/>
        <w:adjustRightInd/>
        <w:spacing w:before="0" w:after="0" w:line="560" w:lineRule="exact"/>
        <w:ind w:left="0"/>
        <w:textAlignment w:val="auto"/>
        <w:rPr>
          <w:rFonts w:hint="eastAsia" w:ascii="仿宋" w:hAnsi="仿宋" w:eastAsia="仿宋" w:cs="仿宋"/>
          <w:b w:val="0"/>
          <w:bCs w:val="0"/>
          <w:kern w:val="2"/>
          <w:sz w:val="30"/>
          <w:szCs w:val="24"/>
          <w:lang w:val="en-US" w:eastAsia="zh-CN" w:bidi="ar-SA"/>
        </w:rPr>
      </w:pPr>
      <w:r>
        <w:rPr>
          <w:rFonts w:hint="eastAsia" w:ascii="仿宋_GB2312" w:eastAsia="仿宋_GB2312"/>
          <w:b w:val="0"/>
          <w:bCs w:val="0"/>
        </w:rPr>
        <w:t>（二</w:t>
      </w:r>
      <w:r>
        <w:rPr>
          <w:rFonts w:hint="eastAsia" w:ascii="仿宋" w:hAnsi="仿宋" w:eastAsia="仿宋" w:cs="仿宋"/>
          <w:b w:val="0"/>
          <w:bCs w:val="0"/>
          <w:kern w:val="2"/>
          <w:sz w:val="30"/>
          <w:szCs w:val="24"/>
          <w:lang w:val="en-US" w:eastAsia="zh-CN" w:bidi="ar-SA"/>
        </w:rPr>
        <w:t>）项目过程情况。</w:t>
      </w:r>
      <w:bookmarkEnd w:id="13"/>
    </w:p>
    <w:p>
      <w:pPr>
        <w:pageBreakBefore w:val="0"/>
        <w:kinsoku/>
        <w:wordWrap/>
        <w:overflowPunct/>
        <w:topLinePunct w:val="0"/>
        <w:autoSpaceDE/>
        <w:autoSpaceDN/>
        <w:bidi w:val="0"/>
        <w:adjustRightInd/>
        <w:spacing w:line="560" w:lineRule="exact"/>
        <w:ind w:left="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1、资金到位率：</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实际到位资金172.39万元，预算资金172.39万元，资金到位率100.00%。</w:t>
      </w:r>
    </w:p>
    <w:p>
      <w:pPr>
        <w:pageBreakBefore w:val="0"/>
        <w:kinsoku/>
        <w:wordWrap/>
        <w:overflowPunct/>
        <w:topLinePunct w:val="0"/>
        <w:autoSpaceDE/>
        <w:autoSpaceDN/>
        <w:bidi w:val="0"/>
        <w:adjustRightInd/>
        <w:spacing w:line="560" w:lineRule="exact"/>
        <w:ind w:left="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2、预算执行率</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年初预算数172.39万元，全年预算数172.39万元，全年执行数172.39万元，预算执行率为100%。</w:t>
      </w:r>
    </w:p>
    <w:p>
      <w:pPr>
        <w:pageBreakBefore w:val="0"/>
        <w:kinsoku/>
        <w:wordWrap/>
        <w:overflowPunct/>
        <w:topLinePunct w:val="0"/>
        <w:autoSpaceDE/>
        <w:autoSpaceDN/>
        <w:bidi w:val="0"/>
        <w:adjustRightInd/>
        <w:spacing w:line="560" w:lineRule="exact"/>
        <w:ind w:left="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3、资金使用合规性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该项目资金使用符合国家财经法规和财务管理制度以及有关专项资金管理办法的规定；资金的拨付具有完整的审批程序和手续；资金使用符合项目预算批复或合同规定的用途；该项目资金不存在截留、挤占、挪用、虚列支出等问题情况。</w:t>
      </w:r>
    </w:p>
    <w:p>
      <w:pPr>
        <w:pageBreakBefore w:val="0"/>
        <w:kinsoku/>
        <w:wordWrap/>
        <w:overflowPunct/>
        <w:topLinePunct w:val="0"/>
        <w:autoSpaceDE/>
        <w:autoSpaceDN/>
        <w:bidi w:val="0"/>
        <w:adjustRightInd/>
        <w:spacing w:line="560" w:lineRule="exact"/>
        <w:ind w:left="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4、管理制度健全性</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该项目具有相应的财务和业务管理制度，《焉耆县纪委监委财务管理制度》，本单位财务和业务管理制度合法、合规、完整。</w:t>
      </w:r>
    </w:p>
    <w:p>
      <w:pPr>
        <w:pageBreakBefore w:val="0"/>
        <w:numPr>
          <w:ilvl w:val="0"/>
          <w:numId w:val="2"/>
        </w:numPr>
        <w:kinsoku/>
        <w:wordWrap/>
        <w:overflowPunct/>
        <w:topLinePunct w:val="0"/>
        <w:autoSpaceDE/>
        <w:autoSpaceDN/>
        <w:bidi w:val="0"/>
        <w:adjustRightInd/>
        <w:spacing w:line="560" w:lineRule="exact"/>
        <w:ind w:left="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制度执行有效性</w:t>
      </w:r>
    </w:p>
    <w:p>
      <w:pPr>
        <w:pageBreakBefore w:val="0"/>
        <w:numPr>
          <w:ilvl w:val="0"/>
          <w:numId w:val="0"/>
        </w:numPr>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该项目执行严格遵守相关法律法规和相关管理规定；项目调整及支出调整手续完备；项目采购合同、验收单等资料齐全并及时归档；项目实施的人员条件、场地设备、信息支撑等完全落实到位。</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bookmarkStart w:id="14" w:name="_Toc68703840"/>
      <w:r>
        <w:rPr>
          <w:rFonts w:hint="eastAsia" w:ascii="仿宋_GB2312" w:eastAsia="仿宋_GB2312"/>
          <w:b w:val="0"/>
          <w:bCs w:val="0"/>
        </w:rPr>
        <w:t>（三）</w:t>
      </w:r>
      <w:r>
        <w:rPr>
          <w:rFonts w:hint="eastAsia" w:ascii="仿宋" w:hAnsi="仿宋" w:eastAsia="仿宋" w:cs="仿宋"/>
        </w:rPr>
        <w:t>项目产出情况。</w:t>
      </w:r>
      <w:bookmarkEnd w:id="14"/>
    </w:p>
    <w:p>
      <w:pPr>
        <w:pageBreakBefore w:val="0"/>
        <w:numPr>
          <w:ilvl w:val="0"/>
          <w:numId w:val="0"/>
        </w:numPr>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bookmarkStart w:id="15" w:name="_Toc68703841"/>
      <w:r>
        <w:rPr>
          <w:rFonts w:hint="eastAsia" w:ascii="仿宋" w:hAnsi="仿宋" w:eastAsia="仿宋" w:cs="仿宋"/>
        </w:rPr>
        <w:t>1、数量指标：指标1：建设仓储物流园(二期)设计总面积</w:t>
      </w:r>
      <w:r>
        <w:rPr>
          <w:rFonts w:hint="eastAsia" w:ascii="仿宋" w:hAnsi="仿宋" w:eastAsia="仿宋" w:cs="仿宋"/>
        </w:rPr>
        <w:t>，指标值：</w:t>
      </w:r>
      <w:r>
        <w:rPr>
          <w:rFonts w:hint="eastAsia" w:ascii="仿宋" w:hAnsi="仿宋" w:eastAsia="仿宋" w:cs="仿宋"/>
          <w:lang w:val="en-US" w:eastAsia="zh-CN"/>
        </w:rPr>
        <w:t>=1183平方米</w:t>
      </w:r>
      <w:r>
        <w:rPr>
          <w:rFonts w:hint="eastAsia" w:ascii="仿宋" w:hAnsi="仿宋" w:eastAsia="仿宋" w:cs="仿宋"/>
        </w:rPr>
        <w:t xml:space="preserve"> ，实际完成值</w:t>
      </w:r>
      <w:r>
        <w:rPr>
          <w:rFonts w:hint="eastAsia" w:ascii="仿宋" w:hAnsi="仿宋" w:eastAsia="仿宋" w:cs="仿宋"/>
          <w:lang w:val="en-US" w:eastAsia="zh-CN"/>
        </w:rPr>
        <w:t>1183平方米</w:t>
      </w:r>
      <w:r>
        <w:rPr>
          <w:rFonts w:hint="eastAsia" w:ascii="仿宋" w:hAnsi="仿宋" w:eastAsia="仿宋" w:cs="仿宋"/>
        </w:rPr>
        <w:t>，指标完成率 100 %，偏差原因：无偏差。 指标</w:t>
      </w:r>
      <w:r>
        <w:rPr>
          <w:rFonts w:hint="eastAsia" w:ascii="仿宋" w:hAnsi="仿宋" w:eastAsia="仿宋" w:cs="仿宋"/>
          <w:lang w:val="en-US" w:eastAsia="zh-CN"/>
        </w:rPr>
        <w:t>2</w:t>
      </w:r>
      <w:r>
        <w:rPr>
          <w:rFonts w:hint="eastAsia" w:ascii="仿宋" w:hAnsi="仿宋" w:eastAsia="仿宋" w:cs="仿宋"/>
        </w:rPr>
        <w:t>：</w:t>
      </w:r>
      <w:r>
        <w:rPr>
          <w:rFonts w:hint="eastAsia" w:ascii="仿宋" w:hAnsi="仿宋" w:eastAsia="仿宋" w:cs="仿宋"/>
          <w:lang w:val="en-US" w:eastAsia="zh-CN"/>
        </w:rPr>
        <w:t>可研报告数量</w:t>
      </w:r>
      <w:r>
        <w:rPr>
          <w:rFonts w:hint="eastAsia" w:ascii="仿宋" w:hAnsi="仿宋" w:eastAsia="仿宋" w:cs="仿宋"/>
        </w:rPr>
        <w:t>，指标值：</w:t>
      </w:r>
      <w:r>
        <w:rPr>
          <w:rFonts w:hint="eastAsia" w:ascii="仿宋" w:hAnsi="仿宋" w:eastAsia="仿宋" w:cs="仿宋"/>
          <w:lang w:val="en-US" w:eastAsia="zh-CN"/>
        </w:rPr>
        <w:t>=1个</w:t>
      </w:r>
      <w:r>
        <w:rPr>
          <w:rFonts w:hint="eastAsia" w:ascii="仿宋" w:hAnsi="仿宋" w:eastAsia="仿宋" w:cs="仿宋"/>
        </w:rPr>
        <w:t xml:space="preserve"> ，实际完成值</w:t>
      </w:r>
      <w:r>
        <w:rPr>
          <w:rFonts w:hint="eastAsia" w:ascii="仿宋" w:hAnsi="仿宋" w:eastAsia="仿宋" w:cs="仿宋"/>
          <w:lang w:val="en-US" w:eastAsia="zh-CN"/>
        </w:rPr>
        <w:t>1个</w:t>
      </w:r>
      <w:r>
        <w:rPr>
          <w:rFonts w:hint="eastAsia" w:ascii="仿宋" w:hAnsi="仿宋" w:eastAsia="仿宋" w:cs="仿宋"/>
        </w:rPr>
        <w:t>，指标完成率 100 %，偏差原因：无偏差。</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质量指标：指标1：</w:t>
      </w:r>
      <w:r>
        <w:rPr>
          <w:rFonts w:hint="eastAsia" w:ascii="仿宋" w:hAnsi="仿宋" w:eastAsia="仿宋" w:cs="仿宋"/>
          <w:lang w:val="en-US" w:eastAsia="zh-CN"/>
        </w:rPr>
        <w:t>可研报告合格</w:t>
      </w:r>
      <w:r>
        <w:rPr>
          <w:rFonts w:hint="eastAsia" w:ascii="仿宋" w:hAnsi="仿宋" w:eastAsia="仿宋" w:cs="仿宋"/>
        </w:rPr>
        <w:t xml:space="preserve">率 ，指标值 ≥95% ，实际完成值 </w:t>
      </w:r>
      <w:r>
        <w:rPr>
          <w:rFonts w:hint="eastAsia" w:ascii="仿宋" w:hAnsi="仿宋" w:eastAsia="仿宋" w:cs="仿宋"/>
          <w:lang w:val="en-US" w:eastAsia="zh-CN"/>
        </w:rPr>
        <w:t>95</w:t>
      </w:r>
      <w:r>
        <w:rPr>
          <w:rFonts w:hint="eastAsia" w:ascii="仿宋" w:hAnsi="仿宋" w:eastAsia="仿宋" w:cs="仿宋"/>
        </w:rPr>
        <w:t>%，指标完成率</w:t>
      </w:r>
      <w:r>
        <w:rPr>
          <w:rFonts w:hint="eastAsia" w:ascii="仿宋" w:hAnsi="仿宋" w:eastAsia="仿宋" w:cs="仿宋"/>
          <w:lang w:val="en-US" w:eastAsia="zh-CN"/>
        </w:rPr>
        <w:t>100</w:t>
      </w:r>
      <w:r>
        <w:rPr>
          <w:rFonts w:hint="eastAsia" w:ascii="仿宋" w:hAnsi="仿宋" w:eastAsia="仿宋" w:cs="仿宋"/>
        </w:rPr>
        <w:t>%</w:t>
      </w:r>
      <w:r>
        <w:rPr>
          <w:rFonts w:hint="eastAsia" w:ascii="仿宋" w:hAnsi="仿宋" w:eastAsia="仿宋" w:cs="仿宋"/>
          <w:lang w:eastAsia="zh-CN"/>
        </w:rPr>
        <w:t>，</w:t>
      </w:r>
      <w:r>
        <w:rPr>
          <w:rFonts w:hint="eastAsia" w:ascii="仿宋" w:hAnsi="仿宋" w:eastAsia="仿宋" w:cs="仿宋"/>
        </w:rPr>
        <w:t xml:space="preserve">偏差原因：无偏差。  </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、时效指标：指标1：</w:t>
      </w:r>
      <w:r>
        <w:rPr>
          <w:rFonts w:hint="eastAsia" w:ascii="仿宋" w:hAnsi="仿宋" w:eastAsia="仿宋" w:cs="仿宋"/>
          <w:lang w:val="en-US" w:eastAsia="zh-CN"/>
        </w:rPr>
        <w:t>可研报告</w:t>
      </w:r>
      <w:r>
        <w:rPr>
          <w:rFonts w:hint="eastAsia" w:ascii="仿宋" w:hAnsi="仿宋" w:eastAsia="仿宋" w:cs="仿宋"/>
        </w:rPr>
        <w:t>完成</w:t>
      </w:r>
      <w:r>
        <w:rPr>
          <w:rFonts w:hint="eastAsia" w:ascii="仿宋" w:hAnsi="仿宋" w:eastAsia="仿宋" w:cs="仿宋"/>
          <w:lang w:val="en-US" w:eastAsia="zh-CN"/>
        </w:rPr>
        <w:t>及时</w:t>
      </w:r>
      <w:r>
        <w:rPr>
          <w:rFonts w:hint="eastAsia" w:ascii="仿宋" w:hAnsi="仿宋" w:eastAsia="仿宋" w:cs="仿宋"/>
        </w:rPr>
        <w:t>率，指标值： ≥95% ，实际完成值</w:t>
      </w:r>
      <w:r>
        <w:rPr>
          <w:rFonts w:hint="eastAsia" w:ascii="仿宋" w:hAnsi="仿宋" w:eastAsia="仿宋" w:cs="仿宋"/>
          <w:lang w:val="en-US" w:eastAsia="zh-CN"/>
        </w:rPr>
        <w:t>95</w:t>
      </w:r>
      <w:r>
        <w:rPr>
          <w:rFonts w:hint="eastAsia" w:ascii="仿宋" w:hAnsi="仿宋" w:eastAsia="仿宋" w:cs="仿宋"/>
        </w:rPr>
        <w:t>%，指标完成率10</w:t>
      </w:r>
      <w:r>
        <w:rPr>
          <w:rFonts w:hint="eastAsia" w:ascii="仿宋" w:hAnsi="仿宋" w:eastAsia="仿宋" w:cs="仿宋"/>
          <w:lang w:val="en-US" w:eastAsia="zh-CN"/>
        </w:rPr>
        <w:t>0</w:t>
      </w:r>
      <w:r>
        <w:rPr>
          <w:rFonts w:hint="eastAsia" w:ascii="仿宋" w:hAnsi="仿宋" w:eastAsia="仿宋" w:cs="仿宋"/>
        </w:rPr>
        <w:t>%</w:t>
      </w:r>
      <w:r>
        <w:rPr>
          <w:rFonts w:hint="eastAsia" w:ascii="仿宋" w:hAnsi="仿宋" w:eastAsia="仿宋" w:cs="仿宋"/>
          <w:lang w:eastAsia="zh-CN"/>
        </w:rPr>
        <w:t>，</w:t>
      </w:r>
      <w:r>
        <w:rPr>
          <w:rFonts w:hint="eastAsia" w:ascii="仿宋" w:hAnsi="仿宋" w:eastAsia="仿宋" w:cs="仿宋"/>
        </w:rPr>
        <w:t xml:space="preserve">偏差原因：无偏差。  </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、成本指标：指标1：</w:t>
      </w:r>
      <w:r>
        <w:rPr>
          <w:rFonts w:hint="eastAsia" w:ascii="仿宋" w:hAnsi="仿宋" w:eastAsia="仿宋" w:cs="仿宋"/>
          <w:lang w:val="en-US" w:eastAsia="zh-CN"/>
        </w:rPr>
        <w:t>预算控制率</w:t>
      </w:r>
      <w:r>
        <w:rPr>
          <w:rFonts w:hint="eastAsia" w:ascii="仿宋" w:hAnsi="仿宋" w:eastAsia="仿宋" w:cs="仿宋"/>
        </w:rPr>
        <w:t xml:space="preserve"> ，指标值： ≤</w:t>
      </w:r>
      <w:r>
        <w:rPr>
          <w:rFonts w:hint="eastAsia" w:ascii="仿宋" w:hAnsi="仿宋" w:eastAsia="仿宋" w:cs="仿宋"/>
          <w:lang w:val="en-US" w:eastAsia="zh-CN"/>
        </w:rPr>
        <w:t>100%</w:t>
      </w:r>
      <w:r>
        <w:rPr>
          <w:rFonts w:hint="eastAsia" w:ascii="仿宋" w:hAnsi="仿宋" w:eastAsia="仿宋" w:cs="仿宋"/>
        </w:rPr>
        <w:t xml:space="preserve"> ，实际完成值</w:t>
      </w:r>
      <w:r>
        <w:rPr>
          <w:rFonts w:hint="eastAsia" w:ascii="仿宋" w:hAnsi="仿宋" w:eastAsia="仿宋" w:cs="仿宋"/>
          <w:lang w:val="en-US" w:eastAsia="zh-CN"/>
        </w:rPr>
        <w:t>100%</w:t>
      </w:r>
      <w:r>
        <w:rPr>
          <w:rFonts w:hint="eastAsia" w:ascii="仿宋" w:hAnsi="仿宋" w:eastAsia="仿宋" w:cs="仿宋"/>
        </w:rPr>
        <w:t xml:space="preserve">  ，指标完成率100 %，偏差原因： 无偏差；</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rPr>
        <w:t>（四）项目效益情况。</w:t>
      </w:r>
      <w:bookmarkEnd w:id="15"/>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rPr>
        <w:t>1、社会效益指标：指标1：</w:t>
      </w:r>
      <w:r>
        <w:rPr>
          <w:rFonts w:hint="eastAsia" w:ascii="仿宋" w:hAnsi="仿宋" w:eastAsia="仿宋" w:cs="仿宋"/>
          <w:lang w:val="en-US" w:eastAsia="zh-CN"/>
        </w:rPr>
        <w:t>保障仓储物流园正常建设</w:t>
      </w:r>
      <w:r>
        <w:rPr>
          <w:rFonts w:hint="eastAsia" w:ascii="仿宋" w:hAnsi="仿宋" w:eastAsia="仿宋" w:cs="仿宋"/>
        </w:rPr>
        <w:t xml:space="preserve"> ，指标值： </w:t>
      </w:r>
      <w:r>
        <w:rPr>
          <w:rFonts w:hint="eastAsia" w:ascii="仿宋" w:hAnsi="仿宋" w:eastAsia="仿宋" w:cs="仿宋"/>
          <w:lang w:val="en-US" w:eastAsia="zh-CN"/>
        </w:rPr>
        <w:t>=100%</w:t>
      </w:r>
      <w:r>
        <w:rPr>
          <w:rFonts w:hint="eastAsia" w:ascii="仿宋" w:hAnsi="仿宋" w:eastAsia="仿宋" w:cs="仿宋"/>
        </w:rPr>
        <w:t xml:space="preserve"> ，实际完成值</w:t>
      </w:r>
      <w:r>
        <w:rPr>
          <w:rFonts w:hint="eastAsia" w:ascii="仿宋" w:hAnsi="仿宋" w:eastAsia="仿宋" w:cs="仿宋"/>
          <w:lang w:val="en-US" w:eastAsia="zh-CN"/>
        </w:rPr>
        <w:t>100%</w:t>
      </w:r>
      <w:r>
        <w:rPr>
          <w:rFonts w:hint="eastAsia" w:ascii="仿宋" w:hAnsi="仿宋" w:eastAsia="仿宋" w:cs="仿宋"/>
        </w:rPr>
        <w:t xml:space="preserve">  ，指标完成率100 %，偏差原因</w:t>
      </w:r>
      <w:r>
        <w:rPr>
          <w:rFonts w:hint="eastAsia" w:ascii="仿宋" w:hAnsi="仿宋" w:eastAsia="仿宋" w:cs="仿宋"/>
          <w:lang w:eastAsia="zh-CN"/>
        </w:rPr>
        <w:t>：</w:t>
      </w:r>
      <w:r>
        <w:rPr>
          <w:rFonts w:hint="eastAsia" w:ascii="仿宋" w:hAnsi="仿宋" w:eastAsia="仿宋" w:cs="仿宋"/>
        </w:rPr>
        <w:t>无偏差；</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rPr>
        <w:t>2、服务对象</w:t>
      </w:r>
      <w:bookmarkStart w:id="16" w:name="_Toc68703842"/>
      <w:r>
        <w:rPr>
          <w:rFonts w:hint="eastAsia" w:ascii="仿宋" w:hAnsi="仿宋" w:eastAsia="仿宋" w:cs="仿宋"/>
          <w:lang w:val="en-US" w:eastAsia="zh-CN"/>
        </w:rPr>
        <w:t>满意度</w:t>
      </w:r>
      <w:r>
        <w:rPr>
          <w:rFonts w:hint="eastAsia" w:ascii="仿宋" w:hAnsi="仿宋" w:eastAsia="仿宋" w:cs="仿宋"/>
        </w:rPr>
        <w:t>指标：指标1：</w:t>
      </w:r>
      <w:r>
        <w:rPr>
          <w:rFonts w:hint="eastAsia" w:ascii="仿宋" w:hAnsi="仿宋" w:eastAsia="仿宋" w:cs="仿宋"/>
          <w:lang w:val="en-US" w:eastAsia="zh-CN"/>
        </w:rPr>
        <w:t>受益群众满意度</w:t>
      </w:r>
      <w:r>
        <w:rPr>
          <w:rFonts w:hint="eastAsia" w:ascii="仿宋" w:hAnsi="仿宋" w:eastAsia="仿宋" w:cs="仿宋"/>
        </w:rPr>
        <w:t xml:space="preserve"> ，指标值：≥9</w:t>
      </w:r>
      <w:r>
        <w:rPr>
          <w:rFonts w:hint="eastAsia" w:ascii="仿宋" w:hAnsi="仿宋" w:eastAsia="仿宋" w:cs="仿宋"/>
          <w:lang w:val="en-US" w:eastAsia="zh-CN"/>
        </w:rPr>
        <w:t>8</w:t>
      </w:r>
      <w:r>
        <w:rPr>
          <w:rFonts w:hint="eastAsia" w:ascii="仿宋" w:hAnsi="仿宋" w:eastAsia="仿宋" w:cs="仿宋"/>
        </w:rPr>
        <w:t>% ，实际完成值</w:t>
      </w:r>
      <w:r>
        <w:rPr>
          <w:rFonts w:hint="eastAsia" w:ascii="仿宋" w:hAnsi="仿宋" w:eastAsia="仿宋" w:cs="仿宋"/>
          <w:lang w:val="en-US" w:eastAsia="zh-CN"/>
        </w:rPr>
        <w:t>98%</w:t>
      </w:r>
      <w:r>
        <w:rPr>
          <w:rFonts w:hint="eastAsia" w:ascii="仿宋" w:hAnsi="仿宋" w:eastAsia="仿宋" w:cs="仿宋"/>
        </w:rPr>
        <w:t xml:space="preserve">  ，指标完成率100 %，偏差原因</w:t>
      </w:r>
      <w:r>
        <w:rPr>
          <w:rFonts w:hint="eastAsia" w:ascii="仿宋" w:hAnsi="仿宋" w:eastAsia="仿宋" w:cs="仿宋"/>
          <w:lang w:eastAsia="zh-CN"/>
        </w:rPr>
        <w:t>：</w:t>
      </w:r>
      <w:r>
        <w:rPr>
          <w:rFonts w:hint="eastAsia" w:ascii="仿宋" w:hAnsi="仿宋" w:eastAsia="仿宋" w:cs="仿宋"/>
        </w:rPr>
        <w:t>无偏差；</w:t>
      </w:r>
    </w:p>
    <w:p>
      <w:pPr>
        <w:pageBreakBefore w:val="0"/>
        <w:kinsoku/>
        <w:wordWrap/>
        <w:overflowPunct/>
        <w:topLinePunct w:val="0"/>
        <w:autoSpaceDE/>
        <w:autoSpaceDN/>
        <w:bidi w:val="0"/>
        <w:adjustRightInd/>
        <w:spacing w:line="560" w:lineRule="exact"/>
        <w:ind w:left="0"/>
        <w:textAlignment w:val="auto"/>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五、主要经验及做法、存在的问题及原因分析</w:t>
      </w:r>
      <w:bookmarkEnd w:id="16"/>
      <w:bookmarkStart w:id="17" w:name="_Toc68703843"/>
    </w:p>
    <w:p>
      <w:pPr>
        <w:pageBreakBefore w:val="0"/>
        <w:kinsoku/>
        <w:wordWrap/>
        <w:overflowPunct/>
        <w:topLinePunct w:val="0"/>
        <w:autoSpaceDE/>
        <w:autoSpaceDN/>
        <w:bidi w:val="0"/>
        <w:adjustRightInd/>
        <w:spacing w:line="560" w:lineRule="exact"/>
        <w:ind w:left="0"/>
        <w:textAlignment w:val="auto"/>
        <w:rPr>
          <w:rFonts w:ascii="仿宋_GB2312" w:eastAsia="仿宋_GB2312"/>
          <w:b w:val="0"/>
          <w:bCs w:val="0"/>
        </w:rPr>
      </w:pPr>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bookmarkStart w:id="18" w:name="_Toc68703844"/>
      <w:r>
        <w:rPr>
          <w:rFonts w:hint="eastAsia" w:ascii="仿宋" w:hAnsi="仿宋" w:eastAsia="仿宋" w:cs="仿宋"/>
        </w:rPr>
        <w:t>1、项目实施过程中，按照年度计划规范地组织实施，有条不紊开展相关工作，并做好资料收集整理工作。</w:t>
      </w:r>
    </w:p>
    <w:p>
      <w:pPr>
        <w:pageBreakBefore w:val="0"/>
        <w:kinsoku/>
        <w:wordWrap/>
        <w:overflowPunct/>
        <w:topLinePunct w:val="0"/>
        <w:autoSpaceDE/>
        <w:autoSpaceDN/>
        <w:bidi w:val="0"/>
        <w:adjustRightInd/>
        <w:spacing w:line="560" w:lineRule="exact"/>
        <w:ind w:left="0" w:firstLine="600" w:firstLineChars="200"/>
        <w:textAlignment w:val="auto"/>
        <w:rPr>
          <w:rFonts w:hint="eastAsia" w:ascii="仿宋" w:hAnsi="仿宋" w:eastAsia="仿宋" w:cs="仿宋"/>
        </w:rPr>
      </w:pPr>
      <w:r>
        <w:rPr>
          <w:rFonts w:hint="eastAsia" w:ascii="仿宋" w:hAnsi="仿宋" w:eastAsia="仿宋" w:cs="仿宋"/>
        </w:rPr>
        <w:t>2、加强领导，落实责任。单位领导高度重视，分工明确，工作进度做出具体规定，将责任落实到具体部门，工作落实到具体项目，确保自评工作组织到位，责任到位，项目到位。</w:t>
      </w:r>
    </w:p>
    <w:bookmarkEnd w:id="18"/>
    <w:p>
      <w:pPr>
        <w:pStyle w:val="5"/>
        <w:keepNext/>
        <w:keepLines/>
        <w:pageBreakBefore w:val="0"/>
        <w:widowControl w:val="0"/>
        <w:kinsoku/>
        <w:wordWrap/>
        <w:overflowPunct/>
        <w:topLinePunct w:val="0"/>
        <w:autoSpaceDE/>
        <w:autoSpaceDN/>
        <w:bidi w:val="0"/>
        <w:adjustRightInd/>
        <w:snapToGrid/>
        <w:spacing w:before="0" w:after="0" w:line="560" w:lineRule="exact"/>
        <w:ind w:left="0"/>
        <w:textAlignment w:val="auto"/>
        <w:rPr>
          <w:rFonts w:hint="default" w:ascii="Times New Roman" w:hAnsi="Times New Roman" w:eastAsia="仿宋_GB2312" w:cs="Times New Roman"/>
          <w:b w:val="0"/>
          <w:bCs w:val="0"/>
          <w:highlight w:val="none"/>
        </w:rPr>
      </w:pPr>
      <w:bookmarkStart w:id="21" w:name="_GoBack"/>
      <w:bookmarkStart w:id="19" w:name="_Toc68703845"/>
      <w:r>
        <w:rPr>
          <w:rFonts w:hint="default" w:ascii="Times New Roman" w:hAnsi="Times New Roman" w:eastAsia="仿宋_GB2312" w:cs="Times New Roman"/>
          <w:b w:val="0"/>
          <w:bCs w:val="0"/>
          <w:highlight w:val="none"/>
        </w:rPr>
        <w:t>（二）存在的问题及原因分析</w:t>
      </w:r>
    </w:p>
    <w:p>
      <w:pPr>
        <w:pageBreakBefore w:val="0"/>
        <w:kinsoku/>
        <w:wordWrap/>
        <w:overflowPunct/>
        <w:topLinePunct w:val="0"/>
        <w:autoSpaceDE/>
        <w:autoSpaceDN/>
        <w:bidi w:val="0"/>
        <w:adjustRightInd/>
        <w:spacing w:line="560" w:lineRule="exact"/>
        <w:ind w:left="0" w:firstLine="600" w:firstLineChars="200"/>
        <w:jc w:val="left"/>
        <w:textAlignment w:val="auto"/>
        <w:rPr>
          <w:rFonts w:hint="eastAsia" w:cs="Times New Roman"/>
          <w:color w:val="333333"/>
          <w:sz w:val="32"/>
          <w:szCs w:val="32"/>
          <w:highlight w:val="none"/>
          <w:lang w:eastAsia="zh-CN"/>
        </w:rPr>
      </w:pPr>
      <w:r>
        <w:rPr>
          <w:rFonts w:hint="default" w:ascii="Times New Roman" w:hAnsi="Times New Roman" w:eastAsia="仿宋_GB2312" w:cs="Times New Roman"/>
          <w:b w:val="0"/>
          <w:bCs w:val="0"/>
          <w:highlight w:val="none"/>
        </w:rPr>
        <w:t>存在的问题</w:t>
      </w:r>
      <w:r>
        <w:rPr>
          <w:rFonts w:hint="eastAsia" w:ascii="Times New Roman" w:hAnsi="Times New Roman" w:cs="Times New Roman"/>
          <w:b w:val="0"/>
          <w:bCs w:val="0"/>
          <w:highlight w:val="none"/>
          <w:lang w:eastAsia="zh-CN"/>
        </w:rPr>
        <w:t>：</w:t>
      </w:r>
      <w:r>
        <w:rPr>
          <w:rFonts w:hint="eastAsia" w:cs="Times New Roman"/>
          <w:color w:val="333333"/>
          <w:sz w:val="32"/>
          <w:szCs w:val="32"/>
          <w:highlight w:val="none"/>
          <w:lang w:eastAsia="zh-CN"/>
        </w:rPr>
        <w:t>财政绩效管理工作水平有提升空间。</w:t>
      </w:r>
    </w:p>
    <w:p>
      <w:pPr>
        <w:pageBreakBefore w:val="0"/>
        <w:kinsoku/>
        <w:wordWrap/>
        <w:overflowPunct/>
        <w:topLinePunct w:val="0"/>
        <w:autoSpaceDE/>
        <w:autoSpaceDN/>
        <w:bidi w:val="0"/>
        <w:adjustRightInd/>
        <w:spacing w:line="560" w:lineRule="exact"/>
        <w:ind w:left="0" w:firstLine="600" w:firstLineChars="200"/>
        <w:jc w:val="left"/>
        <w:textAlignment w:val="auto"/>
        <w:rPr>
          <w:rFonts w:hint="default" w:ascii="Times New Roman" w:hAnsi="Times New Roman" w:eastAsia="仿宋_GB2312" w:cs="Times New Roman"/>
          <w:color w:val="333333"/>
          <w:sz w:val="32"/>
          <w:szCs w:val="32"/>
          <w:highlight w:val="none"/>
        </w:rPr>
      </w:pPr>
      <w:r>
        <w:rPr>
          <w:rFonts w:hint="default" w:ascii="Times New Roman" w:hAnsi="Times New Roman" w:eastAsia="仿宋_GB2312" w:cs="Times New Roman"/>
          <w:b w:val="0"/>
          <w:bCs w:val="0"/>
          <w:highlight w:val="none"/>
        </w:rPr>
        <w:t>原因分析</w:t>
      </w:r>
      <w:r>
        <w:rPr>
          <w:rFonts w:hint="eastAsia" w:ascii="Times New Roman" w:hAnsi="Times New Roman" w:cs="Times New Roman"/>
          <w:b w:val="0"/>
          <w:bCs w:val="0"/>
          <w:highlight w:val="none"/>
          <w:lang w:eastAsia="zh-CN"/>
        </w:rPr>
        <w:t>：</w:t>
      </w:r>
      <w:r>
        <w:rPr>
          <w:rFonts w:hint="eastAsia" w:cs="Times New Roman"/>
          <w:color w:val="333333"/>
          <w:sz w:val="32"/>
          <w:szCs w:val="32"/>
          <w:highlight w:val="none"/>
          <w:lang w:eastAsia="zh-CN"/>
        </w:rPr>
        <w:t>应加强财政支出绩效管理要求学习，建立科学的财政资金效益考评制度体系，不断完善绩效评价体系及工作流程，提供财政资金使用水平和效率。</w:t>
      </w:r>
      <w:bookmarkEnd w:id="19"/>
    </w:p>
    <w:bookmarkEnd w:id="21"/>
    <w:p>
      <w:pPr>
        <w:pStyle w:val="4"/>
        <w:keepNext/>
        <w:keepLines/>
        <w:pageBreakBefore w:val="0"/>
        <w:widowControl w:val="0"/>
        <w:numPr>
          <w:ilvl w:val="0"/>
          <w:numId w:val="3"/>
        </w:numPr>
        <w:kinsoku/>
        <w:wordWrap/>
        <w:overflowPunct/>
        <w:topLinePunct w:val="0"/>
        <w:autoSpaceDE/>
        <w:autoSpaceDN/>
        <w:bidi w:val="0"/>
        <w:adjustRightInd/>
        <w:snapToGrid/>
        <w:spacing w:before="0" w:after="0" w:line="560" w:lineRule="exact"/>
        <w:ind w:left="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有关建议</w:t>
      </w:r>
    </w:p>
    <w:p>
      <w:pPr>
        <w:pageBreakBefore w:val="0"/>
        <w:kinsoku/>
        <w:wordWrap/>
        <w:overflowPunct/>
        <w:topLinePunct w:val="0"/>
        <w:autoSpaceDE/>
        <w:autoSpaceDN/>
        <w:bidi w:val="0"/>
        <w:adjustRightInd/>
        <w:spacing w:line="560" w:lineRule="exact"/>
        <w:ind w:left="0" w:firstLine="640" w:firstLineChars="20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pStyle w:val="4"/>
        <w:keepNext/>
        <w:keepLines/>
        <w:pageBreakBefore w:val="0"/>
        <w:widowControl w:val="0"/>
        <w:kinsoku/>
        <w:wordWrap/>
        <w:overflowPunct/>
        <w:topLinePunct w:val="0"/>
        <w:autoSpaceDE/>
        <w:autoSpaceDN/>
        <w:bidi w:val="0"/>
        <w:adjustRightInd/>
        <w:snapToGrid/>
        <w:spacing w:before="0" w:after="0" w:line="560" w:lineRule="exact"/>
        <w:ind w:left="0"/>
        <w:textAlignment w:val="auto"/>
        <w:rPr>
          <w:rFonts w:hint="default" w:ascii="Times New Roman" w:hAnsi="Times New Roman" w:eastAsia="宋体" w:cs="Times New Roman"/>
          <w:sz w:val="32"/>
          <w:szCs w:val="32"/>
        </w:rPr>
      </w:pPr>
      <w:bookmarkStart w:id="20" w:name="_Toc68703846"/>
      <w:r>
        <w:rPr>
          <w:rFonts w:hint="default" w:ascii="Times New Roman" w:hAnsi="Times New Roman" w:eastAsia="宋体" w:cs="Times New Roman"/>
          <w:sz w:val="32"/>
          <w:szCs w:val="32"/>
        </w:rPr>
        <w:t>七、其他需要说明的问题</w:t>
      </w:r>
      <w:bookmarkEnd w:id="20"/>
    </w:p>
    <w:p>
      <w:pPr>
        <w:pageBreakBefore w:val="0"/>
        <w:kinsoku/>
        <w:wordWrap/>
        <w:overflowPunct/>
        <w:topLinePunct w:val="0"/>
        <w:autoSpaceDE/>
        <w:autoSpaceDN/>
        <w:bidi w:val="0"/>
        <w:adjustRightInd/>
        <w:spacing w:line="560" w:lineRule="exact"/>
        <w:ind w:left="0" w:firstLine="640" w:firstLineChars="20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本次预算绩效评价所采集的数据因为采集时间、数据来源等诸多因素的影响，可能会出现一定的偏差，进而对评价结果存在影响。</w:t>
      </w:r>
    </w:p>
    <w:p>
      <w:pPr>
        <w:pageBreakBefore w:val="0"/>
        <w:kinsoku/>
        <w:wordWrap/>
        <w:overflowPunct/>
        <w:topLinePunct w:val="0"/>
        <w:autoSpaceDE/>
        <w:autoSpaceDN/>
        <w:bidi w:val="0"/>
        <w:adjustRightInd/>
        <w:spacing w:line="560" w:lineRule="exact"/>
        <w:ind w:left="0"/>
        <w:textAlignment w:val="auto"/>
      </w:pPr>
    </w:p>
    <w:p>
      <w:pPr>
        <w:pageBreakBefore w:val="0"/>
        <w:kinsoku/>
        <w:wordWrap/>
        <w:overflowPunct/>
        <w:topLinePunct w:val="0"/>
        <w:autoSpaceDE/>
        <w:autoSpaceDN/>
        <w:bidi w:val="0"/>
        <w:adjustRightInd/>
        <w:spacing w:line="560" w:lineRule="exact"/>
        <w:ind w:left="0"/>
        <w:textAlignment w:val="auto"/>
        <w:rPr>
          <w:rFonts w:hint="default" w:eastAsia="仿宋_GB2312"/>
          <w:lang w:val="en-US"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134D8"/>
    <w:multiLevelType w:val="singleLevel"/>
    <w:tmpl w:val="373134D8"/>
    <w:lvl w:ilvl="0" w:tentative="0">
      <w:start w:val="5"/>
      <w:numFmt w:val="decimal"/>
      <w:suff w:val="nothing"/>
      <w:lvlText w:val="%1、"/>
      <w:lvlJc w:val="left"/>
    </w:lvl>
  </w:abstractNum>
  <w:abstractNum w:abstractNumId="1">
    <w:nsid w:val="4476C98A"/>
    <w:multiLevelType w:val="singleLevel"/>
    <w:tmpl w:val="4476C98A"/>
    <w:lvl w:ilvl="0" w:tentative="0">
      <w:start w:val="3"/>
      <w:numFmt w:val="chineseCounting"/>
      <w:suff w:val="nothing"/>
      <w:lvlText w:val="（%1）"/>
      <w:lvlJc w:val="left"/>
      <w:rPr>
        <w:rFonts w:hint="eastAsia"/>
      </w:rPr>
    </w:lvl>
  </w:abstractNum>
  <w:abstractNum w:abstractNumId="2">
    <w:nsid w:val="507C3263"/>
    <w:multiLevelType w:val="singleLevel"/>
    <w:tmpl w:val="507C3263"/>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0NWIyOTRhYzFmYWE3NWY0ZTQyZmIyZWZiM2UyNGUifQ=="/>
  </w:docVars>
  <w:rsids>
    <w:rsidRoot w:val="007D49C5"/>
    <w:rsid w:val="000B223C"/>
    <w:rsid w:val="00376D6A"/>
    <w:rsid w:val="004850D4"/>
    <w:rsid w:val="00571796"/>
    <w:rsid w:val="00614288"/>
    <w:rsid w:val="007D49C5"/>
    <w:rsid w:val="008032CD"/>
    <w:rsid w:val="008464B5"/>
    <w:rsid w:val="008C631D"/>
    <w:rsid w:val="00977705"/>
    <w:rsid w:val="00987A38"/>
    <w:rsid w:val="00A56B3B"/>
    <w:rsid w:val="00BA7845"/>
    <w:rsid w:val="00EF1FE3"/>
    <w:rsid w:val="059874F0"/>
    <w:rsid w:val="086C5D2B"/>
    <w:rsid w:val="0FDB0233"/>
    <w:rsid w:val="15761431"/>
    <w:rsid w:val="15DA37C6"/>
    <w:rsid w:val="1A2F7F95"/>
    <w:rsid w:val="1DFE1EC3"/>
    <w:rsid w:val="2732278A"/>
    <w:rsid w:val="31BD2FCF"/>
    <w:rsid w:val="322104B7"/>
    <w:rsid w:val="33EF3BF0"/>
    <w:rsid w:val="37D02C75"/>
    <w:rsid w:val="3A886145"/>
    <w:rsid w:val="3C574020"/>
    <w:rsid w:val="3F3020FF"/>
    <w:rsid w:val="43AF005F"/>
    <w:rsid w:val="524F15CA"/>
    <w:rsid w:val="587266C7"/>
    <w:rsid w:val="61C461EF"/>
    <w:rsid w:val="622575EA"/>
    <w:rsid w:val="622D4BC2"/>
    <w:rsid w:val="65AD6699"/>
    <w:rsid w:val="77FF7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1"/>
    <w:basedOn w:val="1"/>
    <w:next w:val="1"/>
    <w:link w:val="16"/>
    <w:autoRedefine/>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unhideWhenUsed/>
    <w:qFormat/>
    <w:uiPriority w:val="99"/>
    <w:pPr>
      <w:spacing w:after="120" w:line="312" w:lineRule="auto"/>
      <w:ind w:left="420" w:leftChars="200" w:firstLine="420"/>
    </w:pPr>
    <w:rPr>
      <w:rFonts w:eastAsia="宋体"/>
      <w:sz w:val="24"/>
    </w:rPr>
  </w:style>
  <w:style w:type="paragraph" w:styleId="3">
    <w:name w:val="Body Text Indent"/>
    <w:basedOn w:val="1"/>
    <w:autoRedefine/>
    <w:unhideWhenUsed/>
    <w:qFormat/>
    <w:uiPriority w:val="99"/>
    <w:pPr>
      <w:spacing w:line="360" w:lineRule="auto"/>
      <w:ind w:firstLine="468"/>
    </w:pPr>
    <w:rPr>
      <w:rFonts w:ascii="宋体"/>
      <w:bCs/>
      <w:sz w:val="28"/>
    </w:rPr>
  </w:style>
  <w:style w:type="paragraph" w:styleId="6">
    <w:name w:val="footer"/>
    <w:basedOn w:val="1"/>
    <w:link w:val="20"/>
    <w:autoRedefine/>
    <w:unhideWhenUsed/>
    <w:qFormat/>
    <w:uiPriority w:val="99"/>
    <w:pPr>
      <w:tabs>
        <w:tab w:val="center" w:pos="4153"/>
        <w:tab w:val="right" w:pos="8306"/>
      </w:tabs>
      <w:snapToGrid w:val="0"/>
      <w:jc w:val="left"/>
    </w:pPr>
    <w:rPr>
      <w:sz w:val="18"/>
      <w:szCs w:val="18"/>
    </w:rPr>
  </w:style>
  <w:style w:type="paragraph" w:styleId="7">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Strong"/>
    <w:basedOn w:val="13"/>
    <w:qFormat/>
    <w:uiPriority w:val="0"/>
    <w:rPr>
      <w:b/>
      <w:bCs/>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标题 1 字符"/>
    <w:basedOn w:val="13"/>
    <w:link w:val="4"/>
    <w:autoRedefine/>
    <w:qFormat/>
    <w:uiPriority w:val="9"/>
    <w:rPr>
      <w:rFonts w:ascii="Times New Roman" w:hAnsi="Times New Roman" w:eastAsia="仿宋_GB2312" w:cs="Times New Roman"/>
      <w:b/>
      <w:bCs/>
      <w:kern w:val="44"/>
      <w:sz w:val="44"/>
      <w:szCs w:val="44"/>
    </w:rPr>
  </w:style>
  <w:style w:type="character" w:customStyle="1" w:styleId="17">
    <w:name w:val="标题 2 字符"/>
    <w:basedOn w:val="13"/>
    <w:link w:val="5"/>
    <w:autoRedefine/>
    <w:qFormat/>
    <w:uiPriority w:val="9"/>
    <w:rPr>
      <w:rFonts w:asciiTheme="majorHAnsi" w:hAnsiTheme="majorHAnsi" w:eastAsiaTheme="majorEastAsia" w:cstheme="majorBidi"/>
      <w:b/>
      <w:bCs/>
      <w:sz w:val="32"/>
      <w:szCs w:val="32"/>
    </w:rPr>
  </w:style>
  <w:style w:type="paragraph" w:customStyle="1" w:styleId="18">
    <w:name w:val="TOC Heading"/>
    <w:basedOn w:val="4"/>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字符"/>
    <w:basedOn w:val="13"/>
    <w:link w:val="7"/>
    <w:autoRedefine/>
    <w:qFormat/>
    <w:uiPriority w:val="99"/>
    <w:rPr>
      <w:rFonts w:ascii="Times New Roman" w:hAnsi="Times New Roman" w:eastAsia="仿宋_GB2312" w:cs="Times New Roman"/>
      <w:sz w:val="18"/>
      <w:szCs w:val="18"/>
    </w:rPr>
  </w:style>
  <w:style w:type="character" w:customStyle="1" w:styleId="20">
    <w:name w:val="页脚 字符"/>
    <w:basedOn w:val="13"/>
    <w:link w:val="6"/>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1097</Words>
  <Characters>6259</Characters>
  <Lines>52</Lines>
  <Paragraphs>14</Paragraphs>
  <TotalTime>0</TotalTime>
  <ScaleCrop>false</ScaleCrop>
  <LinksUpToDate>false</LinksUpToDate>
  <CharactersWithSpaces>7342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欢 颜 </cp:lastModifiedBy>
  <dcterms:modified xsi:type="dcterms:W3CDTF">2024-05-15T12:06:21Z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C10A60A6D9144BF185A63F71A217C929_12</vt:lpwstr>
  </property>
</Properties>
</file>