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FA7152">
      <w:pPr>
        <w:jc w:val="center"/>
        <w:rPr>
          <w:rFonts w:ascii="宋体" w:hAnsi="宋体" w:eastAsia="宋体" w:cs="Arial"/>
          <w:b/>
          <w:bCs/>
          <w:sz w:val="48"/>
          <w:szCs w:val="48"/>
        </w:rPr>
      </w:pPr>
    </w:p>
    <w:p w14:paraId="122F1FC3">
      <w:pPr>
        <w:jc w:val="center"/>
        <w:rPr>
          <w:rFonts w:ascii="宋体" w:hAnsi="宋体" w:eastAsia="宋体" w:cs="Arial"/>
          <w:b/>
          <w:bCs/>
          <w:sz w:val="48"/>
          <w:szCs w:val="48"/>
        </w:rPr>
      </w:pPr>
    </w:p>
    <w:p w14:paraId="5DEB6232">
      <w:pPr>
        <w:jc w:val="center"/>
        <w:rPr>
          <w:rFonts w:ascii="宋体" w:hAnsi="宋体" w:eastAsia="宋体" w:cs="Arial"/>
          <w:b/>
          <w:bCs/>
          <w:sz w:val="48"/>
          <w:szCs w:val="48"/>
        </w:rPr>
      </w:pPr>
    </w:p>
    <w:p w14:paraId="7E04113A">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14:paraId="2CC161CF">
      <w:pPr>
        <w:jc w:val="center"/>
        <w:rPr>
          <w:rFonts w:ascii="宋体" w:hAnsi="宋体" w:eastAsia="宋体" w:cs="Arial"/>
          <w:b/>
          <w:bCs/>
          <w:sz w:val="48"/>
          <w:szCs w:val="48"/>
        </w:rPr>
      </w:pPr>
    </w:p>
    <w:p w14:paraId="68067788">
      <w:pPr>
        <w:widowControl/>
        <w:spacing w:line="560" w:lineRule="exact"/>
        <w:jc w:val="center"/>
        <w:rPr>
          <w:rFonts w:ascii="仿宋_GB2312" w:hAnsi="仿宋_GB2312" w:cs="仿宋_GB2312"/>
          <w:b/>
          <w:kern w:val="0"/>
          <w:sz w:val="50"/>
          <w:szCs w:val="50"/>
          <w:lang w:bidi="en-US"/>
        </w:rPr>
      </w:pPr>
      <w:r>
        <w:rPr>
          <w:rFonts w:hint="eastAsia" w:ascii="方正小标宋简体" w:hAnsi="方正小标宋简体" w:eastAsia="方正小标宋简体" w:cs="方正小标宋简体"/>
          <w:color w:val="000000"/>
          <w:kern w:val="0"/>
          <w:sz w:val="36"/>
          <w:szCs w:val="36"/>
        </w:rPr>
        <w:t>（2</w:t>
      </w:r>
      <w:r>
        <w:rPr>
          <w:rFonts w:ascii="方正小标宋简体" w:hAnsi="方正小标宋简体" w:eastAsia="方正小标宋简体" w:cs="方正小标宋简体"/>
          <w:color w:val="000000"/>
          <w:kern w:val="0"/>
          <w:sz w:val="36"/>
          <w:szCs w:val="36"/>
        </w:rPr>
        <w:t>02</w:t>
      </w:r>
      <w:r>
        <w:rPr>
          <w:rFonts w:hint="eastAsia" w:ascii="方正小标宋简体" w:hAnsi="方正小标宋简体" w:eastAsia="方正小标宋简体" w:cs="方正小标宋简体"/>
          <w:color w:val="000000"/>
          <w:kern w:val="0"/>
          <w:sz w:val="36"/>
          <w:szCs w:val="36"/>
          <w:lang w:val="en-US" w:eastAsia="zh-CN"/>
        </w:rPr>
        <w:t>3</w:t>
      </w:r>
      <w:r>
        <w:rPr>
          <w:rFonts w:hint="eastAsia" w:ascii="方正小标宋简体" w:hAnsi="方正小标宋简体" w:eastAsia="方正小标宋简体" w:cs="方正小标宋简体"/>
          <w:color w:val="000000"/>
          <w:kern w:val="0"/>
          <w:sz w:val="36"/>
          <w:szCs w:val="36"/>
        </w:rPr>
        <w:t>年度）</w:t>
      </w:r>
    </w:p>
    <w:p w14:paraId="61453C4F">
      <w:pPr>
        <w:spacing w:line="480" w:lineRule="auto"/>
        <w:jc w:val="center"/>
        <w:rPr>
          <w:rFonts w:ascii="仿宋_GB2312" w:hAnsi="仿宋_GB2312" w:cs="仿宋_GB2312"/>
          <w:b/>
          <w:kern w:val="0"/>
          <w:sz w:val="50"/>
          <w:szCs w:val="50"/>
          <w:lang w:bidi="en-US"/>
        </w:rPr>
      </w:pPr>
    </w:p>
    <w:p w14:paraId="088967B9">
      <w:pPr>
        <w:spacing w:line="480" w:lineRule="auto"/>
        <w:jc w:val="center"/>
        <w:rPr>
          <w:rFonts w:ascii="仿宋_GB2312" w:hAnsi="仿宋_GB2312" w:cs="仿宋_GB2312"/>
          <w:b/>
          <w:kern w:val="0"/>
          <w:sz w:val="50"/>
          <w:szCs w:val="50"/>
          <w:lang w:bidi="en-US"/>
        </w:rPr>
      </w:pPr>
    </w:p>
    <w:p w14:paraId="13914E93">
      <w:pPr>
        <w:spacing w:line="480" w:lineRule="auto"/>
        <w:jc w:val="center"/>
        <w:rPr>
          <w:rFonts w:ascii="仿宋_GB2312" w:hAnsi="仿宋_GB2312" w:cs="仿宋_GB2312"/>
          <w:b/>
          <w:kern w:val="0"/>
          <w:sz w:val="50"/>
          <w:szCs w:val="50"/>
          <w:lang w:bidi="en-US"/>
        </w:rPr>
      </w:pPr>
    </w:p>
    <w:p w14:paraId="374E06D2">
      <w:pPr>
        <w:spacing w:line="480" w:lineRule="auto"/>
        <w:jc w:val="center"/>
        <w:rPr>
          <w:rFonts w:ascii="仿宋_GB2312" w:hAnsi="仿宋_GB2312" w:cs="仿宋_GB2312"/>
          <w:b/>
          <w:kern w:val="0"/>
          <w:sz w:val="50"/>
          <w:szCs w:val="50"/>
          <w:lang w:bidi="en-US"/>
        </w:rPr>
      </w:pPr>
    </w:p>
    <w:p w14:paraId="73485215">
      <w:pPr>
        <w:spacing w:line="480" w:lineRule="auto"/>
        <w:jc w:val="center"/>
        <w:rPr>
          <w:rFonts w:ascii="仿宋_GB2312" w:hAnsi="仿宋_GB2312" w:cs="仿宋_GB2312"/>
          <w:b/>
          <w:kern w:val="0"/>
          <w:sz w:val="50"/>
          <w:szCs w:val="50"/>
          <w:lang w:bidi="en-US"/>
        </w:rPr>
      </w:pPr>
    </w:p>
    <w:p w14:paraId="360A9B9F">
      <w:pPr>
        <w:spacing w:line="560" w:lineRule="exact"/>
        <w:ind w:firstLine="321" w:firstLineChars="100"/>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项目名称：</w:t>
      </w:r>
      <w:r>
        <w:rPr>
          <w:rFonts w:ascii="宋体" w:hAnsi="宋体" w:eastAsia="宋体" w:cs="宋体"/>
          <w:kern w:val="0"/>
          <w:sz w:val="32"/>
          <w:szCs w:val="32"/>
        </w:rPr>
        <w:t xml:space="preserve"> </w:t>
      </w:r>
      <w:r>
        <w:rPr>
          <w:rFonts w:hint="eastAsia" w:ascii="宋体" w:hAnsi="宋体" w:eastAsia="宋体" w:cs="宋体"/>
          <w:kern w:val="0"/>
          <w:sz w:val="32"/>
          <w:szCs w:val="32"/>
          <w:lang w:eastAsia="zh-CN"/>
        </w:rPr>
        <w:t>“</w:t>
      </w:r>
      <w:r>
        <w:rPr>
          <w:rFonts w:hint="eastAsia" w:ascii="宋体" w:hAnsi="宋体" w:eastAsia="宋体" w:cs="宋体"/>
          <w:kern w:val="0"/>
          <w:sz w:val="32"/>
          <w:szCs w:val="32"/>
          <w:lang w:val="en-US" w:eastAsia="zh-CN"/>
        </w:rPr>
        <w:t>为民办实事</w:t>
      </w:r>
      <w:r>
        <w:rPr>
          <w:rFonts w:hint="eastAsia" w:ascii="宋体" w:hAnsi="宋体" w:eastAsia="宋体" w:cs="宋体"/>
          <w:kern w:val="0"/>
          <w:sz w:val="32"/>
          <w:szCs w:val="32"/>
          <w:lang w:eastAsia="zh-CN"/>
        </w:rPr>
        <w:t>”工作经费</w:t>
      </w:r>
    </w:p>
    <w:p w14:paraId="616AD369">
      <w:pPr>
        <w:spacing w:line="560" w:lineRule="exact"/>
        <w:ind w:firstLine="321" w:firstLineChars="100"/>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实施单位（公章）：</w:t>
      </w:r>
      <w:r>
        <w:rPr>
          <w:rFonts w:ascii="宋体" w:hAnsi="宋体" w:eastAsia="宋体" w:cs="宋体"/>
          <w:kern w:val="0"/>
          <w:sz w:val="32"/>
          <w:szCs w:val="32"/>
        </w:rPr>
        <w:t xml:space="preserve"> </w:t>
      </w:r>
      <w:r>
        <w:rPr>
          <w:rFonts w:hint="eastAsia" w:ascii="宋体" w:hAnsi="宋体" w:eastAsia="宋体" w:cs="宋体"/>
          <w:kern w:val="0"/>
          <w:sz w:val="32"/>
          <w:szCs w:val="32"/>
          <w:lang w:eastAsia="zh-CN"/>
        </w:rPr>
        <w:t>巴州焉耆县司法局</w:t>
      </w:r>
    </w:p>
    <w:p w14:paraId="26BE762B">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ascii="宋体" w:hAnsi="宋体" w:eastAsia="宋体" w:cs="宋体"/>
          <w:kern w:val="0"/>
          <w:sz w:val="32"/>
          <w:szCs w:val="32"/>
        </w:rPr>
        <w:t xml:space="preserve"> </w:t>
      </w:r>
      <w:r>
        <w:rPr>
          <w:rFonts w:hint="eastAsia" w:ascii="宋体" w:hAnsi="宋体" w:eastAsia="宋体" w:cs="宋体"/>
          <w:kern w:val="0"/>
          <w:sz w:val="32"/>
          <w:szCs w:val="32"/>
          <w:lang w:eastAsia="zh-CN"/>
        </w:rPr>
        <w:t>巴州焉耆县司法局</w:t>
      </w:r>
    </w:p>
    <w:p w14:paraId="601F4002">
      <w:pPr>
        <w:spacing w:line="560" w:lineRule="exact"/>
        <w:ind w:firstLine="321" w:firstLineChars="100"/>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ascii="宋体" w:hAnsi="宋体" w:eastAsia="宋体" w:cs="宋体"/>
          <w:kern w:val="0"/>
          <w:sz w:val="32"/>
          <w:szCs w:val="32"/>
        </w:rPr>
        <w:t xml:space="preserve"> </w:t>
      </w:r>
      <w:r>
        <w:rPr>
          <w:rFonts w:hint="eastAsia" w:ascii="宋体" w:hAnsi="宋体" w:eastAsia="宋体" w:cs="宋体"/>
          <w:kern w:val="0"/>
          <w:sz w:val="32"/>
          <w:szCs w:val="32"/>
          <w:lang w:eastAsia="zh-CN"/>
        </w:rPr>
        <w:t>张爱萍</w:t>
      </w:r>
    </w:p>
    <w:p w14:paraId="30D8C0B4">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14</w:t>
      </w:r>
      <w:r>
        <w:rPr>
          <w:rFonts w:hint="eastAsia" w:ascii="宋体" w:hAnsi="宋体" w:eastAsia="宋体" w:cs="仿宋_GB2312"/>
          <w:color w:val="000000"/>
          <w:kern w:val="0"/>
          <w:sz w:val="32"/>
          <w:szCs w:val="32"/>
        </w:rPr>
        <w:t>日</w:t>
      </w:r>
    </w:p>
    <w:p w14:paraId="03CB5BA8">
      <w:pPr>
        <w:jc w:val="center"/>
        <w:rPr>
          <w:rFonts w:ascii="宋体" w:hAnsi="宋体" w:eastAsia="宋体" w:cs="Arial"/>
          <w:b/>
          <w:bCs/>
          <w:sz w:val="36"/>
          <w:szCs w:val="36"/>
        </w:rPr>
      </w:pPr>
    </w:p>
    <w:p w14:paraId="67260B9B">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14:paraId="3F40069C">
          <w:pPr>
            <w:pStyle w:val="15"/>
            <w:jc w:val="center"/>
            <w:rPr>
              <w:rFonts w:ascii="宋体" w:hAnsi="宋体" w:eastAsia="宋体"/>
              <w:b/>
              <w:bCs/>
              <w:color w:val="auto"/>
              <w:lang w:val="zh-CN"/>
            </w:rPr>
          </w:pPr>
          <w:r>
            <w:rPr>
              <w:rFonts w:ascii="宋体" w:hAnsi="宋体" w:eastAsia="宋体"/>
              <w:b/>
              <w:bCs/>
              <w:color w:val="auto"/>
              <w:lang w:val="zh-CN"/>
            </w:rPr>
            <w:t>目录</w:t>
          </w:r>
        </w:p>
        <w:p w14:paraId="308C89D4">
          <w:pPr>
            <w:pStyle w:val="6"/>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2"/>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14:paraId="738F6DEE">
          <w:pPr>
            <w:pStyle w:val="8"/>
            <w:tabs>
              <w:tab w:val="right" w:leader="dot" w:pos="8834"/>
            </w:tabs>
            <w:rPr>
              <w:rFonts w:cstheme="minorBidi"/>
              <w:kern w:val="2"/>
              <w:sz w:val="21"/>
            </w:rPr>
          </w:pPr>
          <w:r>
            <w:fldChar w:fldCharType="begin"/>
          </w:r>
          <w:r>
            <w:instrText xml:space="preserve"> HYPERLINK \l "_Toc68703828" </w:instrText>
          </w:r>
          <w:r>
            <w:fldChar w:fldCharType="separate"/>
          </w:r>
          <w:r>
            <w:rPr>
              <w:rStyle w:val="12"/>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14:paraId="45464182">
          <w:pPr>
            <w:pStyle w:val="8"/>
            <w:tabs>
              <w:tab w:val="right" w:leader="dot" w:pos="8834"/>
            </w:tabs>
            <w:rPr>
              <w:rFonts w:cstheme="minorBidi"/>
              <w:kern w:val="2"/>
              <w:sz w:val="21"/>
            </w:rPr>
          </w:pPr>
          <w:r>
            <w:fldChar w:fldCharType="begin"/>
          </w:r>
          <w:r>
            <w:instrText xml:space="preserve"> HYPERLINK \l "_Toc68703829" </w:instrText>
          </w:r>
          <w:r>
            <w:fldChar w:fldCharType="separate"/>
          </w:r>
          <w:r>
            <w:rPr>
              <w:rStyle w:val="12"/>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14:paraId="5C5E8784">
          <w:pPr>
            <w:pStyle w:val="6"/>
            <w:tabs>
              <w:tab w:val="right" w:leader="dot" w:pos="8834"/>
            </w:tabs>
            <w:rPr>
              <w:rFonts w:cstheme="minorBidi"/>
              <w:kern w:val="2"/>
              <w:sz w:val="21"/>
            </w:rPr>
          </w:pPr>
          <w:r>
            <w:fldChar w:fldCharType="begin"/>
          </w:r>
          <w:r>
            <w:instrText xml:space="preserve"> HYPERLINK \l "_Toc68703830" </w:instrText>
          </w:r>
          <w:r>
            <w:fldChar w:fldCharType="separate"/>
          </w:r>
          <w:r>
            <w:rPr>
              <w:rStyle w:val="12"/>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14:paraId="2F8578BB">
          <w:pPr>
            <w:pStyle w:val="8"/>
            <w:tabs>
              <w:tab w:val="right" w:leader="dot" w:pos="8834"/>
            </w:tabs>
            <w:rPr>
              <w:rFonts w:cstheme="minorBidi"/>
              <w:kern w:val="2"/>
              <w:sz w:val="21"/>
            </w:rPr>
          </w:pPr>
          <w:r>
            <w:fldChar w:fldCharType="begin"/>
          </w:r>
          <w:r>
            <w:instrText xml:space="preserve"> HYPERLINK \l "_Toc68703831" </w:instrText>
          </w:r>
          <w:r>
            <w:fldChar w:fldCharType="separate"/>
          </w:r>
          <w:r>
            <w:rPr>
              <w:rStyle w:val="12"/>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14:paraId="13FC7A54">
          <w:pPr>
            <w:pStyle w:val="8"/>
            <w:tabs>
              <w:tab w:val="right" w:leader="dot" w:pos="8834"/>
            </w:tabs>
            <w:rPr>
              <w:rFonts w:cstheme="minorBidi"/>
              <w:kern w:val="2"/>
              <w:sz w:val="21"/>
            </w:rPr>
          </w:pPr>
          <w:r>
            <w:fldChar w:fldCharType="begin"/>
          </w:r>
          <w:r>
            <w:instrText xml:space="preserve"> HYPERLINK \l "_Toc68703832" </w:instrText>
          </w:r>
          <w:r>
            <w:fldChar w:fldCharType="separate"/>
          </w:r>
          <w:r>
            <w:rPr>
              <w:rStyle w:val="12"/>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14:paraId="30EBDF09">
          <w:pPr>
            <w:pStyle w:val="8"/>
            <w:tabs>
              <w:tab w:val="right" w:leader="dot" w:pos="8834"/>
            </w:tabs>
            <w:rPr>
              <w:rFonts w:cstheme="minorBidi"/>
              <w:kern w:val="2"/>
              <w:sz w:val="21"/>
            </w:rPr>
          </w:pPr>
          <w:r>
            <w:fldChar w:fldCharType="begin"/>
          </w:r>
          <w:r>
            <w:instrText xml:space="preserve"> HYPERLINK \l "_Toc68703833" </w:instrText>
          </w:r>
          <w:r>
            <w:fldChar w:fldCharType="separate"/>
          </w:r>
          <w:r>
            <w:rPr>
              <w:rStyle w:val="12"/>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14:paraId="579F43FD">
          <w:pPr>
            <w:pStyle w:val="6"/>
            <w:tabs>
              <w:tab w:val="right" w:leader="dot" w:pos="8834"/>
            </w:tabs>
            <w:rPr>
              <w:rFonts w:cstheme="minorBidi"/>
              <w:kern w:val="2"/>
              <w:sz w:val="21"/>
            </w:rPr>
          </w:pPr>
          <w:r>
            <w:fldChar w:fldCharType="begin"/>
          </w:r>
          <w:r>
            <w:instrText xml:space="preserve"> HYPERLINK \l "_Toc68703834" </w:instrText>
          </w:r>
          <w:r>
            <w:fldChar w:fldCharType="separate"/>
          </w:r>
          <w:r>
            <w:rPr>
              <w:rStyle w:val="12"/>
              <w:rFonts w:ascii="宋体" w:hAnsi="宋体" w:eastAsia="宋体"/>
            </w:rPr>
            <w:t>三、综合评价情况及评价结论</w:t>
          </w:r>
          <w:r>
            <w:tab/>
          </w:r>
          <w:r>
            <w:fldChar w:fldCharType="begin"/>
          </w:r>
          <w:r>
            <w:instrText xml:space="preserve"> PAGEREF _Toc68703834 \h </w:instrText>
          </w:r>
          <w:r>
            <w:fldChar w:fldCharType="separate"/>
          </w:r>
          <w:r>
            <w:rPr>
              <w:rFonts w:hint="eastAsia"/>
              <w:lang w:eastAsia="zh-CN"/>
            </w:rPr>
            <w:t>17</w:t>
          </w:r>
          <w:r>
            <w:fldChar w:fldCharType="end"/>
          </w:r>
          <w:r>
            <w:fldChar w:fldCharType="end"/>
          </w:r>
        </w:p>
        <w:p w14:paraId="02149C72">
          <w:pPr>
            <w:pStyle w:val="8"/>
            <w:tabs>
              <w:tab w:val="right" w:leader="dot" w:pos="8834"/>
            </w:tabs>
            <w:rPr>
              <w:rFonts w:cstheme="minorBidi"/>
              <w:kern w:val="2"/>
              <w:sz w:val="21"/>
            </w:rPr>
          </w:pPr>
          <w:r>
            <w:fldChar w:fldCharType="begin"/>
          </w:r>
          <w:r>
            <w:instrText xml:space="preserve"> HYPERLINK \l "_Toc68703835" </w:instrText>
          </w:r>
          <w:r>
            <w:fldChar w:fldCharType="separate"/>
          </w:r>
          <w:r>
            <w:rPr>
              <w:rStyle w:val="12"/>
              <w:rFonts w:ascii="仿宋_GB2312" w:eastAsia="仿宋_GB2312"/>
            </w:rPr>
            <w:t>（一）综合评价情况</w:t>
          </w:r>
          <w:r>
            <w:tab/>
          </w:r>
          <w:r>
            <w:fldChar w:fldCharType="begin"/>
          </w:r>
          <w:r>
            <w:instrText xml:space="preserve"> PAGEREF _Toc68703835 \h </w:instrText>
          </w:r>
          <w:r>
            <w:fldChar w:fldCharType="separate"/>
          </w:r>
          <w:r>
            <w:rPr>
              <w:rFonts w:hint="eastAsia"/>
              <w:lang w:eastAsia="zh-CN"/>
            </w:rPr>
            <w:t>17</w:t>
          </w:r>
          <w:r>
            <w:fldChar w:fldCharType="end"/>
          </w:r>
          <w:r>
            <w:fldChar w:fldCharType="end"/>
          </w:r>
        </w:p>
        <w:p w14:paraId="14079A4C">
          <w:pPr>
            <w:pStyle w:val="8"/>
            <w:tabs>
              <w:tab w:val="right" w:leader="dot" w:pos="8834"/>
            </w:tabs>
            <w:rPr>
              <w:rFonts w:cstheme="minorBidi"/>
              <w:kern w:val="2"/>
              <w:sz w:val="21"/>
            </w:rPr>
          </w:pPr>
          <w:r>
            <w:fldChar w:fldCharType="begin"/>
          </w:r>
          <w:r>
            <w:instrText xml:space="preserve"> HYPERLINK \l "_Toc68703836" </w:instrText>
          </w:r>
          <w:r>
            <w:fldChar w:fldCharType="separate"/>
          </w:r>
          <w:r>
            <w:rPr>
              <w:rStyle w:val="12"/>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14:paraId="442B7BF4">
          <w:pPr>
            <w:pStyle w:val="6"/>
            <w:tabs>
              <w:tab w:val="right" w:leader="dot" w:pos="8834"/>
            </w:tabs>
            <w:rPr>
              <w:rFonts w:cstheme="minorBidi"/>
              <w:kern w:val="2"/>
              <w:sz w:val="21"/>
            </w:rPr>
          </w:pPr>
          <w:r>
            <w:fldChar w:fldCharType="begin"/>
          </w:r>
          <w:r>
            <w:instrText xml:space="preserve"> HYPERLINK \l "_Toc68703837" </w:instrText>
          </w:r>
          <w:r>
            <w:fldChar w:fldCharType="separate"/>
          </w:r>
          <w:r>
            <w:rPr>
              <w:rStyle w:val="12"/>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14:paraId="51AFB5F3">
          <w:pPr>
            <w:pStyle w:val="8"/>
            <w:tabs>
              <w:tab w:val="right" w:leader="dot" w:pos="8834"/>
            </w:tabs>
            <w:rPr>
              <w:rFonts w:cstheme="minorBidi"/>
              <w:kern w:val="2"/>
              <w:sz w:val="21"/>
            </w:rPr>
          </w:pPr>
          <w:r>
            <w:fldChar w:fldCharType="begin"/>
          </w:r>
          <w:r>
            <w:instrText xml:space="preserve"> HYPERLINK \l "_Toc68703838" </w:instrText>
          </w:r>
          <w:r>
            <w:fldChar w:fldCharType="separate"/>
          </w:r>
          <w:r>
            <w:rPr>
              <w:rStyle w:val="12"/>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14:paraId="48F42D0C">
          <w:pPr>
            <w:pStyle w:val="8"/>
            <w:tabs>
              <w:tab w:val="right" w:leader="dot" w:pos="8834"/>
            </w:tabs>
            <w:rPr>
              <w:rFonts w:cstheme="minorBidi"/>
              <w:kern w:val="2"/>
              <w:sz w:val="21"/>
            </w:rPr>
          </w:pPr>
          <w:r>
            <w:fldChar w:fldCharType="begin"/>
          </w:r>
          <w:r>
            <w:instrText xml:space="preserve"> HYPERLINK \l "_Toc68703839" </w:instrText>
          </w:r>
          <w:r>
            <w:fldChar w:fldCharType="separate"/>
          </w:r>
          <w:r>
            <w:rPr>
              <w:rStyle w:val="12"/>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14:paraId="1602C8E7">
          <w:pPr>
            <w:pStyle w:val="8"/>
            <w:tabs>
              <w:tab w:val="right" w:leader="dot" w:pos="8834"/>
            </w:tabs>
            <w:rPr>
              <w:rFonts w:cstheme="minorBidi"/>
              <w:kern w:val="2"/>
              <w:sz w:val="21"/>
            </w:rPr>
          </w:pPr>
          <w:r>
            <w:fldChar w:fldCharType="begin"/>
          </w:r>
          <w:r>
            <w:instrText xml:space="preserve"> HYPERLINK \l "_Toc68703840" </w:instrText>
          </w:r>
          <w:r>
            <w:fldChar w:fldCharType="separate"/>
          </w:r>
          <w:r>
            <w:rPr>
              <w:rStyle w:val="12"/>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14:paraId="784A295E">
          <w:pPr>
            <w:pStyle w:val="8"/>
            <w:tabs>
              <w:tab w:val="right" w:leader="dot" w:pos="8834"/>
            </w:tabs>
            <w:rPr>
              <w:rFonts w:cstheme="minorBidi"/>
              <w:kern w:val="2"/>
              <w:sz w:val="21"/>
            </w:rPr>
          </w:pPr>
          <w:r>
            <w:fldChar w:fldCharType="begin"/>
          </w:r>
          <w:r>
            <w:instrText xml:space="preserve"> HYPERLINK \l "_Toc68703841" </w:instrText>
          </w:r>
          <w:r>
            <w:fldChar w:fldCharType="separate"/>
          </w:r>
          <w:r>
            <w:rPr>
              <w:rStyle w:val="12"/>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14:paraId="7A838AF2">
          <w:pPr>
            <w:pStyle w:val="6"/>
            <w:tabs>
              <w:tab w:val="right" w:leader="dot" w:pos="8834"/>
            </w:tabs>
            <w:rPr>
              <w:rFonts w:cstheme="minorBidi"/>
              <w:kern w:val="2"/>
              <w:sz w:val="21"/>
            </w:rPr>
          </w:pPr>
          <w:r>
            <w:fldChar w:fldCharType="begin"/>
          </w:r>
          <w:r>
            <w:instrText xml:space="preserve"> HYPERLINK \l "_Toc68703842" </w:instrText>
          </w:r>
          <w:r>
            <w:fldChar w:fldCharType="separate"/>
          </w:r>
          <w:r>
            <w:rPr>
              <w:rStyle w:val="12"/>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14:paraId="28BC8BB0">
          <w:pPr>
            <w:pStyle w:val="8"/>
            <w:tabs>
              <w:tab w:val="right" w:leader="dot" w:pos="8834"/>
            </w:tabs>
            <w:rPr>
              <w:rFonts w:cstheme="minorBidi"/>
              <w:kern w:val="2"/>
              <w:sz w:val="21"/>
            </w:rPr>
          </w:pPr>
          <w:r>
            <w:fldChar w:fldCharType="begin"/>
          </w:r>
          <w:r>
            <w:instrText xml:space="preserve"> HYPERLINK \l "_Toc68703843" </w:instrText>
          </w:r>
          <w:r>
            <w:fldChar w:fldCharType="separate"/>
          </w:r>
          <w:r>
            <w:rPr>
              <w:rStyle w:val="12"/>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14:paraId="46951A6C">
          <w:pPr>
            <w:pStyle w:val="8"/>
            <w:tabs>
              <w:tab w:val="right" w:leader="dot" w:pos="8834"/>
            </w:tabs>
            <w:rPr>
              <w:rFonts w:cstheme="minorBidi"/>
              <w:kern w:val="2"/>
              <w:sz w:val="21"/>
            </w:rPr>
          </w:pPr>
          <w:r>
            <w:fldChar w:fldCharType="begin"/>
          </w:r>
          <w:r>
            <w:instrText xml:space="preserve"> HYPERLINK \l "_Toc68703844" </w:instrText>
          </w:r>
          <w:r>
            <w:fldChar w:fldCharType="separate"/>
          </w:r>
          <w:r>
            <w:rPr>
              <w:rStyle w:val="12"/>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14:paraId="7E90E36F">
          <w:pPr>
            <w:pStyle w:val="6"/>
            <w:tabs>
              <w:tab w:val="right" w:leader="dot" w:pos="8834"/>
            </w:tabs>
            <w:rPr>
              <w:rFonts w:cstheme="minorBidi"/>
              <w:kern w:val="2"/>
              <w:sz w:val="21"/>
            </w:rPr>
          </w:pPr>
          <w:r>
            <w:fldChar w:fldCharType="begin"/>
          </w:r>
          <w:r>
            <w:instrText xml:space="preserve"> HYPERLINK \l "_Toc68703845" </w:instrText>
          </w:r>
          <w:r>
            <w:fldChar w:fldCharType="separate"/>
          </w:r>
          <w:r>
            <w:rPr>
              <w:rStyle w:val="12"/>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14:paraId="78A54374">
          <w:pPr>
            <w:pStyle w:val="6"/>
            <w:tabs>
              <w:tab w:val="right" w:leader="dot" w:pos="8834"/>
            </w:tabs>
            <w:rPr>
              <w:rFonts w:cstheme="minorBidi"/>
              <w:kern w:val="2"/>
              <w:sz w:val="21"/>
            </w:rPr>
          </w:pPr>
          <w:r>
            <w:fldChar w:fldCharType="begin"/>
          </w:r>
          <w:r>
            <w:instrText xml:space="preserve"> HYPERLINK \l "_Toc68703846" </w:instrText>
          </w:r>
          <w:r>
            <w:fldChar w:fldCharType="separate"/>
          </w:r>
          <w:r>
            <w:rPr>
              <w:rStyle w:val="12"/>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14:paraId="768574DC">
          <w:r>
            <w:rPr>
              <w:b/>
              <w:bCs/>
              <w:lang w:val="zh-CN"/>
            </w:rPr>
            <w:fldChar w:fldCharType="end"/>
          </w:r>
        </w:p>
      </w:sdtContent>
    </w:sdt>
    <w:p w14:paraId="4C6CAB25">
      <w:pPr>
        <w:widowControl/>
        <w:jc w:val="left"/>
        <w:rPr>
          <w:rFonts w:ascii="宋体" w:hAnsi="宋体" w:eastAsia="宋体" w:cs="Arial"/>
          <w:b/>
          <w:bCs/>
          <w:sz w:val="36"/>
          <w:szCs w:val="36"/>
        </w:rPr>
      </w:pPr>
      <w:r>
        <w:rPr>
          <w:rFonts w:ascii="宋体" w:hAnsi="宋体" w:eastAsia="宋体" w:cs="Arial"/>
          <w:b/>
          <w:bCs/>
          <w:sz w:val="36"/>
          <w:szCs w:val="36"/>
        </w:rPr>
        <w:br w:type="page"/>
      </w:r>
    </w:p>
    <w:p w14:paraId="7DF3005D">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505E13F8">
      <w:pPr>
        <w:jc w:val="center"/>
        <w:rPr>
          <w:rFonts w:ascii="仿宋_GB2312"/>
        </w:rPr>
      </w:pPr>
      <w:r>
        <w:rPr>
          <w:rFonts w:hint="eastAsia" w:ascii="仿宋_GB2312"/>
        </w:rPr>
        <w:t>（参考提纲）</w:t>
      </w:r>
    </w:p>
    <w:p w14:paraId="24B2E2DC">
      <w:pPr>
        <w:jc w:val="center"/>
        <w:rPr>
          <w:rFonts w:ascii="仿宋_GB2312"/>
          <w:szCs w:val="30"/>
        </w:rPr>
      </w:pPr>
    </w:p>
    <w:p w14:paraId="1F8108F1">
      <w:pPr>
        <w:pStyle w:val="2"/>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36734342">
      <w:pPr>
        <w:pStyle w:val="3"/>
        <w:spacing w:line="360" w:lineRule="auto"/>
        <w:rPr>
          <w:rFonts w:ascii="仿宋_GB2312" w:eastAsia="仿宋_GB2312"/>
          <w:b w:val="0"/>
          <w:bCs w:val="0"/>
        </w:rPr>
      </w:pPr>
      <w:bookmarkStart w:id="1" w:name="_Toc68703828"/>
      <w:r>
        <w:rPr>
          <w:rFonts w:hint="eastAsia" w:ascii="仿宋_GB2312" w:eastAsia="仿宋_GB2312"/>
          <w:b w:val="0"/>
          <w:bCs w:val="0"/>
        </w:rPr>
        <w:t>（一）项目概况。</w:t>
      </w:r>
      <w:bookmarkEnd w:id="1"/>
    </w:p>
    <w:p w14:paraId="193BCF1F">
      <w:pPr>
        <w:spacing w:line="360" w:lineRule="auto"/>
        <w:ind w:firstLine="640" w:firstLineChars="200"/>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1、项目背景及立项依据</w:t>
      </w:r>
    </w:p>
    <w:p w14:paraId="14FC4321">
      <w:pPr>
        <w:pStyle w:val="9"/>
        <w:ind w:firstLine="640" w:firstLineChars="200"/>
        <w:jc w:val="both"/>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按照县司法局根据自身单位职能要求立项，目的为保障访惠聚工作队队员工作顺利开展，保障保障为民办实事队员4人工作正常开展，深入开展为民办实事，为民办好事项目。</w:t>
      </w:r>
    </w:p>
    <w:p w14:paraId="5CC52D7B">
      <w:pPr>
        <w:numPr>
          <w:ilvl w:val="0"/>
          <w:numId w:val="1"/>
        </w:numPr>
        <w:spacing w:line="360" w:lineRule="auto"/>
        <w:ind w:firstLine="640" w:firstLineChars="200"/>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主要内容及实施情况</w:t>
      </w:r>
    </w:p>
    <w:p w14:paraId="7B951ACC">
      <w:pPr>
        <w:numPr>
          <w:ilvl w:val="0"/>
          <w:numId w:val="0"/>
        </w:numPr>
        <w:spacing w:line="360" w:lineRule="auto"/>
        <w:ind w:firstLine="640" w:firstLineChars="200"/>
        <w:rPr>
          <w:rFonts w:hint="default"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主要内容：保障保障为民办实事队员4人工作正常开展，深入开展为民办实事，为民办好事项目。</w:t>
      </w:r>
    </w:p>
    <w:p w14:paraId="16599A6B">
      <w:pPr>
        <w:numPr>
          <w:ilvl w:val="0"/>
          <w:numId w:val="2"/>
        </w:numPr>
        <w:spacing w:line="360" w:lineRule="auto"/>
        <w:ind w:firstLine="640" w:firstLineChars="200"/>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实施情况：项目实施过程中严格按照实施方案进行实施并及时进行监督管理，项目实施后是进行及时验收及后期维护。联合王家庄牧场做好动态监测。教育引导基层群众改变陈规陋习，提升群众内生动力。</w:t>
      </w:r>
    </w:p>
    <w:p w14:paraId="2C73D629">
      <w:pPr>
        <w:spacing w:line="360" w:lineRule="auto"/>
        <w:ind w:firstLine="640" w:firstLineChars="200"/>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4、资金投入和使用情况</w:t>
      </w:r>
    </w:p>
    <w:p w14:paraId="7D56297A">
      <w:pPr>
        <w:spacing w:line="360" w:lineRule="auto"/>
        <w:ind w:firstLine="640" w:firstLineChars="200"/>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资金投入情况：该项目年初预算数17万元，全年预算数17万元，实际总投入17万元，该项目资金已全部落实到位，资金来源为财政拨款 。</w:t>
      </w:r>
    </w:p>
    <w:p w14:paraId="521A6304">
      <w:pPr>
        <w:spacing w:line="360" w:lineRule="auto"/>
        <w:ind w:firstLine="640" w:firstLineChars="200"/>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资金使用情况：该项目年初预算数17万元，全年预算数 17万元，全年执行数17万元，预算执行率为100%.</w:t>
      </w:r>
    </w:p>
    <w:p w14:paraId="77CCA611">
      <w:pPr>
        <w:pStyle w:val="3"/>
        <w:spacing w:line="360" w:lineRule="auto"/>
        <w:ind w:firstLine="640" w:firstLineChars="200"/>
        <w:rPr>
          <w:rFonts w:ascii="仿宋_GB2312" w:eastAsia="仿宋_GB2312"/>
          <w:b w:val="0"/>
          <w:bCs w:val="0"/>
        </w:rPr>
      </w:pPr>
      <w:bookmarkStart w:id="2" w:name="_Toc68703829"/>
      <w:r>
        <w:rPr>
          <w:rFonts w:hint="eastAsia" w:ascii="仿宋_GB2312" w:eastAsia="仿宋_GB2312"/>
          <w:b w:val="0"/>
          <w:bCs w:val="0"/>
        </w:rPr>
        <w:t>（二）项目绩效目标。</w:t>
      </w:r>
      <w:bookmarkEnd w:id="2"/>
    </w:p>
    <w:p w14:paraId="43326B09">
      <w:pPr>
        <w:spacing w:line="360" w:lineRule="auto"/>
        <w:ind w:firstLine="640" w:firstLineChars="200"/>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1、总体目标：司法局委派一个工作队，巩固脱贫攻坚成果与乡村振兴有效衔接，联合王家庄牧场做好动态监测。教育引导基层群众改变陈规陋习，提升群众内生动力。</w:t>
      </w:r>
    </w:p>
    <w:p w14:paraId="50C37D6C">
      <w:pPr>
        <w:spacing w:line="360" w:lineRule="auto"/>
        <w:ind w:firstLine="640" w:firstLineChars="200"/>
        <w:rPr>
          <w:rFonts w:ascii="宋体" w:hAnsi="宋体" w:eastAsia="宋体"/>
          <w:sz w:val="32"/>
          <w:szCs w:val="32"/>
        </w:rPr>
      </w:pPr>
      <w:r>
        <w:rPr>
          <w:rFonts w:hint="eastAsia" w:ascii="仿宋_GB2312" w:eastAsia="仿宋_GB2312" w:hAnsiTheme="majorHAnsi" w:cstheme="majorBidi"/>
          <w:b w:val="0"/>
          <w:bCs w:val="0"/>
          <w:kern w:val="2"/>
          <w:sz w:val="32"/>
          <w:szCs w:val="32"/>
          <w:lang w:val="en-US" w:eastAsia="zh-CN" w:bidi="ar-SA"/>
        </w:rPr>
        <w:t>2、阶段性目标：保障工作队4名队员每月工作顺利开展。</w:t>
      </w:r>
      <w:bookmarkStart w:id="3" w:name="_Toc68703830"/>
      <w:r>
        <w:rPr>
          <w:rFonts w:hint="eastAsia" w:ascii="宋体" w:hAnsi="宋体" w:eastAsia="宋体"/>
          <w:sz w:val="32"/>
          <w:szCs w:val="32"/>
        </w:rPr>
        <w:t>二、绩效评价工作开展情况</w:t>
      </w:r>
      <w:bookmarkEnd w:id="3"/>
    </w:p>
    <w:p w14:paraId="6E6A7054">
      <w:pPr>
        <w:pStyle w:val="3"/>
        <w:spacing w:line="360" w:lineRule="auto"/>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14:paraId="01459FBA">
      <w:pPr>
        <w:spacing w:line="360" w:lineRule="auto"/>
      </w:pPr>
      <w:r>
        <w:rPr>
          <w:rFonts w:hint="eastAsia"/>
        </w:rPr>
        <w:t>1、绩效评价目的：</w:t>
      </w:r>
    </w:p>
    <w:p w14:paraId="3B68F11C">
      <w:pPr>
        <w:spacing w:line="360" w:lineRule="auto"/>
        <w:ind w:firstLine="640" w:firstLineChars="200"/>
        <w:jc w:val="left"/>
        <w:rPr>
          <w:rFonts w:ascii="仿宋_GB2312"/>
          <w:bCs/>
          <w:color w:val="auto"/>
          <w:sz w:val="32"/>
          <w:szCs w:val="32"/>
        </w:rPr>
      </w:pPr>
      <w:r>
        <w:rPr>
          <w:rFonts w:hint="eastAsia" w:ascii="仿宋_GB2312"/>
          <w:bCs/>
          <w:color w:val="auto"/>
          <w:sz w:val="32"/>
          <w:szCs w:val="32"/>
        </w:rPr>
        <w:t>通过绩效评价，客观地评判项目的管理绩效，了解和掌握</w:t>
      </w:r>
      <w:r>
        <w:rPr>
          <w:rFonts w:hint="eastAsia" w:ascii="仿宋_GB2312"/>
          <w:bCs/>
          <w:color w:val="auto"/>
          <w:sz w:val="32"/>
          <w:szCs w:val="32"/>
          <w:lang w:eastAsia="zh-CN"/>
        </w:rPr>
        <w:t>访惠聚工作</w:t>
      </w:r>
      <w:r>
        <w:rPr>
          <w:rFonts w:hint="eastAsia" w:ascii="仿宋_GB2312"/>
          <w:bCs/>
          <w:color w:val="auto"/>
          <w:sz w:val="32"/>
          <w:szCs w:val="32"/>
        </w:rPr>
        <w:t>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14:paraId="6EE04CC0">
      <w:pPr>
        <w:spacing w:line="360" w:lineRule="auto"/>
        <w:ind w:firstLine="600" w:firstLineChars="200"/>
        <w:jc w:val="left"/>
        <w:rPr>
          <w:color w:val="auto"/>
        </w:rPr>
      </w:pPr>
      <w:r>
        <w:rPr>
          <w:rFonts w:hint="eastAsia"/>
        </w:rPr>
        <w:t>2、绩效评价对象：</w:t>
      </w:r>
    </w:p>
    <w:p w14:paraId="0B3B6A2B">
      <w:pPr>
        <w:spacing w:line="360" w:lineRule="auto"/>
        <w:ind w:firstLine="640" w:firstLineChars="200"/>
        <w:jc w:val="left"/>
        <w:rPr>
          <w:rFonts w:hint="eastAsia" w:ascii="仿宋_GB2312"/>
          <w:bCs/>
          <w:color w:val="auto"/>
          <w:sz w:val="32"/>
          <w:szCs w:val="32"/>
        </w:rPr>
      </w:pPr>
      <w:r>
        <w:rPr>
          <w:rFonts w:hint="eastAsia" w:ascii="仿宋_GB2312"/>
          <w:bCs/>
          <w:color w:val="auto"/>
          <w:sz w:val="32"/>
          <w:szCs w:val="32"/>
        </w:rPr>
        <w:t>为民办实事及第一书记办实事经费</w:t>
      </w:r>
    </w:p>
    <w:p w14:paraId="71E1EF8C">
      <w:pPr>
        <w:spacing w:line="360" w:lineRule="auto"/>
        <w:ind w:firstLine="600" w:firstLineChars="200"/>
      </w:pPr>
      <w:r>
        <w:rPr>
          <w:rFonts w:hint="eastAsia"/>
        </w:rPr>
        <w:t>3、绩效评价范围：</w:t>
      </w:r>
    </w:p>
    <w:p w14:paraId="4C6EBA5B">
      <w:pPr>
        <w:pageBreakBefore w:val="0"/>
        <w:widowControl w:val="0"/>
        <w:kinsoku/>
        <w:wordWrap/>
        <w:overflowPunct/>
        <w:topLinePunct w:val="0"/>
        <w:autoSpaceDE/>
        <w:autoSpaceDN/>
        <w:bidi w:val="0"/>
        <w:adjustRightInd/>
        <w:spacing w:line="560" w:lineRule="exact"/>
        <w:ind w:firstLine="640" w:firstLineChars="200"/>
        <w:textAlignment w:val="auto"/>
        <w:rPr>
          <w:color w:val="FF0000"/>
        </w:rPr>
      </w:pPr>
      <w:bookmarkStart w:id="5" w:name="_Toc68703832"/>
      <w:r>
        <w:rPr>
          <w:rFonts w:hint="eastAsia"/>
          <w:color w:val="auto"/>
          <w:sz w:val="32"/>
          <w:szCs w:val="32"/>
        </w:rPr>
        <w:t>本次评价从项目决策（包括绩效目标、决策过程）、项目管理（包括项目资金、项目实施）、项目产出（包括项目产出数量、产出质量、产出时效和产出成本）项目效益四个维度进行</w:t>
      </w:r>
      <w:r>
        <w:rPr>
          <w:rFonts w:hint="eastAsia"/>
          <w:color w:val="000000" w:themeColor="text1"/>
          <w:sz w:val="32"/>
          <w:szCs w:val="32"/>
          <w:lang w:eastAsia="zh-CN"/>
          <w14:textFill>
            <w14:solidFill>
              <w14:schemeClr w14:val="tx1"/>
            </w14:solidFill>
          </w14:textFill>
        </w:rPr>
        <w:t>重点建设项目征迁征迁补偿及评估费项目</w:t>
      </w:r>
      <w:r>
        <w:rPr>
          <w:rFonts w:hint="eastAsia"/>
          <w:color w:val="auto"/>
          <w:sz w:val="32"/>
          <w:szCs w:val="32"/>
        </w:rPr>
        <w:t>评价，评价核心为专项资金的支出完成情况和效果。</w:t>
      </w:r>
    </w:p>
    <w:p w14:paraId="0C030EF1">
      <w:pPr>
        <w:pStyle w:val="3"/>
        <w:spacing w:line="360" w:lineRule="auto"/>
        <w:rPr>
          <w:rFonts w:ascii="仿宋_GB2312" w:eastAsia="仿宋_GB2312"/>
          <w:b w:val="0"/>
          <w:bCs w:val="0"/>
        </w:rPr>
      </w:pPr>
      <w:r>
        <w:rPr>
          <w:rFonts w:hint="eastAsia" w:ascii="仿宋_GB2312" w:eastAsia="仿宋_GB2312"/>
          <w:b w:val="0"/>
          <w:bCs w:val="0"/>
        </w:rPr>
        <w:t>（二）绩效评价原则、评价指标体系、评价方法、评价标准等。</w:t>
      </w:r>
      <w:bookmarkEnd w:id="5"/>
    </w:p>
    <w:p w14:paraId="2361AE9A">
      <w:pPr>
        <w:spacing w:line="360" w:lineRule="auto"/>
      </w:pPr>
      <w:r>
        <w:rPr>
          <w:rFonts w:hint="eastAsia"/>
        </w:rPr>
        <w:t>1、绩效评价原则</w:t>
      </w:r>
    </w:p>
    <w:p w14:paraId="34C277BE">
      <w:pPr>
        <w:pageBreakBefore w:val="0"/>
        <w:widowControl w:val="0"/>
        <w:kinsoku/>
        <w:wordWrap/>
        <w:overflowPunct/>
        <w:topLinePunct w:val="0"/>
        <w:autoSpaceDE/>
        <w:autoSpaceDN/>
        <w:bidi w:val="0"/>
        <w:adjustRightInd/>
        <w:spacing w:line="560" w:lineRule="exact"/>
        <w:ind w:firstLine="640"/>
        <w:textAlignment w:val="auto"/>
        <w:rPr>
          <w:rFonts w:ascii="仿宋_GB2312"/>
          <w:bCs/>
          <w:color w:val="auto"/>
          <w:sz w:val="32"/>
          <w:szCs w:val="32"/>
        </w:rPr>
      </w:pPr>
      <w:r>
        <w:rPr>
          <w:rFonts w:hint="eastAsia" w:ascii="仿宋_GB2312"/>
          <w:bCs/>
          <w:color w:val="auto"/>
          <w:sz w:val="32"/>
          <w:szCs w:val="32"/>
        </w:rPr>
        <w:t>（一）科学公正。本次自评按照前期准备、组织实施、分析评价的程序进行，采取绩效自评，通过材料核查、问卷调查等方式，综合运用对比分析和单位各部门负责人评议等方法进行评价，确保评价过程及结果客观、公正。</w:t>
      </w:r>
    </w:p>
    <w:p w14:paraId="0774B5EB">
      <w:pPr>
        <w:pageBreakBefore w:val="0"/>
        <w:widowControl w:val="0"/>
        <w:kinsoku/>
        <w:wordWrap/>
        <w:overflowPunct/>
        <w:topLinePunct w:val="0"/>
        <w:autoSpaceDE/>
        <w:autoSpaceDN/>
        <w:bidi w:val="0"/>
        <w:adjustRightInd/>
        <w:spacing w:line="560" w:lineRule="exact"/>
        <w:ind w:firstLine="640"/>
        <w:textAlignment w:val="auto"/>
        <w:rPr>
          <w:rFonts w:ascii="仿宋_GB2312"/>
          <w:bCs/>
          <w:color w:val="auto"/>
          <w:sz w:val="32"/>
          <w:szCs w:val="32"/>
        </w:rPr>
      </w:pPr>
      <w:r>
        <w:rPr>
          <w:rFonts w:hint="eastAsia" w:ascii="仿宋_GB2312"/>
          <w:bCs/>
          <w:color w:val="auto"/>
          <w:sz w:val="32"/>
          <w:szCs w:val="32"/>
        </w:rPr>
        <w:t>（二）统筹兼顾。本次由</w:t>
      </w:r>
      <w:r>
        <w:rPr>
          <w:rFonts w:hint="eastAsia" w:ascii="仿宋_GB2312"/>
          <w:bCs/>
          <w:color w:val="auto"/>
          <w:sz w:val="32"/>
          <w:szCs w:val="32"/>
          <w:lang w:val="en-US" w:eastAsia="zh-CN"/>
        </w:rPr>
        <w:t>自然资源局</w:t>
      </w:r>
      <w:r>
        <w:rPr>
          <w:rFonts w:hint="eastAsia" w:ascii="仿宋_GB2312"/>
          <w:bCs/>
          <w:color w:val="auto"/>
          <w:sz w:val="32"/>
          <w:szCs w:val="32"/>
        </w:rPr>
        <w:t>主要领导负责召集各项目主管人员及项目执行部门召开项目自评会议，根据规范程序布置工作任务，统一自评标准，制定了项目绩效自评方案，分工明确，责任到人，确保绩效评价工作扎实、开展。</w:t>
      </w:r>
    </w:p>
    <w:p w14:paraId="08332CB7">
      <w:pPr>
        <w:pageBreakBefore w:val="0"/>
        <w:widowControl w:val="0"/>
        <w:kinsoku/>
        <w:wordWrap/>
        <w:overflowPunct/>
        <w:topLinePunct w:val="0"/>
        <w:autoSpaceDE/>
        <w:autoSpaceDN/>
        <w:bidi w:val="0"/>
        <w:adjustRightInd/>
        <w:spacing w:line="560" w:lineRule="exact"/>
        <w:ind w:firstLine="640"/>
        <w:textAlignment w:val="auto"/>
        <w:rPr>
          <w:rFonts w:ascii="仿宋_GB2312"/>
          <w:bCs/>
          <w:color w:val="auto"/>
          <w:sz w:val="32"/>
          <w:szCs w:val="32"/>
        </w:rPr>
      </w:pPr>
      <w:r>
        <w:rPr>
          <w:rFonts w:hint="eastAsia" w:ascii="仿宋_GB2312"/>
          <w:bCs/>
          <w:color w:val="auto"/>
          <w:sz w:val="32"/>
          <w:szCs w:val="32"/>
        </w:rPr>
        <w:t>（三）激励约束。绩效评价结果应与资金分配挂钩，建立健全评价结果与与财政预算资金分配挂钩，并作为改进管理、完善政策的重要依据，向上一年度绩效评价考核优秀的部门倾斜。</w:t>
      </w:r>
    </w:p>
    <w:p w14:paraId="55ABE170">
      <w:pPr>
        <w:spacing w:line="360" w:lineRule="auto"/>
      </w:pPr>
      <w:r>
        <w:rPr>
          <w:rFonts w:hint="eastAsia" w:ascii="仿宋_GB2312"/>
          <w:bCs/>
          <w:color w:val="auto"/>
          <w:sz w:val="32"/>
          <w:szCs w:val="32"/>
        </w:rPr>
        <w:t>（四）公开透明。我单位绩效评价结束以后，将根据《政府信息公开条例》规定，自评结果在</w:t>
      </w:r>
      <w:r>
        <w:rPr>
          <w:rFonts w:hint="eastAsia" w:ascii="仿宋_GB2312"/>
          <w:bCs/>
          <w:color w:val="auto"/>
          <w:sz w:val="32"/>
          <w:szCs w:val="32"/>
          <w:lang w:val="en-US" w:eastAsia="zh-CN"/>
        </w:rPr>
        <w:t>焉耆县</w:t>
      </w:r>
      <w:r>
        <w:rPr>
          <w:rFonts w:hint="eastAsia" w:ascii="仿宋_GB2312"/>
          <w:bCs/>
          <w:color w:val="auto"/>
          <w:sz w:val="32"/>
          <w:szCs w:val="32"/>
        </w:rPr>
        <w:t>政府网站进行公开，广泛接受人民群众监督，接受社会各界监督，让公众全面了解政府绩效评价过程和评价结果。</w:t>
      </w:r>
    </w:p>
    <w:p w14:paraId="0A4FCFE0">
      <w:pPr>
        <w:spacing w:line="360" w:lineRule="auto"/>
      </w:pPr>
      <w:r>
        <w:rPr>
          <w:rFonts w:hint="eastAsia"/>
        </w:rPr>
        <w:t>2、评价指标体系（附表说明）</w:t>
      </w:r>
    </w:p>
    <w:p w14:paraId="2BA9FF5D">
      <w:pPr>
        <w:pStyle w:val="3"/>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lang w:eastAsia="zh-CN"/>
        </w:rPr>
        <w:t>访惠聚工作队工作经费</w:t>
      </w:r>
      <w:r>
        <w:rPr>
          <w:rFonts w:hint="eastAsia" w:ascii="Times New Roman" w:hAnsi="Times New Roman" w:eastAsia="仿宋_GB2312" w:cs="Times New Roman"/>
          <w:b w:val="0"/>
          <w:bCs w:val="0"/>
          <w:sz w:val="30"/>
          <w:szCs w:val="24"/>
        </w:rPr>
        <w:t>项目支出绩效评价指标体系</w:t>
      </w:r>
    </w:p>
    <w:tbl>
      <w:tblPr>
        <w:tblStyle w:val="10"/>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14:paraId="6F4180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14:paraId="1C8E9FA3">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14:paraId="05CFBBF2">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14:paraId="6108982F">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14:paraId="399FCE41">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14:paraId="1A05B704">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14:paraId="347719E4">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14:paraId="59869D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14:paraId="441E11C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14:paraId="3908AB8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14:paraId="53DD2EA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14:paraId="036C054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14:paraId="46C966A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14:paraId="16002561">
            <w:pPr>
              <w:spacing w:line="600" w:lineRule="auto"/>
              <w:jc w:val="center"/>
              <w:rPr>
                <w:rFonts w:hint="eastAsia" w:eastAsia="仿宋_GB2312"/>
                <w:lang w:val="en-US" w:eastAsia="zh-CN"/>
              </w:rPr>
            </w:pPr>
            <w:r>
              <w:rPr>
                <w:rFonts w:hint="eastAsia"/>
                <w:lang w:val="en-US" w:eastAsia="zh-CN"/>
              </w:rPr>
              <w:t>5</w:t>
            </w:r>
          </w:p>
        </w:tc>
        <w:tc>
          <w:tcPr>
            <w:tcW w:w="874" w:type="dxa"/>
            <w:tcBorders>
              <w:bottom w:val="single" w:color="auto" w:sz="4" w:space="0"/>
            </w:tcBorders>
            <w:shd w:val="clear" w:color="auto" w:fill="FFFFFF"/>
          </w:tcPr>
          <w:p w14:paraId="21D82B00">
            <w:pPr>
              <w:spacing w:line="600" w:lineRule="auto"/>
              <w:jc w:val="center"/>
              <w:rPr>
                <w:rFonts w:hint="eastAsia" w:eastAsia="仿宋_GB2312"/>
                <w:lang w:val="en-US" w:eastAsia="zh-CN"/>
              </w:rPr>
            </w:pPr>
            <w:r>
              <w:rPr>
                <w:rFonts w:hint="eastAsia"/>
                <w:lang w:val="en-US" w:eastAsia="zh-CN"/>
              </w:rPr>
              <w:t>5</w:t>
            </w:r>
          </w:p>
        </w:tc>
      </w:tr>
      <w:tr w14:paraId="56D78E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40FAA71A">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37AA3B16">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7F76823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14:paraId="2E08BF8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14:paraId="7967487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14:paraId="217F5B53">
            <w:pPr>
              <w:spacing w:line="600" w:lineRule="auto"/>
              <w:jc w:val="center"/>
              <w:rPr>
                <w:rFonts w:hint="eastAsia" w:eastAsia="仿宋_GB2312"/>
                <w:lang w:val="en-US" w:eastAsia="zh-CN"/>
              </w:rPr>
            </w:pPr>
            <w:r>
              <w:rPr>
                <w:rFonts w:hint="eastAsia"/>
                <w:lang w:val="en-US" w:eastAsia="zh-CN"/>
              </w:rPr>
              <w:t>5</w:t>
            </w:r>
          </w:p>
        </w:tc>
        <w:tc>
          <w:tcPr>
            <w:tcW w:w="874" w:type="dxa"/>
            <w:shd w:val="clear" w:color="auto" w:fill="FFFFFF"/>
          </w:tcPr>
          <w:p w14:paraId="6552BD07">
            <w:pPr>
              <w:spacing w:line="600" w:lineRule="auto"/>
              <w:jc w:val="center"/>
              <w:rPr>
                <w:rFonts w:hint="eastAsia" w:eastAsia="仿宋_GB2312"/>
                <w:lang w:val="en-US" w:eastAsia="zh-CN"/>
              </w:rPr>
            </w:pPr>
            <w:r>
              <w:rPr>
                <w:rFonts w:hint="eastAsia"/>
                <w:lang w:val="en-US" w:eastAsia="zh-CN"/>
              </w:rPr>
              <w:t>5</w:t>
            </w:r>
          </w:p>
        </w:tc>
      </w:tr>
      <w:tr w14:paraId="678325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14:paraId="7C8EFDA5">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04B291A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14:paraId="40A4882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14:paraId="1BCE5A6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14:paraId="5C47444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14:paraId="44B69170">
            <w:pPr>
              <w:spacing w:line="600" w:lineRule="auto"/>
              <w:jc w:val="center"/>
              <w:rPr>
                <w:rFonts w:hint="default" w:eastAsia="仿宋_GB2312"/>
                <w:lang w:val="en-US" w:eastAsia="zh-CN"/>
              </w:rPr>
            </w:pPr>
            <w:r>
              <w:rPr>
                <w:rFonts w:hint="eastAsia"/>
                <w:lang w:val="en-US" w:eastAsia="zh-CN"/>
              </w:rPr>
              <w:t>2.5</w:t>
            </w:r>
          </w:p>
        </w:tc>
        <w:tc>
          <w:tcPr>
            <w:tcW w:w="874" w:type="dxa"/>
            <w:shd w:val="clear" w:color="000000" w:fill="FFFFFF"/>
          </w:tcPr>
          <w:p w14:paraId="474870D3">
            <w:pPr>
              <w:spacing w:line="600" w:lineRule="auto"/>
              <w:jc w:val="center"/>
              <w:rPr>
                <w:rFonts w:hint="default" w:eastAsia="仿宋_GB2312"/>
                <w:lang w:val="en-US" w:eastAsia="zh-CN"/>
              </w:rPr>
            </w:pPr>
            <w:r>
              <w:rPr>
                <w:rFonts w:hint="eastAsia"/>
                <w:lang w:val="en-US" w:eastAsia="zh-CN"/>
              </w:rPr>
              <w:t>2.5</w:t>
            </w:r>
          </w:p>
        </w:tc>
      </w:tr>
      <w:tr w14:paraId="500ADE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14:paraId="28B15FEB">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7244EBB8">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013AB9C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14:paraId="0326C75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14:paraId="641298C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14:paraId="60DC2724">
            <w:pPr>
              <w:spacing w:line="600" w:lineRule="auto"/>
              <w:jc w:val="center"/>
            </w:pPr>
            <w:r>
              <w:rPr>
                <w:rFonts w:hint="eastAsia"/>
                <w:lang w:val="en-US" w:eastAsia="zh-CN"/>
              </w:rPr>
              <w:t>2.5</w:t>
            </w:r>
          </w:p>
        </w:tc>
        <w:tc>
          <w:tcPr>
            <w:tcW w:w="874" w:type="dxa"/>
            <w:tcBorders>
              <w:bottom w:val="single" w:color="auto" w:sz="4" w:space="0"/>
            </w:tcBorders>
            <w:shd w:val="clear" w:color="000000" w:fill="FFFFFF"/>
          </w:tcPr>
          <w:p w14:paraId="38D330F6">
            <w:pPr>
              <w:spacing w:line="600" w:lineRule="auto"/>
              <w:jc w:val="center"/>
            </w:pPr>
            <w:r>
              <w:rPr>
                <w:rFonts w:hint="eastAsia"/>
                <w:lang w:val="en-US" w:eastAsia="zh-CN"/>
              </w:rPr>
              <w:t>2.5</w:t>
            </w:r>
          </w:p>
        </w:tc>
      </w:tr>
      <w:tr w14:paraId="55BF2D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14:paraId="486C2526">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5A5CFF8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14:paraId="1D883F06">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14:paraId="6D5F277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14:paraId="592B49B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14:paraId="6B6C0A8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14:paraId="09019C1D">
            <w:pPr>
              <w:spacing w:line="600" w:lineRule="auto"/>
              <w:jc w:val="center"/>
            </w:pPr>
            <w:r>
              <w:rPr>
                <w:rFonts w:hint="eastAsia"/>
                <w:lang w:val="en-US" w:eastAsia="zh-CN"/>
              </w:rPr>
              <w:t>2.5</w:t>
            </w:r>
          </w:p>
        </w:tc>
        <w:tc>
          <w:tcPr>
            <w:tcW w:w="874" w:type="dxa"/>
            <w:tcBorders>
              <w:bottom w:val="single" w:color="auto" w:sz="4" w:space="0"/>
            </w:tcBorders>
            <w:shd w:val="clear" w:color="auto" w:fill="FFFFFF"/>
          </w:tcPr>
          <w:p w14:paraId="5914CC81">
            <w:pPr>
              <w:spacing w:line="600" w:lineRule="auto"/>
              <w:jc w:val="center"/>
            </w:pPr>
            <w:r>
              <w:rPr>
                <w:rFonts w:hint="eastAsia"/>
                <w:lang w:val="en-US" w:eastAsia="zh-CN"/>
              </w:rPr>
              <w:t>2.5</w:t>
            </w:r>
          </w:p>
        </w:tc>
      </w:tr>
      <w:tr w14:paraId="74F920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14:paraId="3C033217">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74F66DDD">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37CF199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14:paraId="3A5AD83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14:paraId="21260D9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14:paraId="07A6E098">
            <w:pPr>
              <w:spacing w:line="600" w:lineRule="auto"/>
              <w:jc w:val="center"/>
            </w:pPr>
            <w:r>
              <w:rPr>
                <w:rFonts w:hint="eastAsia"/>
                <w:lang w:val="en-US" w:eastAsia="zh-CN"/>
              </w:rPr>
              <w:t>2.5</w:t>
            </w:r>
          </w:p>
        </w:tc>
        <w:tc>
          <w:tcPr>
            <w:tcW w:w="874" w:type="dxa"/>
            <w:shd w:val="clear" w:color="auto" w:fill="FFFFFF"/>
          </w:tcPr>
          <w:p w14:paraId="4C00CE87">
            <w:pPr>
              <w:spacing w:line="600" w:lineRule="auto"/>
              <w:jc w:val="center"/>
            </w:pPr>
            <w:r>
              <w:rPr>
                <w:rFonts w:hint="eastAsia"/>
                <w:lang w:val="en-US" w:eastAsia="zh-CN"/>
              </w:rPr>
              <w:t>2.5</w:t>
            </w:r>
          </w:p>
        </w:tc>
      </w:tr>
      <w:tr w14:paraId="6E18F1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14:paraId="231C2669">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14:paraId="59EA8B7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14:paraId="561C925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14:paraId="2871F72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14:paraId="4CEB3505">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14:paraId="48D96702">
            <w:pPr>
              <w:spacing w:line="600" w:lineRule="auto"/>
              <w:jc w:val="center"/>
              <w:rPr>
                <w:rFonts w:hint="eastAsia" w:eastAsia="仿宋_GB2312"/>
                <w:lang w:val="en-US" w:eastAsia="zh-CN"/>
              </w:rPr>
            </w:pPr>
            <w:r>
              <w:rPr>
                <w:rFonts w:hint="eastAsia"/>
                <w:lang w:val="en-US" w:eastAsia="zh-CN"/>
              </w:rPr>
              <w:t>4</w:t>
            </w:r>
          </w:p>
        </w:tc>
      </w:tr>
      <w:tr w14:paraId="7E416B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14:paraId="1FF53EBE">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4DB933FA">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3A3C92E9">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14:paraId="2A6CFEB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14:paraId="0CEFD562">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tcPr>
          <w:p w14:paraId="0B3E8153">
            <w:pPr>
              <w:spacing w:line="600" w:lineRule="auto"/>
              <w:jc w:val="center"/>
              <w:rPr>
                <w:rFonts w:hint="default" w:eastAsia="仿宋_GB2312"/>
                <w:lang w:val="en-US" w:eastAsia="zh-CN"/>
              </w:rPr>
            </w:pPr>
            <w:r>
              <w:rPr>
                <w:rFonts w:hint="eastAsia"/>
                <w:lang w:val="en-US" w:eastAsia="zh-CN"/>
              </w:rPr>
              <w:t>1.5</w:t>
            </w:r>
          </w:p>
        </w:tc>
      </w:tr>
      <w:tr w14:paraId="36D6EC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31B79F96">
            <w:pPr>
              <w:spacing w:line="0" w:lineRule="atLeast"/>
              <w:jc w:val="center"/>
              <w:rPr>
                <w:rFonts w:ascii="宋体" w:hAnsi="宋体" w:cs="宋体"/>
                <w:color w:val="000000"/>
                <w:kern w:val="0"/>
                <w:sz w:val="22"/>
              </w:rPr>
            </w:pPr>
          </w:p>
        </w:tc>
        <w:tc>
          <w:tcPr>
            <w:tcW w:w="1478" w:type="dxa"/>
            <w:shd w:val="clear" w:color="auto" w:fill="FFFFFF"/>
            <w:vAlign w:val="center"/>
          </w:tcPr>
          <w:p w14:paraId="042DC230">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14:paraId="5047D0D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14:paraId="1672E2BF">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14:paraId="4897E2A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14:paraId="689238E0">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14:paraId="4065F209">
            <w:pPr>
              <w:spacing w:line="600" w:lineRule="auto"/>
              <w:jc w:val="center"/>
              <w:rPr>
                <w:rFonts w:hint="eastAsia" w:eastAsia="仿宋_GB2312"/>
                <w:lang w:val="en-US" w:eastAsia="zh-CN"/>
              </w:rPr>
            </w:pPr>
            <w:r>
              <w:rPr>
                <w:rFonts w:hint="eastAsia"/>
                <w:lang w:val="en-US" w:eastAsia="zh-CN"/>
              </w:rPr>
              <w:t>4</w:t>
            </w:r>
          </w:p>
        </w:tc>
      </w:tr>
      <w:tr w14:paraId="715878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14:paraId="480E8710">
            <w:pPr>
              <w:spacing w:line="0" w:lineRule="atLeast"/>
              <w:jc w:val="center"/>
              <w:rPr>
                <w:rFonts w:ascii="宋体" w:hAnsi="宋体" w:cs="宋体"/>
                <w:color w:val="000000"/>
                <w:kern w:val="0"/>
                <w:sz w:val="22"/>
              </w:rPr>
            </w:pPr>
          </w:p>
        </w:tc>
        <w:tc>
          <w:tcPr>
            <w:tcW w:w="1478" w:type="dxa"/>
            <w:vMerge w:val="restart"/>
            <w:shd w:val="clear" w:color="auto" w:fill="FFFFFF"/>
            <w:vAlign w:val="center"/>
          </w:tcPr>
          <w:p w14:paraId="31A11582">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14:paraId="28CF24C3">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14:paraId="644BA4CC">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14:paraId="70E99B08">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14:paraId="588E1A0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14:paraId="4C3901B2">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14:paraId="0E443A30">
            <w:pPr>
              <w:spacing w:line="600" w:lineRule="auto"/>
              <w:jc w:val="center"/>
              <w:rPr>
                <w:rFonts w:hint="eastAsia" w:eastAsia="仿宋_GB2312"/>
                <w:lang w:val="en-US" w:eastAsia="zh-CN"/>
              </w:rPr>
            </w:pPr>
            <w:r>
              <w:rPr>
                <w:rFonts w:hint="eastAsia"/>
                <w:lang w:val="en-US" w:eastAsia="zh-CN"/>
              </w:rPr>
              <w:t>4</w:t>
            </w:r>
          </w:p>
        </w:tc>
      </w:tr>
      <w:tr w14:paraId="3E061D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14:paraId="2C3AF6B0">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28BCDC41">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609B585E">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14:paraId="125228E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14:paraId="1793AB2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14:paraId="2D872A3A">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14:paraId="36C19C61">
            <w:pPr>
              <w:spacing w:line="600" w:lineRule="auto"/>
              <w:jc w:val="center"/>
              <w:rPr>
                <w:rFonts w:hint="eastAsia" w:eastAsia="仿宋_GB2312"/>
                <w:lang w:val="en-US" w:eastAsia="zh-CN"/>
              </w:rPr>
            </w:pPr>
            <w:r>
              <w:rPr>
                <w:rFonts w:hint="eastAsia"/>
                <w:lang w:val="en-US" w:eastAsia="zh-CN"/>
              </w:rPr>
              <w:t>4</w:t>
            </w:r>
          </w:p>
        </w:tc>
      </w:tr>
      <w:tr w14:paraId="7BAC51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14:paraId="356B0E0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14:paraId="2CBEF1B6">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14:paraId="082FE1E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14:paraId="7C3A8C0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14:paraId="75BDF242">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tcPr>
          <w:p w14:paraId="79901547">
            <w:pPr>
              <w:spacing w:line="600" w:lineRule="auto"/>
              <w:jc w:val="center"/>
            </w:pPr>
            <w:r>
              <w:rPr>
                <w:rFonts w:hint="eastAsia"/>
                <w:lang w:val="en-US" w:eastAsia="zh-CN"/>
              </w:rPr>
              <w:t>10</w:t>
            </w:r>
          </w:p>
        </w:tc>
      </w:tr>
      <w:tr w14:paraId="045998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14:paraId="1D7F4A9E">
            <w:pPr>
              <w:widowControl/>
              <w:spacing w:line="0" w:lineRule="atLeast"/>
              <w:jc w:val="center"/>
              <w:rPr>
                <w:rFonts w:ascii="宋体" w:hAnsi="宋体" w:cs="宋体"/>
                <w:color w:val="000000"/>
                <w:kern w:val="0"/>
                <w:sz w:val="22"/>
              </w:rPr>
            </w:pPr>
          </w:p>
        </w:tc>
        <w:tc>
          <w:tcPr>
            <w:tcW w:w="1478" w:type="dxa"/>
            <w:shd w:val="clear" w:color="auto" w:fill="FFFFFF"/>
            <w:vAlign w:val="center"/>
          </w:tcPr>
          <w:p w14:paraId="7DB08B2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14:paraId="25366D9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14:paraId="1AD1F7C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14:paraId="12F20B30">
            <w:pPr>
              <w:spacing w:line="600" w:lineRule="auto"/>
              <w:jc w:val="center"/>
            </w:pPr>
            <w:r>
              <w:rPr>
                <w:rFonts w:hint="eastAsia"/>
                <w:lang w:val="en-US" w:eastAsia="zh-CN"/>
              </w:rPr>
              <w:t>10</w:t>
            </w:r>
          </w:p>
        </w:tc>
        <w:tc>
          <w:tcPr>
            <w:tcW w:w="874" w:type="dxa"/>
            <w:shd w:val="clear" w:color="000000" w:fill="FFFFFF"/>
          </w:tcPr>
          <w:p w14:paraId="2F6EB881">
            <w:pPr>
              <w:spacing w:line="600" w:lineRule="auto"/>
              <w:jc w:val="center"/>
            </w:pPr>
            <w:r>
              <w:rPr>
                <w:rFonts w:hint="eastAsia"/>
                <w:lang w:val="en-US" w:eastAsia="zh-CN"/>
              </w:rPr>
              <w:t>10</w:t>
            </w:r>
          </w:p>
        </w:tc>
      </w:tr>
      <w:tr w14:paraId="55E22F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14:paraId="147ACF25">
            <w:pPr>
              <w:spacing w:line="0" w:lineRule="atLeast"/>
              <w:jc w:val="center"/>
              <w:rPr>
                <w:rFonts w:ascii="宋体" w:hAnsi="宋体" w:cs="宋体"/>
                <w:color w:val="000000"/>
                <w:kern w:val="0"/>
                <w:sz w:val="22"/>
              </w:rPr>
            </w:pPr>
          </w:p>
        </w:tc>
        <w:tc>
          <w:tcPr>
            <w:tcW w:w="1478" w:type="dxa"/>
            <w:shd w:val="clear" w:color="auto" w:fill="FFFFFF"/>
            <w:vAlign w:val="center"/>
          </w:tcPr>
          <w:p w14:paraId="41A5AF19">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14:paraId="4AE7C6A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14:paraId="1BB79D8D">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14:paraId="29810BA7">
            <w:pPr>
              <w:spacing w:line="600" w:lineRule="auto"/>
              <w:jc w:val="center"/>
            </w:pPr>
            <w:r>
              <w:rPr>
                <w:rFonts w:hint="eastAsia"/>
                <w:lang w:val="en-US" w:eastAsia="zh-CN"/>
              </w:rPr>
              <w:t>10</w:t>
            </w:r>
          </w:p>
        </w:tc>
        <w:tc>
          <w:tcPr>
            <w:tcW w:w="874" w:type="dxa"/>
            <w:shd w:val="clear" w:color="000000" w:fill="FFFFFF"/>
          </w:tcPr>
          <w:p w14:paraId="300E9C0B">
            <w:pPr>
              <w:spacing w:line="600" w:lineRule="auto"/>
              <w:jc w:val="center"/>
            </w:pPr>
            <w:r>
              <w:rPr>
                <w:rFonts w:hint="eastAsia"/>
                <w:lang w:val="en-US" w:eastAsia="zh-CN"/>
              </w:rPr>
              <w:t>10</w:t>
            </w:r>
          </w:p>
        </w:tc>
      </w:tr>
      <w:tr w14:paraId="690D3E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14:paraId="6938803B">
            <w:pPr>
              <w:widowControl/>
              <w:spacing w:line="0" w:lineRule="atLeast"/>
              <w:jc w:val="center"/>
              <w:rPr>
                <w:rFonts w:ascii="宋体" w:hAnsi="宋体" w:cs="宋体"/>
                <w:color w:val="000000"/>
                <w:kern w:val="0"/>
                <w:sz w:val="22"/>
              </w:rPr>
            </w:pPr>
          </w:p>
        </w:tc>
        <w:tc>
          <w:tcPr>
            <w:tcW w:w="1478" w:type="dxa"/>
            <w:shd w:val="clear" w:color="auto" w:fill="FFFFFF"/>
            <w:vAlign w:val="center"/>
          </w:tcPr>
          <w:p w14:paraId="4DBD222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14:paraId="57EE86F4">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14:paraId="3BE0FEA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14:paraId="6F71DDC2">
            <w:pPr>
              <w:spacing w:line="600" w:lineRule="auto"/>
              <w:jc w:val="center"/>
            </w:pPr>
            <w:r>
              <w:rPr>
                <w:rFonts w:hint="eastAsia"/>
                <w:lang w:val="en-US" w:eastAsia="zh-CN"/>
              </w:rPr>
              <w:t>10</w:t>
            </w:r>
          </w:p>
        </w:tc>
        <w:tc>
          <w:tcPr>
            <w:tcW w:w="874" w:type="dxa"/>
            <w:shd w:val="clear" w:color="auto" w:fill="FFFFFF"/>
          </w:tcPr>
          <w:p w14:paraId="0E8E85DB">
            <w:pPr>
              <w:spacing w:line="600" w:lineRule="auto"/>
              <w:jc w:val="center"/>
            </w:pPr>
            <w:r>
              <w:rPr>
                <w:rFonts w:hint="eastAsia"/>
                <w:lang w:val="en-US" w:eastAsia="zh-CN"/>
              </w:rPr>
              <w:t>10</w:t>
            </w:r>
          </w:p>
        </w:tc>
      </w:tr>
      <w:tr w14:paraId="3ADF93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14:paraId="06EE3223">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14:paraId="6C645B1A">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14:paraId="6AA75B4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14:paraId="5EE345E1">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14:paraId="15A2646E">
            <w:pPr>
              <w:spacing w:line="600" w:lineRule="auto"/>
              <w:jc w:val="center"/>
              <w:rPr>
                <w:rFonts w:hint="default" w:eastAsia="仿宋_GB2312"/>
                <w:lang w:val="en-US" w:eastAsia="zh-CN"/>
              </w:rPr>
            </w:pPr>
            <w:r>
              <w:rPr>
                <w:rFonts w:hint="eastAsia"/>
                <w:lang w:val="en-US" w:eastAsia="zh-CN"/>
              </w:rPr>
              <w:t>15</w:t>
            </w:r>
          </w:p>
        </w:tc>
        <w:tc>
          <w:tcPr>
            <w:tcW w:w="874" w:type="dxa"/>
            <w:shd w:val="clear" w:color="auto" w:fill="FFFFFF"/>
          </w:tcPr>
          <w:p w14:paraId="39B53BAA">
            <w:pPr>
              <w:spacing w:line="600" w:lineRule="auto"/>
              <w:jc w:val="center"/>
              <w:rPr>
                <w:rFonts w:hint="default" w:eastAsia="仿宋_GB2312"/>
                <w:lang w:val="en-US" w:eastAsia="zh-CN"/>
              </w:rPr>
            </w:pPr>
            <w:r>
              <w:rPr>
                <w:rFonts w:hint="eastAsia"/>
                <w:lang w:val="en-US" w:eastAsia="zh-CN"/>
              </w:rPr>
              <w:t>15</w:t>
            </w:r>
          </w:p>
        </w:tc>
      </w:tr>
      <w:tr w14:paraId="302C13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14:paraId="38090513">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14:paraId="19D90554">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14:paraId="34DD4B15">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14:paraId="21784CB7">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14:paraId="621B047F">
            <w:pPr>
              <w:spacing w:line="600" w:lineRule="auto"/>
              <w:jc w:val="center"/>
              <w:rPr>
                <w:rFonts w:hint="eastAsia" w:eastAsia="仿宋_GB2312"/>
                <w:lang w:val="en-US" w:eastAsia="zh-CN"/>
              </w:rPr>
            </w:pPr>
            <w:r>
              <w:rPr>
                <w:rFonts w:hint="eastAsia"/>
                <w:lang w:val="en-US" w:eastAsia="zh-CN"/>
              </w:rPr>
              <w:t>5</w:t>
            </w:r>
          </w:p>
        </w:tc>
        <w:tc>
          <w:tcPr>
            <w:tcW w:w="874" w:type="dxa"/>
            <w:shd w:val="clear" w:color="000000" w:fill="FFFFFF"/>
          </w:tcPr>
          <w:p w14:paraId="0091506A">
            <w:pPr>
              <w:spacing w:line="600" w:lineRule="auto"/>
              <w:jc w:val="center"/>
              <w:rPr>
                <w:rFonts w:hint="eastAsia" w:eastAsia="仿宋_GB2312"/>
                <w:lang w:val="en-US" w:eastAsia="zh-CN"/>
              </w:rPr>
            </w:pPr>
            <w:r>
              <w:rPr>
                <w:rFonts w:hint="eastAsia"/>
                <w:lang w:val="en-US" w:eastAsia="zh-CN"/>
              </w:rPr>
              <w:t>5</w:t>
            </w:r>
          </w:p>
        </w:tc>
      </w:tr>
      <w:tr w14:paraId="30ACF7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14:paraId="110746F1">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14:paraId="087B3FE1">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14:paraId="6963C733">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14:paraId="264F19E2">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14:paraId="46C60453"/>
    <w:p w14:paraId="56C887BF">
      <w:pPr>
        <w:bidi w:val="0"/>
        <w:rPr>
          <w:rFonts w:ascii="Times New Roman" w:hAnsi="Times New Roman" w:eastAsia="仿宋_GB2312" w:cs="Times New Roman"/>
          <w:kern w:val="2"/>
          <w:sz w:val="30"/>
          <w:szCs w:val="24"/>
          <w:lang w:val="en-US" w:eastAsia="zh-CN" w:bidi="ar-SA"/>
        </w:rPr>
      </w:pPr>
    </w:p>
    <w:p w14:paraId="434B7B61">
      <w:pPr>
        <w:tabs>
          <w:tab w:val="left" w:pos="1030"/>
        </w:tabs>
        <w:bidi w:val="0"/>
        <w:jc w:val="left"/>
        <w:rPr>
          <w:lang w:val="en-US" w:eastAsia="zh-CN"/>
        </w:rPr>
        <w:sectPr>
          <w:pgSz w:w="11906" w:h="16838"/>
          <w:pgMar w:top="1928" w:right="1531" w:bottom="1701" w:left="1531" w:header="737" w:footer="851" w:gutter="0"/>
          <w:cols w:space="720" w:num="1"/>
          <w:docGrid w:type="lines" w:linePitch="408" w:charSpace="0"/>
        </w:sectPr>
      </w:pPr>
    </w:p>
    <w:p w14:paraId="42898B3A">
      <w:pPr>
        <w:spacing w:line="360" w:lineRule="auto"/>
      </w:pPr>
      <w:r>
        <w:rPr>
          <w:rFonts w:hint="eastAsia"/>
        </w:rPr>
        <w:t>3、评价方法</w:t>
      </w:r>
    </w:p>
    <w:p w14:paraId="51CD0375">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本次项目支出绩效自评采用因素分析法，按照财政项目支出绩效自评工作的要求，结合我单位实际情况，组织相关人员根据项目绩效表指标内容，对所有项目内容进行核实和考评。项目评价内容主要围绕：数量指标、质量指标、时效指标、成本指标、社会效益指标、满意度指标等开展。原因是：本项目通过综合分析</w:t>
      </w:r>
      <w:r>
        <w:rPr>
          <w:rFonts w:hint="eastAsia"/>
          <w:color w:val="000000" w:themeColor="text1"/>
          <w:sz w:val="32"/>
          <w:szCs w:val="32"/>
          <w:lang w:val="en-US" w:eastAsia="zh-CN"/>
          <w14:textFill>
            <w14:solidFill>
              <w14:schemeClr w14:val="tx1"/>
            </w14:solidFill>
          </w14:textFill>
        </w:rPr>
        <w:t>影响</w:t>
      </w:r>
      <w:r>
        <w:rPr>
          <w:rFonts w:hint="eastAsia"/>
          <w:color w:val="000000" w:themeColor="text1"/>
          <w:sz w:val="32"/>
          <w:szCs w:val="32"/>
          <w14:textFill>
            <w14:solidFill>
              <w14:schemeClr w14:val="tx1"/>
            </w14:solidFill>
          </w14:textFill>
        </w:rPr>
        <w:t>项目立项依据、绩效目标、资金投入、使用、产出及效益等方面</w:t>
      </w:r>
      <w:r>
        <w:rPr>
          <w:rFonts w:hint="eastAsia"/>
          <w:color w:val="000000" w:themeColor="text1"/>
          <w:sz w:val="32"/>
          <w:szCs w:val="32"/>
          <w:lang w:eastAsia="zh-CN"/>
          <w14:textFill>
            <w14:solidFill>
              <w14:schemeClr w14:val="tx1"/>
            </w14:solidFill>
          </w14:textFill>
        </w:rPr>
        <w:t>的</w:t>
      </w:r>
      <w:r>
        <w:rPr>
          <w:rFonts w:hint="eastAsia"/>
          <w:color w:val="000000" w:themeColor="text1"/>
          <w:sz w:val="32"/>
          <w:szCs w:val="32"/>
          <w:lang w:val="en-US" w:eastAsia="zh-CN"/>
          <w14:textFill>
            <w14:solidFill>
              <w14:schemeClr w14:val="tx1"/>
            </w14:solidFill>
          </w14:textFill>
        </w:rPr>
        <w:t>因素</w:t>
      </w:r>
      <w:r>
        <w:rPr>
          <w:rFonts w:hint="eastAsia"/>
          <w:color w:val="000000" w:themeColor="text1"/>
          <w:sz w:val="32"/>
          <w:szCs w:val="32"/>
          <w14:textFill>
            <w14:solidFill>
              <w14:schemeClr w14:val="tx1"/>
            </w14:solidFill>
          </w14:textFill>
        </w:rPr>
        <w:t>，</w:t>
      </w:r>
      <w:r>
        <w:rPr>
          <w:rFonts w:hint="eastAsia"/>
          <w:color w:val="000000" w:themeColor="text1"/>
          <w:sz w:val="32"/>
          <w:szCs w:val="32"/>
          <w:lang w:val="en-US" w:eastAsia="zh-CN"/>
          <w14:textFill>
            <w14:solidFill>
              <w14:schemeClr w14:val="tx1"/>
            </w14:solidFill>
          </w14:textFill>
        </w:rPr>
        <w:t>判断</w:t>
      </w:r>
      <w:r>
        <w:rPr>
          <w:rFonts w:hint="eastAsia"/>
          <w:color w:val="000000" w:themeColor="text1"/>
          <w:sz w:val="32"/>
          <w:szCs w:val="32"/>
          <w14:textFill>
            <w14:solidFill>
              <w14:schemeClr w14:val="tx1"/>
            </w14:solidFill>
          </w14:textFill>
        </w:rPr>
        <w:t>项目实施情况，并在此基础上进行评价。</w:t>
      </w:r>
    </w:p>
    <w:p w14:paraId="3B932028">
      <w:pPr>
        <w:spacing w:line="360" w:lineRule="auto"/>
      </w:pPr>
    </w:p>
    <w:p w14:paraId="2AAD71BA">
      <w:pPr>
        <w:spacing w:line="360" w:lineRule="auto"/>
        <w:ind w:firstLine="600" w:firstLineChars="200"/>
        <w:rPr>
          <w:color w:val="auto"/>
        </w:rPr>
      </w:pPr>
      <w:r>
        <w:rPr>
          <w:rFonts w:hint="eastAsia"/>
          <w:color w:val="auto"/>
        </w:rPr>
        <w:t>4、评价标准</w:t>
      </w:r>
    </w:p>
    <w:p w14:paraId="3D1BA37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333333"/>
          <w:sz w:val="32"/>
          <w:szCs w:val="32"/>
          <w:lang w:val="en-US" w:eastAsia="zh-CN"/>
        </w:rPr>
      </w:pPr>
      <w:bookmarkStart w:id="6" w:name="_Toc68703833"/>
      <w:r>
        <w:rPr>
          <w:rFonts w:hint="eastAsia" w:ascii="仿宋_GB2312" w:hAnsi="仿宋" w:eastAsia="仿宋_GB2312" w:cs="宋体"/>
          <w:color w:val="333333"/>
          <w:sz w:val="32"/>
          <w:szCs w:val="32"/>
          <w:lang w:val="en-US" w:eastAsia="zh-CN"/>
        </w:rPr>
        <w:t>本次项目支出绩效自评采用计划标准。原因是：本项目通过项目实</w:t>
      </w:r>
      <w:r>
        <w:rPr>
          <w:rFonts w:hint="eastAsia" w:ascii="仿宋_GB2312" w:hAnsi="仿宋" w:eastAsia="仿宋_GB2312" w:cs="宋体"/>
          <w:color w:val="333333"/>
          <w:sz w:val="32"/>
          <w:szCs w:val="32"/>
          <w:highlight w:val="none"/>
          <w:lang w:val="en-US" w:eastAsia="zh-CN"/>
        </w:rPr>
        <w:t>施方案及</w:t>
      </w:r>
      <w:r>
        <w:rPr>
          <w:rFonts w:hint="eastAsia" w:ascii="仿宋_GB2312" w:hAnsi="仿宋" w:cs="宋体"/>
          <w:color w:val="333333"/>
          <w:sz w:val="32"/>
          <w:szCs w:val="32"/>
          <w:highlight w:val="none"/>
          <w:lang w:val="en-US" w:eastAsia="zh-CN"/>
        </w:rPr>
        <w:t>为民办实事</w:t>
      </w:r>
      <w:r>
        <w:rPr>
          <w:rFonts w:hint="eastAsia" w:ascii="仿宋_GB2312" w:hAnsi="仿宋" w:eastAsia="仿宋_GB2312" w:cs="宋体"/>
          <w:color w:val="333333"/>
          <w:sz w:val="32"/>
          <w:szCs w:val="32"/>
          <w:highlight w:val="none"/>
          <w:lang w:val="en-US" w:eastAsia="zh-CN"/>
        </w:rPr>
        <w:t>项目指标数</w:t>
      </w:r>
      <w:r>
        <w:rPr>
          <w:rFonts w:hint="eastAsia" w:ascii="仿宋_GB2312" w:hAnsi="仿宋" w:eastAsia="仿宋_GB2312" w:cs="宋体"/>
          <w:color w:val="333333"/>
          <w:sz w:val="32"/>
          <w:szCs w:val="32"/>
          <w:lang w:val="en-US" w:eastAsia="zh-CN"/>
        </w:rPr>
        <w:t>据确定三级指标进行自评，使评价结果更加科学真实。</w:t>
      </w:r>
    </w:p>
    <w:p w14:paraId="03E21737">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r>
        <w:rPr>
          <w:rFonts w:hint="eastAsia" w:ascii="仿宋_GB2312" w:eastAsia="仿宋_GB2312"/>
          <w:b w:val="0"/>
          <w:bCs w:val="0"/>
          <w:color w:val="auto"/>
        </w:rPr>
        <w:t>（三）绩效评价工作过程。</w:t>
      </w:r>
      <w:bookmarkEnd w:id="6"/>
    </w:p>
    <w:p w14:paraId="0E216F2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333333"/>
          <w:sz w:val="32"/>
          <w:szCs w:val="32"/>
          <w:lang w:val="en-US" w:eastAsia="zh-CN"/>
        </w:rPr>
      </w:pPr>
      <w:r>
        <w:rPr>
          <w:rFonts w:hint="eastAsia" w:eastAsia="仿宋_GB2312"/>
          <w:bCs/>
          <w:color w:val="auto"/>
          <w:sz w:val="32"/>
          <w:szCs w:val="32"/>
          <w:lang w:val="en-US" w:eastAsia="zh-CN"/>
        </w:rPr>
        <w:t>1.</w:t>
      </w:r>
      <w:r>
        <w:rPr>
          <w:rFonts w:hint="eastAsia" w:eastAsia="仿宋_GB2312"/>
          <w:bCs/>
          <w:color w:val="auto"/>
          <w:sz w:val="32"/>
          <w:szCs w:val="32"/>
        </w:rPr>
        <w:t>前期准备。</w:t>
      </w:r>
      <w:r>
        <w:rPr>
          <w:rFonts w:hint="eastAsia" w:ascii="仿宋_GB2312" w:hAnsi="仿宋" w:eastAsia="仿宋_GB2312" w:cs="宋体"/>
          <w:color w:val="333333"/>
          <w:sz w:val="32"/>
          <w:szCs w:val="32"/>
          <w:lang w:val="en-US" w:eastAsia="zh-CN"/>
        </w:rPr>
        <w:t>首先成立评价工作组，开展前期调研；其次明确项目绩效目标，设计绩效评价指标体系并确定绩效评价方法；接着确定现场和非现场评价范围，设计资料清单；最后制定评价实施方案并进行论证。</w:t>
      </w:r>
    </w:p>
    <w:p w14:paraId="192980F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333333"/>
          <w:sz w:val="32"/>
          <w:szCs w:val="32"/>
          <w:lang w:val="en-US" w:eastAsia="zh-CN"/>
        </w:rPr>
      </w:pPr>
      <w:r>
        <w:rPr>
          <w:rFonts w:hint="eastAsia" w:eastAsia="仿宋_GB2312"/>
          <w:bCs/>
          <w:color w:val="auto"/>
          <w:sz w:val="32"/>
          <w:szCs w:val="32"/>
          <w:lang w:val="en-US" w:eastAsia="zh-CN"/>
        </w:rPr>
        <w:t>2.</w:t>
      </w:r>
      <w:r>
        <w:rPr>
          <w:rFonts w:hint="eastAsia" w:eastAsia="仿宋_GB2312"/>
          <w:bCs/>
          <w:color w:val="auto"/>
          <w:sz w:val="32"/>
          <w:szCs w:val="32"/>
        </w:rPr>
        <w:t>组织实施。</w:t>
      </w:r>
      <w:r>
        <w:rPr>
          <w:rFonts w:hint="eastAsia" w:ascii="仿宋_GB2312" w:hAnsi="仿宋" w:eastAsia="仿宋_GB2312" w:cs="宋体"/>
          <w:color w:val="333333"/>
          <w:sz w:val="32"/>
          <w:szCs w:val="32"/>
          <w:lang w:val="en-US" w:eastAsia="zh-CN"/>
        </w:rPr>
        <w:t>制定绩效评价工作方案，具体包括项目概况、评价思路、方法手段、组织实施、进度安排等。收集项目立项依据、相关会议纪要、实施方案、财政资金分配方案、支付管理情况等相关评价资料并进行梳理。</w:t>
      </w:r>
    </w:p>
    <w:p w14:paraId="4335C09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 w:eastAsia="仿宋_GB2312" w:cs="宋体"/>
          <w:color w:val="333333"/>
          <w:sz w:val="32"/>
          <w:szCs w:val="32"/>
          <w:lang w:val="en-US" w:eastAsia="zh-CN"/>
        </w:rPr>
      </w:pPr>
      <w:r>
        <w:rPr>
          <w:rFonts w:hint="eastAsia" w:eastAsia="仿宋_GB2312"/>
          <w:bCs/>
          <w:color w:val="auto"/>
          <w:sz w:val="32"/>
          <w:szCs w:val="32"/>
          <w:lang w:val="en-US" w:eastAsia="zh-CN"/>
        </w:rPr>
        <w:t>3.</w:t>
      </w:r>
      <w:r>
        <w:rPr>
          <w:rFonts w:hint="eastAsia" w:eastAsia="仿宋_GB2312"/>
          <w:bCs/>
          <w:color w:val="auto"/>
          <w:sz w:val="32"/>
          <w:szCs w:val="32"/>
        </w:rPr>
        <w:t>分析评价。</w:t>
      </w:r>
      <w:r>
        <w:rPr>
          <w:rFonts w:hint="eastAsia" w:ascii="仿宋_GB2312" w:hAnsi="仿宋" w:eastAsia="仿宋_GB2312" w:cs="宋体"/>
          <w:color w:val="333333"/>
          <w:sz w:val="32"/>
          <w:szCs w:val="32"/>
          <w:lang w:val="en-US" w:eastAsia="zh-CN"/>
        </w:rPr>
        <w:t>根据收集梳理的资料围绕项目立项、资金落实、业务管理、财务管理、项目产出、项目效益等内容，对照已确定的绩效评价指标进行详细全面的分析评价，逐项打分并形成绩效评价最终结果。</w:t>
      </w:r>
      <w:bookmarkStart w:id="7" w:name="_Toc68703834"/>
    </w:p>
    <w:p w14:paraId="423C963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ascii="宋体" w:hAnsi="宋体" w:eastAsia="宋体"/>
          <w:color w:val="auto"/>
          <w:sz w:val="32"/>
          <w:szCs w:val="32"/>
        </w:rPr>
      </w:pPr>
      <w:r>
        <w:rPr>
          <w:rFonts w:hint="eastAsia" w:ascii="宋体" w:hAnsi="宋体" w:eastAsia="宋体"/>
          <w:color w:val="auto"/>
          <w:sz w:val="32"/>
          <w:szCs w:val="32"/>
        </w:rPr>
        <w:t>三、综合评价情况及评价结论</w:t>
      </w:r>
      <w:bookmarkEnd w:id="7"/>
    </w:p>
    <w:p w14:paraId="7D2FB607">
      <w:pPr>
        <w:pStyle w:val="3"/>
        <w:spacing w:line="360" w:lineRule="auto"/>
        <w:rPr>
          <w:rFonts w:ascii="仿宋_GB2312" w:eastAsia="仿宋_GB2312"/>
          <w:b w:val="0"/>
          <w:bCs w:val="0"/>
          <w:color w:val="auto"/>
        </w:rPr>
      </w:pPr>
      <w:bookmarkStart w:id="8" w:name="_Toc68703835"/>
      <w:r>
        <w:rPr>
          <w:rFonts w:hint="eastAsia" w:ascii="仿宋_GB2312" w:eastAsia="仿宋_GB2312"/>
          <w:b w:val="0"/>
          <w:bCs w:val="0"/>
          <w:color w:val="auto"/>
        </w:rPr>
        <w:t>（一）综合评价情况</w:t>
      </w:r>
      <w:bookmarkEnd w:id="8"/>
    </w:p>
    <w:p w14:paraId="0D57629E">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EE53B5D">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本项目严格按照科学公正、统筹兼顾、激励约束、公开透明绩效评价原则，采用因素分析法，坚持计划标准对本项目的立项、项绩效目标、资金投入、资金管理、组织实施、产出数量、产出质量、产出时效、产出成本、项目效益进行了综合评价。</w:t>
      </w:r>
    </w:p>
    <w:p w14:paraId="3C432166">
      <w:pPr>
        <w:spacing w:line="360" w:lineRule="auto"/>
        <w:ind w:firstLine="600" w:firstLineChars="200"/>
        <w:jc w:val="center"/>
        <w:rPr>
          <w:color w:val="auto"/>
        </w:rPr>
      </w:pPr>
      <w:r>
        <w:rPr>
          <w:rFonts w:hint="eastAsia"/>
          <w:color w:val="auto"/>
          <w:lang w:eastAsia="zh-CN"/>
        </w:rPr>
        <w:t>工作队经费</w:t>
      </w:r>
      <w:r>
        <w:rPr>
          <w:rFonts w:hint="eastAsia"/>
          <w:color w:val="auto"/>
        </w:rPr>
        <w:t>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14:paraId="7C683492">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B62C3F4">
            <w:pPr>
              <w:jc w:val="center"/>
              <w:rPr>
                <w:b/>
                <w:bCs/>
                <w:color w:val="auto"/>
                <w:sz w:val="22"/>
              </w:rPr>
            </w:pPr>
            <w:r>
              <w:rPr>
                <w:rFonts w:hint="eastAsia"/>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5B34768">
            <w:pPr>
              <w:jc w:val="center"/>
              <w:rPr>
                <w:b/>
                <w:bCs/>
                <w:color w:val="auto"/>
                <w:sz w:val="22"/>
              </w:rPr>
            </w:pPr>
            <w:r>
              <w:rPr>
                <w:rFonts w:hint="eastAsia"/>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C164386">
            <w:pPr>
              <w:jc w:val="center"/>
              <w:rPr>
                <w:b/>
                <w:bCs/>
                <w:color w:val="auto"/>
                <w:sz w:val="22"/>
              </w:rPr>
            </w:pPr>
            <w:r>
              <w:rPr>
                <w:rFonts w:hint="eastAsia"/>
                <w:b/>
                <w:bCs/>
                <w:color w:val="auto"/>
                <w:sz w:val="22"/>
              </w:rPr>
              <w:t>得分</w:t>
            </w:r>
          </w:p>
        </w:tc>
      </w:tr>
      <w:tr w14:paraId="2A3D263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54D95CF">
            <w:pPr>
              <w:jc w:val="center"/>
              <w:rPr>
                <w:color w:val="auto"/>
                <w:sz w:val="22"/>
              </w:rPr>
            </w:pPr>
            <w:r>
              <w:rPr>
                <w:rFonts w:hint="eastAsia"/>
                <w:color w:val="auto"/>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7C20D6AB">
            <w:pPr>
              <w:jc w:val="center"/>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E6FA6B8">
            <w:pPr>
              <w:jc w:val="center"/>
              <w:rPr>
                <w:rFonts w:hint="default" w:eastAsia="仿宋_GB2312"/>
                <w:color w:val="auto"/>
                <w:sz w:val="22"/>
                <w:lang w:val="en-US" w:eastAsia="zh-CN"/>
              </w:rPr>
            </w:pPr>
            <w:r>
              <w:rPr>
                <w:rFonts w:hint="eastAsia"/>
                <w:color w:val="auto"/>
                <w:sz w:val="22"/>
                <w:lang w:val="en-US" w:eastAsia="zh-CN"/>
              </w:rPr>
              <w:t>20</w:t>
            </w:r>
          </w:p>
        </w:tc>
      </w:tr>
      <w:tr w14:paraId="45EEA85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D1FC756">
            <w:pPr>
              <w:jc w:val="center"/>
              <w:rPr>
                <w:color w:val="auto"/>
                <w:sz w:val="22"/>
              </w:rPr>
            </w:pPr>
            <w:r>
              <w:rPr>
                <w:rFonts w:hint="eastAsia"/>
                <w:color w:val="auto"/>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75124FFD">
            <w:pPr>
              <w:jc w:val="center"/>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36A5806">
            <w:pPr>
              <w:jc w:val="center"/>
              <w:rPr>
                <w:rFonts w:hint="default" w:eastAsia="仿宋_GB2312"/>
                <w:color w:val="auto"/>
                <w:sz w:val="22"/>
                <w:lang w:val="en-US" w:eastAsia="zh-CN"/>
              </w:rPr>
            </w:pPr>
            <w:r>
              <w:rPr>
                <w:rFonts w:hint="eastAsia"/>
                <w:color w:val="auto"/>
                <w:sz w:val="22"/>
                <w:lang w:val="en-US" w:eastAsia="zh-CN"/>
              </w:rPr>
              <w:t>20</w:t>
            </w:r>
          </w:p>
        </w:tc>
      </w:tr>
      <w:tr w14:paraId="268833E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D9FD558">
            <w:pPr>
              <w:jc w:val="center"/>
              <w:rPr>
                <w:color w:val="auto"/>
                <w:sz w:val="22"/>
              </w:rPr>
            </w:pPr>
            <w:r>
              <w:rPr>
                <w:rFonts w:hint="eastAsia"/>
                <w:color w:val="auto"/>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0D0F6378">
            <w:pPr>
              <w:jc w:val="center"/>
              <w:rPr>
                <w:rFonts w:hint="default" w:eastAsia="仿宋_GB2312"/>
                <w:color w:val="auto"/>
                <w:sz w:val="22"/>
                <w:lang w:val="en-US" w:eastAsia="zh-CN"/>
              </w:rPr>
            </w:pPr>
            <w:r>
              <w:rPr>
                <w:rFonts w:hint="eastAsia"/>
                <w:color w:val="auto"/>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378138DA">
            <w:pPr>
              <w:jc w:val="center"/>
              <w:rPr>
                <w:rFonts w:hint="default" w:eastAsia="仿宋_GB2312"/>
                <w:color w:val="auto"/>
                <w:sz w:val="22"/>
                <w:lang w:val="en-US" w:eastAsia="zh-CN"/>
              </w:rPr>
            </w:pPr>
            <w:r>
              <w:rPr>
                <w:rFonts w:hint="eastAsia"/>
                <w:color w:val="auto"/>
                <w:sz w:val="22"/>
                <w:lang w:val="en-US" w:eastAsia="zh-CN"/>
              </w:rPr>
              <w:t>40</w:t>
            </w:r>
          </w:p>
        </w:tc>
      </w:tr>
      <w:tr w14:paraId="2F0A372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79F8885">
            <w:pPr>
              <w:jc w:val="center"/>
              <w:rPr>
                <w:color w:val="auto"/>
                <w:sz w:val="22"/>
              </w:rPr>
            </w:pPr>
            <w:r>
              <w:rPr>
                <w:rFonts w:hint="eastAsia"/>
                <w:color w:val="auto"/>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3E4D395D">
            <w:pPr>
              <w:jc w:val="center"/>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1C43D01">
            <w:pPr>
              <w:jc w:val="center"/>
              <w:rPr>
                <w:rFonts w:hint="default" w:eastAsia="仿宋_GB2312"/>
                <w:color w:val="auto"/>
                <w:sz w:val="22"/>
                <w:lang w:val="en-US" w:eastAsia="zh-CN"/>
              </w:rPr>
            </w:pPr>
            <w:r>
              <w:rPr>
                <w:rFonts w:hint="eastAsia"/>
                <w:color w:val="auto"/>
                <w:sz w:val="22"/>
                <w:lang w:val="en-US" w:eastAsia="zh-CN"/>
              </w:rPr>
              <w:t>20</w:t>
            </w:r>
          </w:p>
        </w:tc>
      </w:tr>
      <w:tr w14:paraId="09F5E00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F501A33">
            <w:pPr>
              <w:jc w:val="center"/>
              <w:rPr>
                <w:rFonts w:cs="宋体"/>
                <w:b/>
                <w:bCs/>
                <w:color w:val="auto"/>
                <w:sz w:val="22"/>
              </w:rPr>
            </w:pPr>
            <w:r>
              <w:rPr>
                <w:rFonts w:hint="eastAsia" w:cs="宋体"/>
                <w:b/>
                <w:bCs/>
                <w:color w:val="auto"/>
                <w:sz w:val="22"/>
              </w:rPr>
              <w:t>合计</w:t>
            </w:r>
          </w:p>
        </w:tc>
        <w:tc>
          <w:tcPr>
            <w:tcW w:w="2168" w:type="dxa"/>
            <w:tcBorders>
              <w:top w:val="nil"/>
              <w:left w:val="nil"/>
              <w:bottom w:val="single" w:color="auto" w:sz="4" w:space="0"/>
              <w:right w:val="single" w:color="auto" w:sz="4" w:space="0"/>
            </w:tcBorders>
            <w:shd w:val="clear" w:color="auto" w:fill="auto"/>
            <w:vAlign w:val="center"/>
          </w:tcPr>
          <w:p w14:paraId="511F7176">
            <w:pPr>
              <w:jc w:val="center"/>
              <w:rPr>
                <w:rFonts w:hint="default" w:eastAsia="仿宋_GB2312"/>
                <w:b/>
                <w:bCs/>
                <w:color w:val="auto"/>
                <w:sz w:val="22"/>
                <w:lang w:val="en-US" w:eastAsia="zh-CN"/>
              </w:rPr>
            </w:pPr>
            <w:r>
              <w:rPr>
                <w:rFonts w:hint="eastAsia"/>
                <w:b/>
                <w:bCs/>
                <w:color w:val="auto"/>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2724BEF0">
            <w:pPr>
              <w:jc w:val="center"/>
              <w:rPr>
                <w:rFonts w:hint="default" w:eastAsia="仿宋_GB2312"/>
                <w:b/>
                <w:bCs/>
                <w:color w:val="auto"/>
                <w:sz w:val="22"/>
                <w:lang w:val="en-US" w:eastAsia="zh-CN"/>
              </w:rPr>
            </w:pPr>
            <w:r>
              <w:rPr>
                <w:rFonts w:hint="eastAsia"/>
                <w:b/>
                <w:bCs/>
                <w:color w:val="auto"/>
                <w:sz w:val="22"/>
                <w:lang w:val="en-US" w:eastAsia="zh-CN"/>
              </w:rPr>
              <w:t>100</w:t>
            </w:r>
          </w:p>
        </w:tc>
      </w:tr>
    </w:tbl>
    <w:p w14:paraId="24AFA42D">
      <w:pPr>
        <w:pStyle w:val="3"/>
        <w:spacing w:line="360" w:lineRule="auto"/>
        <w:rPr>
          <w:rFonts w:ascii="仿宋_GB2312" w:eastAsia="仿宋_GB2312"/>
          <w:b w:val="0"/>
          <w:bCs w:val="0"/>
          <w:color w:val="auto"/>
        </w:rPr>
      </w:pPr>
      <w:bookmarkStart w:id="9" w:name="_Toc68703836"/>
      <w:r>
        <w:rPr>
          <w:rFonts w:hint="eastAsia" w:ascii="仿宋_GB2312" w:eastAsia="仿宋_GB2312"/>
          <w:b w:val="0"/>
          <w:bCs w:val="0"/>
          <w:color w:val="auto"/>
        </w:rPr>
        <w:t>（二）评价结论</w:t>
      </w:r>
      <w:bookmarkEnd w:id="9"/>
    </w:p>
    <w:p w14:paraId="1DF21D95">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本项目的项目决策、项目过程、项目产出、项目效益均达到了预期要求，最终得分为100分，项目达成年度指标。</w:t>
      </w:r>
    </w:p>
    <w:p w14:paraId="0FCCC10F">
      <w:pPr>
        <w:pStyle w:val="2"/>
        <w:spacing w:line="360" w:lineRule="auto"/>
        <w:rPr>
          <w:rFonts w:ascii="宋体" w:hAnsi="宋体" w:eastAsia="宋体"/>
          <w:color w:val="auto"/>
          <w:sz w:val="32"/>
          <w:szCs w:val="32"/>
        </w:rPr>
      </w:pPr>
      <w:bookmarkStart w:id="10" w:name="_Toc68703837"/>
      <w:r>
        <w:rPr>
          <w:rFonts w:hint="eastAsia" w:ascii="宋体" w:hAnsi="宋体" w:eastAsia="宋体"/>
          <w:color w:val="auto"/>
          <w:sz w:val="32"/>
          <w:szCs w:val="32"/>
        </w:rPr>
        <w:t>四、绩效评价指标分析</w:t>
      </w:r>
      <w:bookmarkEnd w:id="10"/>
    </w:p>
    <w:p w14:paraId="759872BE">
      <w:pPr>
        <w:pStyle w:val="3"/>
        <w:spacing w:line="360" w:lineRule="auto"/>
        <w:rPr>
          <w:rFonts w:ascii="仿宋_GB2312" w:eastAsia="仿宋_GB2312"/>
          <w:b w:val="0"/>
          <w:bCs w:val="0"/>
          <w:color w:val="auto"/>
        </w:rPr>
      </w:pPr>
      <w:bookmarkStart w:id="11" w:name="_Toc68703838"/>
      <w:r>
        <w:rPr>
          <w:rFonts w:hint="eastAsia" w:ascii="仿宋_GB2312" w:eastAsia="仿宋_GB2312"/>
          <w:b w:val="0"/>
          <w:bCs w:val="0"/>
          <w:color w:val="auto"/>
        </w:rPr>
        <w:t>（一）项目决策情况。</w:t>
      </w:r>
      <w:bookmarkEnd w:id="11"/>
    </w:p>
    <w:p w14:paraId="75452B89">
      <w:pPr>
        <w:spacing w:line="560" w:lineRule="exact"/>
        <w:ind w:firstLine="640" w:firstLineChars="200"/>
        <w:contextualSpacing/>
        <w:rPr>
          <w:rFonts w:ascii="方正仿宋_GBK" w:eastAsia="方正仿宋_GBK"/>
          <w:sz w:val="32"/>
          <w:szCs w:val="32"/>
        </w:rPr>
      </w:pPr>
      <w:bookmarkStart w:id="12" w:name="_Toc68703845"/>
      <w:r>
        <w:rPr>
          <w:rFonts w:hint="eastAsia" w:ascii="方正仿宋_GBK" w:eastAsia="方正仿宋_GBK"/>
          <w:sz w:val="32"/>
          <w:szCs w:val="32"/>
        </w:rPr>
        <w:t>（一）项目决策情况</w:t>
      </w:r>
    </w:p>
    <w:p w14:paraId="6067E12A">
      <w:pPr>
        <w:spacing w:line="560" w:lineRule="exact"/>
        <w:ind w:firstLine="640" w:firstLineChars="200"/>
        <w:jc w:val="left"/>
        <w:rPr>
          <w:rFonts w:ascii="仿宋_GB2312" w:hAnsi="仿宋" w:eastAsia="仿宋_GB2312" w:cs="宋体"/>
          <w:color w:val="333333"/>
          <w:sz w:val="32"/>
          <w:szCs w:val="32"/>
        </w:rPr>
      </w:pPr>
      <w:r>
        <w:rPr>
          <w:rFonts w:hint="eastAsia" w:ascii="仿宋_GB2312" w:hAnsi="仿宋" w:eastAsia="仿宋_GB2312" w:cs="宋体"/>
          <w:color w:val="333333"/>
          <w:sz w:val="32"/>
          <w:szCs w:val="32"/>
          <w:lang w:val="en-US" w:eastAsia="zh-CN"/>
        </w:rPr>
        <w:t>项目决策指标从项目立项、绩效目标和资金投入3个方面对项目的立项决策目标完成情况进行考察，项目决策</w:t>
      </w:r>
      <w:r>
        <w:rPr>
          <w:rFonts w:hint="eastAsia" w:ascii="仿宋_GB2312" w:hAnsi="仿宋" w:eastAsia="仿宋_GB2312" w:cs="宋体"/>
          <w:color w:val="333333"/>
          <w:sz w:val="32"/>
          <w:szCs w:val="32"/>
        </w:rPr>
        <w:t>类指标分值20分，实际得分20分，得分率100%。项目决策指标得分情况如表所示。</w:t>
      </w:r>
    </w:p>
    <w:tbl>
      <w:tblPr>
        <w:tblStyle w:val="10"/>
        <w:tblW w:w="8522" w:type="dxa"/>
        <w:tblInd w:w="0" w:type="dxa"/>
        <w:tblLayout w:type="fixed"/>
        <w:tblCellMar>
          <w:top w:w="0" w:type="dxa"/>
          <w:left w:w="108" w:type="dxa"/>
          <w:bottom w:w="0" w:type="dxa"/>
          <w:right w:w="108" w:type="dxa"/>
        </w:tblCellMar>
      </w:tblPr>
      <w:tblGrid>
        <w:gridCol w:w="2517"/>
        <w:gridCol w:w="2269"/>
        <w:gridCol w:w="1986"/>
        <w:gridCol w:w="1750"/>
      </w:tblGrid>
      <w:tr w14:paraId="3BB9FE40">
        <w:tblPrEx>
          <w:tblCellMar>
            <w:top w:w="0" w:type="dxa"/>
            <w:left w:w="108" w:type="dxa"/>
            <w:bottom w:w="0" w:type="dxa"/>
            <w:right w:w="108" w:type="dxa"/>
          </w:tblCellMar>
        </w:tblPrEx>
        <w:trPr>
          <w:trHeight w:val="480" w:hRule="atLeast"/>
        </w:trPr>
        <w:tc>
          <w:tcPr>
            <w:tcW w:w="8522" w:type="dxa"/>
            <w:gridSpan w:val="4"/>
            <w:tcBorders>
              <w:top w:val="nil"/>
              <w:left w:val="nil"/>
              <w:bottom w:val="single" w:color="auto" w:sz="8" w:space="0"/>
              <w:right w:val="nil"/>
            </w:tcBorders>
            <w:shd w:val="clear" w:color="auto" w:fill="auto"/>
            <w:noWrap/>
            <w:vAlign w:val="center"/>
          </w:tcPr>
          <w:p w14:paraId="03A03564">
            <w:pPr>
              <w:spacing w:line="560" w:lineRule="exact"/>
              <w:ind w:firstLine="2880" w:firstLineChars="900"/>
              <w:jc w:val="left"/>
              <w:rPr>
                <w:rFonts w:ascii="仿宋_GB2312" w:hAnsi="仿宋" w:eastAsia="仿宋_GB2312" w:cs="宋体"/>
                <w:color w:val="333333"/>
                <w:sz w:val="32"/>
                <w:szCs w:val="32"/>
              </w:rPr>
            </w:pPr>
            <w:r>
              <w:rPr>
                <w:rFonts w:hint="eastAsia" w:ascii="仿宋_GB2312" w:hAnsi="仿宋" w:eastAsia="仿宋_GB2312" w:cs="宋体"/>
                <w:color w:val="333333"/>
                <w:sz w:val="32"/>
                <w:szCs w:val="32"/>
              </w:rPr>
              <w:t>项目决策指标得分情况</w:t>
            </w:r>
          </w:p>
        </w:tc>
      </w:tr>
      <w:tr w14:paraId="605A78C0">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000000" w:fill="A6A6A6"/>
            <w:vAlign w:val="center"/>
          </w:tcPr>
          <w:p w14:paraId="0749E4EC">
            <w:pPr>
              <w:widowControl/>
              <w:spacing w:line="400" w:lineRule="exact"/>
              <w:jc w:val="center"/>
              <w:rPr>
                <w:rFonts w:ascii="仿宋_GB2312" w:hAnsi="仿宋_GB2312" w:eastAsia="仿宋_GB2312" w:cs="仿宋_GB2312"/>
                <w:b/>
                <w:bCs/>
                <w:color w:val="000000"/>
                <w:kern w:val="0"/>
                <w:sz w:val="30"/>
                <w:szCs w:val="30"/>
              </w:rPr>
            </w:pPr>
            <w:r>
              <w:rPr>
                <w:rFonts w:hint="eastAsia" w:ascii="仿宋_GB2312" w:hAnsi="仿宋_GB2312" w:eastAsia="仿宋_GB2312" w:cs="仿宋_GB2312"/>
                <w:b/>
                <w:bCs/>
                <w:color w:val="000000"/>
                <w:kern w:val="0"/>
                <w:sz w:val="30"/>
                <w:szCs w:val="30"/>
              </w:rPr>
              <w:t>二级指标</w:t>
            </w:r>
          </w:p>
        </w:tc>
        <w:tc>
          <w:tcPr>
            <w:tcW w:w="2269" w:type="dxa"/>
            <w:tcBorders>
              <w:top w:val="nil"/>
              <w:left w:val="nil"/>
              <w:bottom w:val="single" w:color="auto" w:sz="8" w:space="0"/>
              <w:right w:val="single" w:color="auto" w:sz="8" w:space="0"/>
            </w:tcBorders>
            <w:shd w:val="clear" w:color="000000" w:fill="A6A6A6"/>
            <w:vAlign w:val="center"/>
          </w:tcPr>
          <w:p w14:paraId="396E89EF">
            <w:pPr>
              <w:widowControl/>
              <w:spacing w:line="400" w:lineRule="exact"/>
              <w:jc w:val="center"/>
              <w:rPr>
                <w:rFonts w:ascii="仿宋_GB2312" w:hAnsi="仿宋_GB2312" w:eastAsia="仿宋_GB2312" w:cs="仿宋_GB2312"/>
                <w:b/>
                <w:bCs/>
                <w:color w:val="000000"/>
                <w:kern w:val="0"/>
                <w:sz w:val="30"/>
                <w:szCs w:val="30"/>
              </w:rPr>
            </w:pPr>
            <w:r>
              <w:rPr>
                <w:rFonts w:hint="eastAsia" w:ascii="仿宋_GB2312" w:hAnsi="仿宋_GB2312" w:eastAsia="仿宋_GB2312" w:cs="仿宋_GB2312"/>
                <w:b/>
                <w:bCs/>
                <w:color w:val="000000"/>
                <w:kern w:val="0"/>
                <w:sz w:val="30"/>
                <w:szCs w:val="30"/>
              </w:rPr>
              <w:t>权重</w:t>
            </w:r>
          </w:p>
        </w:tc>
        <w:tc>
          <w:tcPr>
            <w:tcW w:w="1986" w:type="dxa"/>
            <w:tcBorders>
              <w:top w:val="nil"/>
              <w:left w:val="nil"/>
              <w:bottom w:val="single" w:color="auto" w:sz="8" w:space="0"/>
              <w:right w:val="single" w:color="auto" w:sz="8" w:space="0"/>
            </w:tcBorders>
            <w:shd w:val="clear" w:color="000000" w:fill="A6A6A6"/>
            <w:vAlign w:val="center"/>
          </w:tcPr>
          <w:p w14:paraId="17C26B3A">
            <w:pPr>
              <w:widowControl/>
              <w:spacing w:line="400" w:lineRule="exact"/>
              <w:jc w:val="center"/>
              <w:rPr>
                <w:rFonts w:ascii="仿宋_GB2312" w:hAnsi="仿宋_GB2312" w:eastAsia="仿宋_GB2312" w:cs="仿宋_GB2312"/>
                <w:b/>
                <w:bCs/>
                <w:color w:val="000000"/>
                <w:kern w:val="0"/>
                <w:sz w:val="30"/>
                <w:szCs w:val="30"/>
              </w:rPr>
            </w:pPr>
            <w:r>
              <w:rPr>
                <w:rFonts w:hint="eastAsia" w:ascii="仿宋_GB2312" w:hAnsi="仿宋_GB2312" w:eastAsia="仿宋_GB2312" w:cs="仿宋_GB2312"/>
                <w:b/>
                <w:bCs/>
                <w:color w:val="000000"/>
                <w:kern w:val="0"/>
                <w:sz w:val="30"/>
                <w:szCs w:val="30"/>
              </w:rPr>
              <w:t>得分率</w:t>
            </w:r>
          </w:p>
        </w:tc>
        <w:tc>
          <w:tcPr>
            <w:tcW w:w="1750" w:type="dxa"/>
            <w:tcBorders>
              <w:top w:val="nil"/>
              <w:left w:val="nil"/>
              <w:bottom w:val="single" w:color="auto" w:sz="8" w:space="0"/>
              <w:right w:val="single" w:color="auto" w:sz="8" w:space="0"/>
            </w:tcBorders>
            <w:shd w:val="clear" w:color="000000" w:fill="A6A6A6"/>
            <w:vAlign w:val="center"/>
          </w:tcPr>
          <w:p w14:paraId="70786F67">
            <w:pPr>
              <w:widowControl/>
              <w:spacing w:line="400" w:lineRule="exact"/>
              <w:jc w:val="center"/>
              <w:rPr>
                <w:rFonts w:ascii="仿宋_GB2312" w:hAnsi="仿宋_GB2312" w:eastAsia="仿宋_GB2312" w:cs="仿宋_GB2312"/>
                <w:b/>
                <w:bCs/>
                <w:color w:val="000000"/>
                <w:kern w:val="0"/>
                <w:sz w:val="30"/>
                <w:szCs w:val="30"/>
              </w:rPr>
            </w:pPr>
            <w:r>
              <w:rPr>
                <w:rFonts w:hint="eastAsia" w:ascii="仿宋_GB2312" w:hAnsi="仿宋_GB2312" w:eastAsia="仿宋_GB2312" w:cs="仿宋_GB2312"/>
                <w:b/>
                <w:bCs/>
                <w:color w:val="000000"/>
                <w:kern w:val="0"/>
                <w:sz w:val="30"/>
                <w:szCs w:val="30"/>
              </w:rPr>
              <w:t>实际得分</w:t>
            </w:r>
          </w:p>
        </w:tc>
      </w:tr>
      <w:tr w14:paraId="60446E49">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auto" w:fill="auto"/>
            <w:vAlign w:val="center"/>
          </w:tcPr>
          <w:p w14:paraId="6884FA8F">
            <w:pPr>
              <w:widowControl/>
              <w:spacing w:line="400" w:lineRule="exact"/>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项目立项</w:t>
            </w:r>
          </w:p>
        </w:tc>
        <w:tc>
          <w:tcPr>
            <w:tcW w:w="2269" w:type="dxa"/>
            <w:tcBorders>
              <w:top w:val="nil"/>
              <w:left w:val="nil"/>
              <w:bottom w:val="single" w:color="auto" w:sz="8" w:space="0"/>
              <w:right w:val="single" w:color="auto" w:sz="8" w:space="0"/>
            </w:tcBorders>
            <w:shd w:val="clear" w:color="auto" w:fill="auto"/>
            <w:vAlign w:val="center"/>
          </w:tcPr>
          <w:p w14:paraId="2024F54C">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10</w:t>
            </w:r>
          </w:p>
        </w:tc>
        <w:tc>
          <w:tcPr>
            <w:tcW w:w="1986" w:type="dxa"/>
            <w:tcBorders>
              <w:top w:val="nil"/>
              <w:left w:val="nil"/>
              <w:bottom w:val="single" w:color="auto" w:sz="8" w:space="0"/>
              <w:right w:val="single" w:color="auto" w:sz="8" w:space="0"/>
            </w:tcBorders>
            <w:shd w:val="clear" w:color="auto" w:fill="auto"/>
            <w:vAlign w:val="center"/>
          </w:tcPr>
          <w:p w14:paraId="649FD7F4">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100%</w:t>
            </w:r>
          </w:p>
        </w:tc>
        <w:tc>
          <w:tcPr>
            <w:tcW w:w="1750" w:type="dxa"/>
            <w:tcBorders>
              <w:top w:val="nil"/>
              <w:left w:val="nil"/>
              <w:bottom w:val="single" w:color="auto" w:sz="8" w:space="0"/>
              <w:right w:val="single" w:color="auto" w:sz="8" w:space="0"/>
            </w:tcBorders>
            <w:shd w:val="clear" w:color="auto" w:fill="auto"/>
            <w:vAlign w:val="center"/>
          </w:tcPr>
          <w:p w14:paraId="1F8E8058">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10</w:t>
            </w:r>
          </w:p>
        </w:tc>
      </w:tr>
      <w:tr w14:paraId="3ED546CB">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auto" w:fill="auto"/>
            <w:vAlign w:val="center"/>
          </w:tcPr>
          <w:p w14:paraId="4CE3E177">
            <w:pPr>
              <w:widowControl/>
              <w:spacing w:line="400" w:lineRule="exact"/>
              <w:jc w:val="left"/>
              <w:rPr>
                <w:rFonts w:ascii="仿宋_GB2312" w:hAnsi="仿宋_GB2312" w:eastAsia="仿宋_GB2312" w:cs="仿宋_GB2312"/>
                <w:color w:val="000000"/>
                <w:kern w:val="0"/>
                <w:sz w:val="30"/>
                <w:szCs w:val="30"/>
              </w:rPr>
            </w:pPr>
            <w:r>
              <w:rPr>
                <w:rFonts w:ascii="仿宋_GB2312" w:hAnsi="仿宋_GB2312" w:eastAsia="仿宋_GB2312" w:cs="仿宋_GB2312"/>
                <w:color w:val="000000"/>
                <w:kern w:val="0"/>
                <w:sz w:val="30"/>
                <w:szCs w:val="30"/>
              </w:rPr>
              <w:t>绩效目标</w:t>
            </w:r>
          </w:p>
        </w:tc>
        <w:tc>
          <w:tcPr>
            <w:tcW w:w="2269" w:type="dxa"/>
            <w:tcBorders>
              <w:top w:val="nil"/>
              <w:left w:val="nil"/>
              <w:bottom w:val="single" w:color="auto" w:sz="8" w:space="0"/>
              <w:right w:val="single" w:color="auto" w:sz="8" w:space="0"/>
            </w:tcBorders>
            <w:shd w:val="clear" w:color="auto" w:fill="auto"/>
            <w:vAlign w:val="center"/>
          </w:tcPr>
          <w:p w14:paraId="78696E2F">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5</w:t>
            </w:r>
          </w:p>
        </w:tc>
        <w:tc>
          <w:tcPr>
            <w:tcW w:w="1986" w:type="dxa"/>
            <w:tcBorders>
              <w:top w:val="nil"/>
              <w:left w:val="nil"/>
              <w:bottom w:val="single" w:color="auto" w:sz="8" w:space="0"/>
              <w:right w:val="single" w:color="auto" w:sz="8" w:space="0"/>
            </w:tcBorders>
            <w:shd w:val="clear" w:color="auto" w:fill="auto"/>
            <w:vAlign w:val="center"/>
          </w:tcPr>
          <w:p w14:paraId="14784385">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100%</w:t>
            </w:r>
          </w:p>
        </w:tc>
        <w:tc>
          <w:tcPr>
            <w:tcW w:w="1750" w:type="dxa"/>
            <w:tcBorders>
              <w:top w:val="nil"/>
              <w:left w:val="nil"/>
              <w:bottom w:val="single" w:color="auto" w:sz="8" w:space="0"/>
              <w:right w:val="single" w:color="auto" w:sz="8" w:space="0"/>
            </w:tcBorders>
            <w:shd w:val="clear" w:color="auto" w:fill="auto"/>
            <w:vAlign w:val="center"/>
          </w:tcPr>
          <w:p w14:paraId="752DC487">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5</w:t>
            </w:r>
          </w:p>
        </w:tc>
      </w:tr>
      <w:tr w14:paraId="08F3A02E">
        <w:tblPrEx>
          <w:tblCellMar>
            <w:top w:w="0" w:type="dxa"/>
            <w:left w:w="108" w:type="dxa"/>
            <w:bottom w:w="0" w:type="dxa"/>
            <w:right w:w="108" w:type="dxa"/>
          </w:tblCellMar>
        </w:tblPrEx>
        <w:trPr>
          <w:trHeight w:val="510" w:hRule="exact"/>
        </w:trPr>
        <w:tc>
          <w:tcPr>
            <w:tcW w:w="2517" w:type="dxa"/>
            <w:tcBorders>
              <w:top w:val="nil"/>
              <w:left w:val="single" w:color="auto" w:sz="8" w:space="0"/>
              <w:bottom w:val="single" w:color="auto" w:sz="8" w:space="0"/>
              <w:right w:val="single" w:color="auto" w:sz="8" w:space="0"/>
            </w:tcBorders>
            <w:shd w:val="clear" w:color="auto" w:fill="auto"/>
            <w:vAlign w:val="center"/>
          </w:tcPr>
          <w:p w14:paraId="37D46B8A">
            <w:pPr>
              <w:widowControl/>
              <w:spacing w:line="400" w:lineRule="exact"/>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资金投入</w:t>
            </w:r>
          </w:p>
        </w:tc>
        <w:tc>
          <w:tcPr>
            <w:tcW w:w="2269" w:type="dxa"/>
            <w:tcBorders>
              <w:top w:val="nil"/>
              <w:left w:val="nil"/>
              <w:bottom w:val="single" w:color="auto" w:sz="8" w:space="0"/>
              <w:right w:val="single" w:color="auto" w:sz="8" w:space="0"/>
            </w:tcBorders>
            <w:shd w:val="clear" w:color="auto" w:fill="auto"/>
            <w:vAlign w:val="center"/>
          </w:tcPr>
          <w:p w14:paraId="7151D08E">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5</w:t>
            </w:r>
          </w:p>
        </w:tc>
        <w:tc>
          <w:tcPr>
            <w:tcW w:w="1986" w:type="dxa"/>
            <w:tcBorders>
              <w:top w:val="nil"/>
              <w:left w:val="nil"/>
              <w:bottom w:val="single" w:color="auto" w:sz="8" w:space="0"/>
              <w:right w:val="single" w:color="auto" w:sz="8" w:space="0"/>
            </w:tcBorders>
            <w:shd w:val="clear" w:color="auto" w:fill="auto"/>
            <w:vAlign w:val="center"/>
          </w:tcPr>
          <w:p w14:paraId="04DFCD2F">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100%</w:t>
            </w:r>
          </w:p>
        </w:tc>
        <w:tc>
          <w:tcPr>
            <w:tcW w:w="1750" w:type="dxa"/>
            <w:tcBorders>
              <w:top w:val="nil"/>
              <w:left w:val="nil"/>
              <w:bottom w:val="single" w:color="auto" w:sz="8" w:space="0"/>
              <w:right w:val="single" w:color="auto" w:sz="8" w:space="0"/>
            </w:tcBorders>
            <w:shd w:val="clear" w:color="auto" w:fill="auto"/>
            <w:vAlign w:val="center"/>
          </w:tcPr>
          <w:p w14:paraId="5CF76D42">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5</w:t>
            </w:r>
          </w:p>
        </w:tc>
      </w:tr>
      <w:tr w14:paraId="11D5F1C5">
        <w:tblPrEx>
          <w:tblCellMar>
            <w:top w:w="0" w:type="dxa"/>
            <w:left w:w="108" w:type="dxa"/>
            <w:bottom w:w="0" w:type="dxa"/>
            <w:right w:w="108" w:type="dxa"/>
          </w:tblCellMar>
        </w:tblPrEx>
        <w:trPr>
          <w:trHeight w:val="510" w:hRule="exact"/>
        </w:trPr>
        <w:tc>
          <w:tcPr>
            <w:tcW w:w="2517" w:type="dxa"/>
            <w:tcBorders>
              <w:top w:val="single" w:color="auto" w:sz="8" w:space="0"/>
              <w:left w:val="single" w:color="auto" w:sz="8" w:space="0"/>
              <w:bottom w:val="single" w:color="auto" w:sz="8" w:space="0"/>
              <w:right w:val="single" w:color="auto" w:sz="8" w:space="0"/>
            </w:tcBorders>
            <w:shd w:val="clear" w:color="auto" w:fill="auto"/>
            <w:vAlign w:val="center"/>
          </w:tcPr>
          <w:p w14:paraId="723481FD">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合  计</w:t>
            </w:r>
          </w:p>
        </w:tc>
        <w:tc>
          <w:tcPr>
            <w:tcW w:w="2269" w:type="dxa"/>
            <w:tcBorders>
              <w:top w:val="single" w:color="auto" w:sz="8" w:space="0"/>
              <w:left w:val="nil"/>
              <w:bottom w:val="single" w:color="auto" w:sz="8" w:space="0"/>
              <w:right w:val="single" w:color="auto" w:sz="8" w:space="0"/>
            </w:tcBorders>
            <w:shd w:val="clear" w:color="auto" w:fill="auto"/>
            <w:vAlign w:val="center"/>
          </w:tcPr>
          <w:p w14:paraId="666663DC">
            <w:pPr>
              <w:widowControl/>
              <w:spacing w:line="400" w:lineRule="exact"/>
              <w:jc w:val="center"/>
              <w:rPr>
                <w:rFonts w:ascii="仿宋_GB2312" w:hAnsi="仿宋_GB2312" w:eastAsia="仿宋_GB2312" w:cs="仿宋_GB2312"/>
                <w:b/>
                <w:color w:val="000000"/>
                <w:kern w:val="0"/>
                <w:sz w:val="30"/>
                <w:szCs w:val="30"/>
              </w:rPr>
            </w:pPr>
            <w:r>
              <w:rPr>
                <w:rFonts w:hint="eastAsia" w:ascii="仿宋_GB2312" w:hAnsi="仿宋_GB2312" w:eastAsia="仿宋_GB2312" w:cs="仿宋_GB2312"/>
                <w:b/>
                <w:color w:val="000000"/>
                <w:kern w:val="0"/>
                <w:sz w:val="30"/>
                <w:szCs w:val="30"/>
              </w:rPr>
              <w:t>20</w:t>
            </w:r>
          </w:p>
        </w:tc>
        <w:tc>
          <w:tcPr>
            <w:tcW w:w="1986" w:type="dxa"/>
            <w:tcBorders>
              <w:top w:val="single" w:color="auto" w:sz="8" w:space="0"/>
              <w:left w:val="nil"/>
              <w:bottom w:val="single" w:color="auto" w:sz="8" w:space="0"/>
              <w:right w:val="single" w:color="auto" w:sz="8" w:space="0"/>
            </w:tcBorders>
            <w:shd w:val="clear" w:color="auto" w:fill="auto"/>
            <w:vAlign w:val="center"/>
          </w:tcPr>
          <w:p w14:paraId="324D7B66">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sz w:val="30"/>
                <w:szCs w:val="30"/>
              </w:rPr>
              <w:t>100%</w:t>
            </w:r>
          </w:p>
        </w:tc>
        <w:tc>
          <w:tcPr>
            <w:tcW w:w="1750" w:type="dxa"/>
            <w:tcBorders>
              <w:top w:val="single" w:color="auto" w:sz="8" w:space="0"/>
              <w:left w:val="nil"/>
              <w:bottom w:val="single" w:color="auto" w:sz="8" w:space="0"/>
              <w:right w:val="single" w:color="auto" w:sz="8" w:space="0"/>
            </w:tcBorders>
            <w:shd w:val="clear" w:color="auto" w:fill="auto"/>
            <w:vAlign w:val="center"/>
          </w:tcPr>
          <w:p w14:paraId="5D747EF6">
            <w:pPr>
              <w:widowControl/>
              <w:spacing w:line="400" w:lineRule="exact"/>
              <w:jc w:val="center"/>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20</w:t>
            </w:r>
          </w:p>
        </w:tc>
      </w:tr>
    </w:tbl>
    <w:p w14:paraId="4E361B4A">
      <w:pPr>
        <w:spacing w:line="560" w:lineRule="exact"/>
        <w:ind w:firstLine="800" w:firstLineChars="250"/>
        <w:jc w:val="left"/>
        <w:rPr>
          <w:rFonts w:ascii="仿宋_GB2312" w:hAnsi="仿宋" w:eastAsia="仿宋_GB2312" w:cs="宋体"/>
          <w:color w:val="333333"/>
          <w:sz w:val="32"/>
          <w:szCs w:val="32"/>
        </w:rPr>
      </w:pPr>
      <w:r>
        <w:rPr>
          <w:rFonts w:hint="eastAsia" w:ascii="仿宋_GB2312" w:hAnsi="仿宋" w:eastAsia="仿宋_GB2312" w:cs="宋体"/>
          <w:color w:val="333333"/>
          <w:sz w:val="32"/>
          <w:szCs w:val="32"/>
        </w:rPr>
        <w:t>1</w:t>
      </w:r>
      <w:r>
        <w:rPr>
          <w:rFonts w:ascii="仿宋_GB2312" w:hAnsi="仿宋" w:eastAsia="仿宋_GB2312" w:cs="宋体"/>
          <w:color w:val="333333"/>
          <w:sz w:val="32"/>
          <w:szCs w:val="32"/>
        </w:rPr>
        <w:t>.</w:t>
      </w:r>
      <w:r>
        <w:rPr>
          <w:rFonts w:hint="eastAsia" w:ascii="仿宋_GB2312" w:hAnsi="仿宋_GB2312" w:eastAsia="仿宋_GB2312" w:cs="仿宋_GB2312"/>
          <w:color w:val="000000"/>
          <w:kern w:val="0"/>
          <w:sz w:val="30"/>
          <w:szCs w:val="30"/>
        </w:rPr>
        <w:t>项目立项</w:t>
      </w:r>
    </w:p>
    <w:p w14:paraId="27E8E08D">
      <w:pPr>
        <w:spacing w:line="560" w:lineRule="exact"/>
        <w:ind w:firstLine="700" w:firstLineChars="25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（1）立项充分性</w:t>
      </w:r>
    </w:p>
    <w:p w14:paraId="7119A823">
      <w:pPr>
        <w:spacing w:line="360" w:lineRule="auto"/>
        <w:ind w:firstLine="640" w:firstLineChars="200"/>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项目立项符合行业发展规划和政策要求，与部门职责范围相符，属于部门履职所需；项目属于公共财政支持范围，符合中央、地方事权支出责任划分原则；不存在与相关部门同类项目或部门内部相关项目重复。</w:t>
      </w:r>
    </w:p>
    <w:p w14:paraId="36E7C0E5">
      <w:pPr>
        <w:spacing w:line="360" w:lineRule="auto"/>
      </w:pPr>
      <w:r>
        <w:rPr>
          <w:rFonts w:hint="eastAsia"/>
        </w:rPr>
        <w:t>2、立项程序规范性</w:t>
      </w:r>
    </w:p>
    <w:p w14:paraId="48A416AF">
      <w:pPr>
        <w:spacing w:line="360" w:lineRule="auto"/>
        <w:ind w:firstLine="640" w:firstLineChars="200"/>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项目预算批复等材料符合相关要求，事前已经过必要的可行性研究、风险评估、绩效评估、集体决策。</w:t>
      </w:r>
    </w:p>
    <w:p w14:paraId="104B71AA">
      <w:pPr>
        <w:spacing w:line="360" w:lineRule="auto"/>
        <w:ind w:firstLine="640" w:firstLineChars="200"/>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对于“项目立项”，根据评分标准，实际得分10分，得分率为100%</w:t>
      </w:r>
    </w:p>
    <w:p w14:paraId="143EFBFE">
      <w:pPr>
        <w:spacing w:line="360" w:lineRule="auto"/>
        <w:rPr>
          <w:rFonts w:hint="eastAsia"/>
        </w:rPr>
      </w:pPr>
      <w:r>
        <w:rPr>
          <w:rFonts w:hint="eastAsia"/>
        </w:rPr>
        <w:t>3、绩效目标合理性</w:t>
      </w:r>
    </w:p>
    <w:p w14:paraId="1F523761">
      <w:pPr>
        <w:spacing w:line="360" w:lineRule="auto"/>
        <w:ind w:firstLine="640" w:firstLineChars="200"/>
        <w:rPr>
          <w:rFonts w:hint="eastAsia"/>
        </w:rPr>
      </w:pPr>
      <w:r>
        <w:rPr>
          <w:rFonts w:hint="eastAsia" w:ascii="仿宋_GB2312" w:hAnsi="仿宋" w:eastAsia="仿宋_GB2312" w:cs="宋体"/>
          <w:color w:val="333333"/>
          <w:sz w:val="32"/>
          <w:szCs w:val="32"/>
          <w:lang w:val="en-US" w:eastAsia="zh-CN"/>
        </w:rPr>
        <w:t>项目绩效目标与实际工作内容有相关，项目预期产出效益和效果符合正常的业绩水平；与预算确定的项目投资额或资金量相匹配</w:t>
      </w:r>
      <w:r>
        <w:rPr>
          <w:rFonts w:hint="eastAsia" w:ascii="仿宋_GB2312" w:hAnsi="仿宋" w:cs="宋体"/>
          <w:color w:val="333333"/>
          <w:sz w:val="32"/>
          <w:szCs w:val="32"/>
          <w:lang w:val="en-US" w:eastAsia="zh-CN"/>
        </w:rPr>
        <w:t>。</w:t>
      </w:r>
    </w:p>
    <w:p w14:paraId="3769C2B1">
      <w:pPr>
        <w:spacing w:line="360" w:lineRule="auto"/>
        <w:rPr>
          <w:rFonts w:hint="eastAsia"/>
        </w:rPr>
      </w:pPr>
    </w:p>
    <w:p w14:paraId="0C3DF7C2">
      <w:pPr>
        <w:spacing w:line="360" w:lineRule="auto"/>
      </w:pPr>
      <w:r>
        <w:rPr>
          <w:rFonts w:hint="eastAsia"/>
        </w:rPr>
        <w:t>4、绩效指标明确性</w:t>
      </w:r>
    </w:p>
    <w:p w14:paraId="751ADBAF">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项目绩效目标已细化分解为具体的绩效指标，通过清晰、可衡量的指标值予以体现，与项目目标任务数或计划数相对应。共性指标下设决策与过程2个一级指标，其中：项目决策下项目立项、绩效目标、资金投入3个二级指标；过程下设资金管理和组织实施2个二级指标。个性指标下设产出和效益2个一级指标，其中产出下设产出数量、产出质量、产出时效、产出成本4个2级指标，效益下设项目效益2个二级指标。</w:t>
      </w:r>
    </w:p>
    <w:p w14:paraId="772C4DF1">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对于“绩效目标”，根据评分标准，实际得分5分，得分率100%。</w:t>
      </w:r>
    </w:p>
    <w:p w14:paraId="4C5DAFE7">
      <w:pPr>
        <w:spacing w:line="580" w:lineRule="exact"/>
        <w:ind w:firstLine="750" w:firstLineChars="250"/>
        <w:rPr>
          <w:rFonts w:hint="eastAsia"/>
        </w:rPr>
      </w:pPr>
      <w:r>
        <w:rPr>
          <w:rFonts w:hint="eastAsia"/>
        </w:rPr>
        <w:t>5、预算编制科学性</w:t>
      </w:r>
    </w:p>
    <w:p w14:paraId="622D3942">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预算编制经过科学论证，预算内容与项目内容相匹配，预算额度测算依据充分且按照标准编制，预算确定的项目资金量与工作任务相匹配。</w:t>
      </w:r>
    </w:p>
    <w:p w14:paraId="0B29B388">
      <w:pPr>
        <w:spacing w:line="360" w:lineRule="auto"/>
      </w:pPr>
      <w:r>
        <w:rPr>
          <w:rFonts w:hint="eastAsia"/>
        </w:rPr>
        <w:t>6、资金分配合理性</w:t>
      </w:r>
    </w:p>
    <w:p w14:paraId="11484DE4">
      <w:pPr>
        <w:spacing w:line="560" w:lineRule="exact"/>
        <w:ind w:firstLine="640" w:firstLineChars="200"/>
        <w:jc w:val="left"/>
        <w:rPr>
          <w:rFonts w:hint="eastAsia" w:ascii="仿宋_GB2312" w:hAnsi="仿宋" w:eastAsia="仿宋_GB2312" w:cs="宋体"/>
          <w:color w:val="333333"/>
          <w:sz w:val="32"/>
          <w:szCs w:val="32"/>
          <w:lang w:val="en-US" w:eastAsia="zh-CN"/>
        </w:rPr>
      </w:pPr>
      <w:bookmarkStart w:id="13" w:name="_Toc68703839"/>
      <w:r>
        <w:rPr>
          <w:rFonts w:hint="eastAsia" w:ascii="仿宋_GB2312" w:hAnsi="仿宋" w:eastAsia="仿宋_GB2312" w:cs="宋体"/>
          <w:color w:val="333333"/>
          <w:sz w:val="32"/>
          <w:szCs w:val="32"/>
          <w:lang w:val="en-US" w:eastAsia="zh-CN"/>
        </w:rPr>
        <w:t>预算资金分配依据充分；资金分配额度合理，与项目单位相适应，对于“资金投入”，根据评分标准，实际得分5分，得分率100%。</w:t>
      </w:r>
    </w:p>
    <w:p w14:paraId="1F1F7CBA">
      <w:pPr>
        <w:spacing w:line="580" w:lineRule="exact"/>
        <w:ind w:firstLine="750" w:firstLineChars="250"/>
        <w:rPr>
          <w:rFonts w:hint="eastAsia"/>
          <w:color w:val="auto"/>
        </w:rPr>
      </w:pPr>
      <w:r>
        <w:rPr>
          <w:rFonts w:hint="eastAsia"/>
          <w:color w:val="auto"/>
        </w:rPr>
        <w:t>（二）项目过程情况。</w:t>
      </w:r>
      <w:bookmarkEnd w:id="13"/>
    </w:p>
    <w:p w14:paraId="3DB6561A">
      <w:pPr>
        <w:spacing w:line="360" w:lineRule="auto"/>
      </w:pPr>
      <w:r>
        <w:rPr>
          <w:rFonts w:hint="eastAsia"/>
        </w:rPr>
        <w:t>1、资金到位率：</w:t>
      </w:r>
    </w:p>
    <w:p w14:paraId="0FDFFF1A">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实际到位资金 17万元，预算资金 17万元，资金到位率100%。</w:t>
      </w:r>
    </w:p>
    <w:p w14:paraId="25E39F73">
      <w:pPr>
        <w:spacing w:line="580" w:lineRule="exact"/>
        <w:ind w:firstLine="750" w:firstLineChars="250"/>
        <w:rPr>
          <w:rFonts w:hint="eastAsia"/>
        </w:rPr>
      </w:pPr>
      <w:r>
        <w:rPr>
          <w:rFonts w:hint="eastAsia"/>
        </w:rPr>
        <w:t>2、预算执行率</w:t>
      </w:r>
    </w:p>
    <w:p w14:paraId="31F5C6FC">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年初预算数17万元，全年预算数17万元，全年执行数17万元，预算执行率为100%.</w:t>
      </w:r>
    </w:p>
    <w:p w14:paraId="352AED8E">
      <w:pPr>
        <w:spacing w:line="580" w:lineRule="exact"/>
        <w:ind w:firstLine="750" w:firstLineChars="250"/>
        <w:rPr>
          <w:rFonts w:hint="eastAsia"/>
        </w:rPr>
      </w:pPr>
      <w:r>
        <w:rPr>
          <w:rFonts w:hint="eastAsia"/>
        </w:rPr>
        <w:t>3、资金使用合规性</w:t>
      </w:r>
    </w:p>
    <w:p w14:paraId="0E70E81E">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对于“资金管理”，根据评分标准，实际得分12分，得分率100%；</w:t>
      </w:r>
    </w:p>
    <w:p w14:paraId="7335DCE7">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4、管理制度健全性</w:t>
      </w:r>
    </w:p>
    <w:p w14:paraId="74BADA9A">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2F109541">
      <w:pPr>
        <w:spacing w:line="580" w:lineRule="exact"/>
        <w:ind w:firstLine="640" w:firstLineChars="200"/>
        <w:rPr>
          <w:rFonts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制度执行有效性</w:t>
      </w:r>
    </w:p>
    <w:p w14:paraId="2BC4D040">
      <w:pPr>
        <w:spacing w:line="560" w:lineRule="exact"/>
        <w:ind w:firstLine="640" w:firstLineChars="200"/>
        <w:jc w:val="left"/>
        <w:rPr>
          <w:rFonts w:ascii="仿宋_GB2312" w:hAnsi="仿宋" w:eastAsia="仿宋_GB2312" w:cs="宋体"/>
          <w:color w:val="333333"/>
          <w:sz w:val="32"/>
          <w:szCs w:val="32"/>
        </w:rPr>
      </w:pPr>
      <w:r>
        <w:rPr>
          <w:rFonts w:hint="eastAsia" w:ascii="仿宋_GB2312" w:hAnsi="仿宋" w:eastAsia="仿宋_GB2312" w:cs="宋体"/>
          <w:color w:val="333333"/>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w:t>
      </w:r>
      <w:r>
        <w:rPr>
          <w:rFonts w:hint="eastAsia" w:ascii="Times New Roman" w:hAnsi="Times New Roman" w:cs="Times New Roman"/>
          <w:lang w:val="en-US" w:eastAsia="zh-CN"/>
        </w:rPr>
        <w:t>况。</w:t>
      </w:r>
      <w:r>
        <w:rPr>
          <w:rFonts w:hint="eastAsia" w:ascii="仿宋_GB2312" w:hAnsi="仿宋" w:eastAsia="仿宋_GB2312" w:cs="宋体"/>
          <w:color w:val="333333"/>
          <w:sz w:val="32"/>
          <w:szCs w:val="32"/>
        </w:rPr>
        <w:t>对于“组织实施”，根据评分标准，实际得分8分，实际得分率100%。</w:t>
      </w:r>
    </w:p>
    <w:p w14:paraId="08A67147">
      <w:pPr>
        <w:pStyle w:val="3"/>
        <w:spacing w:line="360" w:lineRule="auto"/>
        <w:rPr>
          <w:rFonts w:ascii="仿宋_GB2312" w:eastAsia="仿宋_GB2312"/>
          <w:b w:val="0"/>
          <w:bCs w:val="0"/>
        </w:rPr>
      </w:pPr>
      <w:bookmarkStart w:id="14" w:name="_Toc68703840"/>
      <w:r>
        <w:rPr>
          <w:rFonts w:hint="eastAsia" w:ascii="仿宋_GB2312" w:eastAsia="仿宋_GB2312"/>
          <w:b w:val="0"/>
          <w:bCs w:val="0"/>
        </w:rPr>
        <w:t>（三）项目产出情况。</w:t>
      </w:r>
      <w:bookmarkEnd w:id="14"/>
    </w:p>
    <w:p w14:paraId="3CA9A4E9">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数量指标完成情况：指标1：驻村工作队数量，指标值：1次，实际完成值1次，指标完成率100%，无偏差；</w:t>
      </w:r>
    </w:p>
    <w:p w14:paraId="36CB2194">
      <w:pPr>
        <w:spacing w:line="560" w:lineRule="exact"/>
        <w:ind w:firstLine="640" w:firstLineChars="200"/>
        <w:jc w:val="left"/>
        <w:rPr>
          <w:rFonts w:hint="default"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指标2：担任第一书记人数，指标值：=</w:t>
      </w:r>
      <w:r>
        <w:rPr>
          <w:rFonts w:hint="eastAsia" w:ascii="仿宋_GB2312" w:hAnsi="仿宋" w:cs="宋体"/>
          <w:color w:val="333333"/>
          <w:sz w:val="32"/>
          <w:szCs w:val="32"/>
          <w:lang w:val="en-US" w:eastAsia="zh-CN"/>
        </w:rPr>
        <w:t>1个</w:t>
      </w:r>
      <w:r>
        <w:rPr>
          <w:rFonts w:hint="eastAsia" w:ascii="仿宋_GB2312" w:hAnsi="仿宋" w:eastAsia="仿宋_GB2312" w:cs="宋体"/>
          <w:color w:val="333333"/>
          <w:sz w:val="32"/>
          <w:szCs w:val="32"/>
          <w:lang w:val="en-US" w:eastAsia="zh-CN"/>
        </w:rPr>
        <w:t>，实际完成值</w:t>
      </w:r>
      <w:r>
        <w:rPr>
          <w:rFonts w:hint="eastAsia" w:ascii="仿宋_GB2312" w:hAnsi="仿宋" w:cs="宋体"/>
          <w:color w:val="333333"/>
          <w:sz w:val="32"/>
          <w:szCs w:val="32"/>
          <w:lang w:val="en-US" w:eastAsia="zh-CN"/>
        </w:rPr>
        <w:t>1个</w:t>
      </w:r>
      <w:r>
        <w:rPr>
          <w:rFonts w:hint="eastAsia" w:ascii="仿宋_GB2312" w:hAnsi="仿宋" w:eastAsia="仿宋_GB2312" w:cs="宋体"/>
          <w:color w:val="333333"/>
          <w:sz w:val="32"/>
          <w:szCs w:val="32"/>
          <w:lang w:val="en-US" w:eastAsia="zh-CN"/>
        </w:rPr>
        <w:t>，指标完成率100%，无偏差。</w:t>
      </w:r>
    </w:p>
    <w:p w14:paraId="0346492D">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质量指标完成情况：指标1：为民办实事经费到位率，指标值：100%，实际完成值100%，指标完成率100%，无偏差。</w:t>
      </w:r>
    </w:p>
    <w:p w14:paraId="2A4ED157">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时效指标完成情况：指标1：为民办实事经费支付及时率，指标值：100%，实际完成值100%，指标完成率100%，无偏差。</w:t>
      </w:r>
    </w:p>
    <w:p w14:paraId="06A2E1A2">
      <w:pPr>
        <w:numPr>
          <w:ilvl w:val="0"/>
          <w:numId w:val="3"/>
        </w:num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经济成本指标完成情况：指标1：工作队经费，指标值：</w:t>
      </w:r>
      <w:r>
        <w:rPr>
          <w:rFonts w:hint="eastAsia" w:ascii="仿宋_GB2312" w:hAnsi="仿宋" w:cs="宋体"/>
          <w:color w:val="333333"/>
          <w:sz w:val="32"/>
          <w:szCs w:val="32"/>
          <w:lang w:val="en-US" w:eastAsia="zh-CN"/>
        </w:rPr>
        <w:t>15万元</w:t>
      </w:r>
      <w:r>
        <w:rPr>
          <w:rFonts w:hint="eastAsia" w:ascii="仿宋_GB2312" w:hAnsi="仿宋" w:eastAsia="仿宋_GB2312" w:cs="宋体"/>
          <w:color w:val="333333"/>
          <w:sz w:val="32"/>
          <w:szCs w:val="32"/>
          <w:lang w:val="en-US" w:eastAsia="zh-CN"/>
        </w:rPr>
        <w:t>，实际完成值</w:t>
      </w:r>
      <w:r>
        <w:rPr>
          <w:rFonts w:hint="eastAsia" w:ascii="仿宋_GB2312" w:hAnsi="仿宋" w:cs="宋体"/>
          <w:color w:val="333333"/>
          <w:sz w:val="32"/>
          <w:szCs w:val="32"/>
          <w:lang w:val="en-US" w:eastAsia="zh-CN"/>
        </w:rPr>
        <w:t>15万元</w:t>
      </w:r>
      <w:r>
        <w:rPr>
          <w:rFonts w:hint="eastAsia" w:ascii="仿宋_GB2312" w:hAnsi="仿宋" w:eastAsia="仿宋_GB2312" w:cs="宋体"/>
          <w:color w:val="333333"/>
          <w:sz w:val="32"/>
          <w:szCs w:val="32"/>
          <w:lang w:val="en-US" w:eastAsia="zh-CN"/>
        </w:rPr>
        <w:t>，指标完成率100%，无偏差；</w:t>
      </w:r>
    </w:p>
    <w:p w14:paraId="7BB06B1C">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指标</w:t>
      </w:r>
      <w:r>
        <w:rPr>
          <w:rFonts w:hint="eastAsia" w:ascii="仿宋_GB2312" w:hAnsi="仿宋" w:cs="宋体"/>
          <w:color w:val="333333"/>
          <w:sz w:val="32"/>
          <w:szCs w:val="32"/>
          <w:lang w:val="en-US" w:eastAsia="zh-CN"/>
        </w:rPr>
        <w:t>2</w:t>
      </w:r>
      <w:r>
        <w:rPr>
          <w:rFonts w:hint="eastAsia" w:ascii="仿宋_GB2312" w:hAnsi="仿宋" w:eastAsia="仿宋_GB2312" w:cs="宋体"/>
          <w:color w:val="333333"/>
          <w:sz w:val="32"/>
          <w:szCs w:val="32"/>
          <w:lang w:val="en-US" w:eastAsia="zh-CN"/>
        </w:rPr>
        <w:t>：第一书记工作经费，指标值：</w:t>
      </w:r>
      <w:r>
        <w:rPr>
          <w:rFonts w:hint="eastAsia" w:ascii="仿宋_GB2312" w:hAnsi="仿宋" w:cs="宋体"/>
          <w:color w:val="333333"/>
          <w:sz w:val="32"/>
          <w:szCs w:val="32"/>
          <w:lang w:val="en-US" w:eastAsia="zh-CN"/>
        </w:rPr>
        <w:t>2万元</w:t>
      </w:r>
      <w:r>
        <w:rPr>
          <w:rFonts w:hint="eastAsia" w:ascii="仿宋_GB2312" w:hAnsi="仿宋" w:eastAsia="仿宋_GB2312" w:cs="宋体"/>
          <w:color w:val="333333"/>
          <w:sz w:val="32"/>
          <w:szCs w:val="32"/>
          <w:lang w:val="en-US" w:eastAsia="zh-CN"/>
        </w:rPr>
        <w:t>，实际完成值</w:t>
      </w:r>
      <w:r>
        <w:rPr>
          <w:rFonts w:hint="eastAsia" w:ascii="仿宋_GB2312" w:hAnsi="仿宋" w:cs="宋体"/>
          <w:color w:val="333333"/>
          <w:sz w:val="32"/>
          <w:szCs w:val="32"/>
          <w:lang w:val="en-US" w:eastAsia="zh-CN"/>
        </w:rPr>
        <w:t>2万元</w:t>
      </w:r>
      <w:r>
        <w:rPr>
          <w:rFonts w:hint="eastAsia" w:ascii="仿宋_GB2312" w:hAnsi="仿宋" w:eastAsia="仿宋_GB2312" w:cs="宋体"/>
          <w:color w:val="333333"/>
          <w:sz w:val="32"/>
          <w:szCs w:val="32"/>
          <w:lang w:val="en-US" w:eastAsia="zh-CN"/>
        </w:rPr>
        <w:t>，指标完成率100%，无偏差；</w:t>
      </w:r>
    </w:p>
    <w:p w14:paraId="32F947A6">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（四）项目效益情况。</w:t>
      </w:r>
    </w:p>
    <w:p w14:paraId="25DABFE5">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1.社会效益指标完成情况：指标1：居民幸福感，指标值：有所</w:t>
      </w:r>
      <w:r>
        <w:rPr>
          <w:rFonts w:hint="eastAsia" w:ascii="仿宋_GB2312" w:hAnsi="仿宋" w:cs="宋体"/>
          <w:color w:val="333333"/>
          <w:sz w:val="32"/>
          <w:szCs w:val="32"/>
          <w:lang w:val="en-US" w:eastAsia="zh-CN"/>
        </w:rPr>
        <w:t>提升</w:t>
      </w:r>
      <w:r>
        <w:rPr>
          <w:rFonts w:hint="eastAsia" w:ascii="仿宋_GB2312" w:hAnsi="仿宋" w:eastAsia="仿宋_GB2312" w:cs="宋体"/>
          <w:color w:val="333333"/>
          <w:sz w:val="32"/>
          <w:szCs w:val="32"/>
          <w:lang w:val="en-US" w:eastAsia="zh-CN"/>
        </w:rPr>
        <w:t>，实际完成值达成目标，指标完成率100%，无偏差。</w:t>
      </w:r>
    </w:p>
    <w:p w14:paraId="6C996685">
      <w:pPr>
        <w:numPr>
          <w:ilvl w:val="0"/>
          <w:numId w:val="0"/>
        </w:numPr>
        <w:spacing w:line="560" w:lineRule="exact"/>
        <w:ind w:firstLine="640" w:firstLineChars="200"/>
        <w:jc w:val="left"/>
        <w:rPr>
          <w:color w:val="auto"/>
        </w:rPr>
      </w:pPr>
      <w:r>
        <w:rPr>
          <w:rFonts w:hint="eastAsia" w:ascii="仿宋_GB2312" w:hAnsi="仿宋" w:cs="宋体"/>
          <w:color w:val="auto"/>
          <w:sz w:val="32"/>
          <w:szCs w:val="32"/>
          <w:highlight w:val="none"/>
          <w:lang w:val="en-US" w:eastAsia="zh-CN"/>
        </w:rPr>
        <w:t>2.</w:t>
      </w:r>
      <w:r>
        <w:rPr>
          <w:rFonts w:hint="eastAsia" w:ascii="仿宋_GB2312" w:hAnsi="仿宋" w:eastAsia="仿宋_GB2312" w:cs="宋体"/>
          <w:color w:val="auto"/>
          <w:sz w:val="32"/>
          <w:szCs w:val="32"/>
          <w:highlight w:val="none"/>
          <w:lang w:val="en-US" w:eastAsia="zh-CN"/>
        </w:rPr>
        <w:t>满意度指标完成情况分析：指标1：居民满意度，指标值：</w:t>
      </w:r>
      <w:r>
        <w:rPr>
          <w:rFonts w:hint="eastAsia" w:ascii="仿宋_GB2312" w:hAnsi="仿宋" w:cs="宋体"/>
          <w:color w:val="auto"/>
          <w:sz w:val="32"/>
          <w:szCs w:val="32"/>
          <w:highlight w:val="none"/>
          <w:lang w:val="en-US" w:eastAsia="zh-CN"/>
        </w:rPr>
        <w:t>95</w:t>
      </w:r>
      <w:r>
        <w:rPr>
          <w:rFonts w:hint="eastAsia" w:ascii="仿宋_GB2312" w:hAnsi="仿宋" w:eastAsia="仿宋_GB2312" w:cs="宋体"/>
          <w:color w:val="auto"/>
          <w:sz w:val="32"/>
          <w:szCs w:val="32"/>
          <w:highlight w:val="none"/>
          <w:lang w:val="en-US" w:eastAsia="zh-CN"/>
        </w:rPr>
        <w:t>%，实际完成值100%，指标完成率10</w:t>
      </w:r>
      <w:r>
        <w:rPr>
          <w:rFonts w:hint="eastAsia" w:ascii="仿宋_GB2312" w:hAnsi="仿宋" w:cs="宋体"/>
          <w:color w:val="auto"/>
          <w:sz w:val="32"/>
          <w:szCs w:val="32"/>
          <w:highlight w:val="none"/>
          <w:lang w:val="en-US" w:eastAsia="zh-CN"/>
        </w:rPr>
        <w:t>5</w:t>
      </w:r>
      <w:r>
        <w:rPr>
          <w:rFonts w:hint="eastAsia" w:ascii="仿宋_GB2312" w:hAnsi="仿宋" w:eastAsia="仿宋_GB2312" w:cs="宋体"/>
          <w:color w:val="auto"/>
          <w:sz w:val="32"/>
          <w:szCs w:val="32"/>
          <w:highlight w:val="none"/>
          <w:lang w:val="en-US" w:eastAsia="zh-CN"/>
        </w:rPr>
        <w:t xml:space="preserve">%，偏差原因：提升了老百姓的获得感和幸福感。  </w:t>
      </w:r>
      <w:r>
        <w:rPr>
          <w:color w:val="auto"/>
          <w:highlight w:val="none"/>
        </w:rPr>
        <w:t xml:space="preserve">  </w:t>
      </w:r>
    </w:p>
    <w:p w14:paraId="56544BA8">
      <w:pPr>
        <w:numPr>
          <w:ilvl w:val="0"/>
          <w:numId w:val="0"/>
        </w:numPr>
        <w:spacing w:line="560" w:lineRule="exact"/>
        <w:ind w:firstLine="640" w:firstLineChars="200"/>
        <w:jc w:val="left"/>
        <w:rPr>
          <w:rFonts w:hint="eastAsia" w:ascii="仿宋_GB2312" w:hAnsi="仿宋" w:eastAsia="仿宋_GB2312" w:cs="宋体"/>
          <w:color w:val="333333"/>
          <w:sz w:val="32"/>
          <w:szCs w:val="32"/>
          <w:lang w:val="en-US" w:eastAsia="zh-Hans"/>
        </w:rPr>
      </w:pPr>
      <w:r>
        <w:rPr>
          <w:rFonts w:hint="eastAsia" w:ascii="仿宋_GB2312" w:hAnsi="仿宋" w:eastAsia="仿宋_GB2312" w:cs="宋体"/>
          <w:color w:val="333333"/>
          <w:sz w:val="32"/>
          <w:szCs w:val="32"/>
          <w:lang w:val="en-US" w:eastAsia="zh-Hans"/>
        </w:rPr>
        <w:t>五、预算执行进度与绩效指标总体完成率偏差</w:t>
      </w:r>
    </w:p>
    <w:p w14:paraId="6954FF40">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退耕还林延长补助资金项目年初预算</w:t>
      </w:r>
      <w:r>
        <w:rPr>
          <w:rFonts w:hint="eastAsia" w:ascii="仿宋_GB2312" w:hAnsi="仿宋" w:cs="宋体"/>
          <w:color w:val="333333"/>
          <w:sz w:val="32"/>
          <w:szCs w:val="32"/>
          <w:lang w:val="en-US" w:eastAsia="zh-CN"/>
        </w:rPr>
        <w:t>17</w:t>
      </w:r>
      <w:r>
        <w:rPr>
          <w:rFonts w:hint="eastAsia" w:ascii="仿宋_GB2312" w:hAnsi="仿宋" w:eastAsia="仿宋_GB2312" w:cs="宋体"/>
          <w:color w:val="333333"/>
          <w:sz w:val="32"/>
          <w:szCs w:val="32"/>
          <w:lang w:val="en-US" w:eastAsia="zh-CN"/>
        </w:rPr>
        <w:t>万元，全年预算</w:t>
      </w:r>
      <w:r>
        <w:rPr>
          <w:rFonts w:hint="eastAsia" w:ascii="仿宋_GB2312" w:hAnsi="仿宋" w:cs="宋体"/>
          <w:color w:val="333333"/>
          <w:sz w:val="32"/>
          <w:szCs w:val="32"/>
          <w:lang w:val="en-US" w:eastAsia="zh-CN"/>
        </w:rPr>
        <w:t>17</w:t>
      </w:r>
      <w:r>
        <w:rPr>
          <w:rFonts w:hint="eastAsia" w:ascii="仿宋_GB2312" w:hAnsi="仿宋" w:eastAsia="仿宋_GB2312" w:cs="宋体"/>
          <w:color w:val="333333"/>
          <w:sz w:val="32"/>
          <w:szCs w:val="32"/>
          <w:lang w:val="en-US" w:eastAsia="zh-CN"/>
        </w:rPr>
        <w:t>万元，实际支出</w:t>
      </w:r>
      <w:r>
        <w:rPr>
          <w:rFonts w:hint="eastAsia" w:ascii="仿宋_GB2312" w:hAnsi="仿宋" w:cs="宋体"/>
          <w:color w:val="333333"/>
          <w:sz w:val="32"/>
          <w:szCs w:val="32"/>
          <w:lang w:val="en-US" w:eastAsia="zh-CN"/>
        </w:rPr>
        <w:t>17</w:t>
      </w:r>
      <w:r>
        <w:rPr>
          <w:rFonts w:hint="eastAsia" w:ascii="仿宋_GB2312" w:hAnsi="仿宋" w:eastAsia="仿宋_GB2312" w:cs="宋体"/>
          <w:color w:val="333333"/>
          <w:sz w:val="32"/>
          <w:szCs w:val="32"/>
          <w:lang w:val="en-US" w:eastAsia="zh-CN"/>
        </w:rPr>
        <w:t>万元，预算执行率为100%，项目绩效指标总体完成率为100%，</w:t>
      </w:r>
      <w:r>
        <w:rPr>
          <w:rFonts w:hint="eastAsia" w:ascii="仿宋_GB2312" w:hAnsi="仿宋" w:eastAsia="仿宋_GB2312" w:cs="宋体"/>
          <w:color w:val="333333"/>
          <w:sz w:val="32"/>
          <w:szCs w:val="32"/>
          <w:lang w:val="en-US" w:eastAsia="zh-Hans"/>
        </w:rPr>
        <w:t>总体</w:t>
      </w:r>
      <w:r>
        <w:rPr>
          <w:rFonts w:hint="eastAsia" w:ascii="仿宋_GB2312" w:hAnsi="仿宋" w:eastAsia="仿宋_GB2312" w:cs="宋体"/>
          <w:color w:val="333333"/>
          <w:sz w:val="32"/>
          <w:szCs w:val="32"/>
          <w:lang w:val="en-US" w:eastAsia="zh-CN"/>
        </w:rPr>
        <w:t>偏差率为0%,</w:t>
      </w:r>
      <w:r>
        <w:rPr>
          <w:rFonts w:hint="eastAsia" w:ascii="仿宋_GB2312" w:hAnsi="仿宋" w:eastAsia="仿宋_GB2312" w:cs="宋体"/>
          <w:color w:val="333333"/>
          <w:sz w:val="32"/>
          <w:szCs w:val="32"/>
          <w:lang w:val="en-US" w:eastAsia="zh-Hans"/>
        </w:rPr>
        <w:t>偏差</w:t>
      </w:r>
      <w:r>
        <w:rPr>
          <w:rFonts w:hint="eastAsia" w:ascii="仿宋_GB2312" w:hAnsi="仿宋" w:eastAsia="仿宋_GB2312" w:cs="宋体"/>
          <w:color w:val="333333"/>
          <w:sz w:val="32"/>
          <w:szCs w:val="32"/>
          <w:lang w:val="en-US" w:eastAsia="zh-CN"/>
        </w:rPr>
        <w:t>原因无，</w:t>
      </w:r>
      <w:r>
        <w:rPr>
          <w:rFonts w:hint="eastAsia" w:ascii="仿宋_GB2312" w:hAnsi="仿宋" w:eastAsia="仿宋_GB2312" w:cs="宋体"/>
          <w:color w:val="333333"/>
          <w:sz w:val="32"/>
          <w:szCs w:val="32"/>
          <w:lang w:val="en-US" w:eastAsia="zh-Hans"/>
        </w:rPr>
        <w:t>改进</w:t>
      </w:r>
      <w:r>
        <w:rPr>
          <w:rFonts w:hint="eastAsia" w:ascii="仿宋_GB2312" w:hAnsi="仿宋" w:eastAsia="仿宋_GB2312" w:cs="宋体"/>
          <w:color w:val="333333"/>
          <w:sz w:val="32"/>
          <w:szCs w:val="32"/>
          <w:lang w:val="en-US" w:eastAsia="zh-CN"/>
        </w:rPr>
        <w:t>措施无。</w:t>
      </w:r>
    </w:p>
    <w:p w14:paraId="0DA5411F">
      <w:pPr>
        <w:pStyle w:val="2"/>
        <w:spacing w:line="360" w:lineRule="auto"/>
        <w:ind w:firstLine="643" w:firstLineChars="200"/>
        <w:rPr>
          <w:rFonts w:ascii="宋体" w:hAnsi="宋体" w:eastAsia="宋体"/>
          <w:sz w:val="32"/>
          <w:szCs w:val="32"/>
        </w:rPr>
      </w:pPr>
      <w:bookmarkStart w:id="15" w:name="_Toc68703842"/>
      <w:r>
        <w:rPr>
          <w:rFonts w:hint="eastAsia" w:ascii="宋体" w:hAnsi="宋体" w:eastAsia="宋体"/>
          <w:sz w:val="32"/>
          <w:szCs w:val="32"/>
          <w:lang w:val="en-US" w:eastAsia="zh-CN"/>
        </w:rPr>
        <w:t>五</w:t>
      </w:r>
      <w:r>
        <w:rPr>
          <w:rFonts w:hint="eastAsia" w:ascii="宋体" w:hAnsi="宋体" w:eastAsia="宋体"/>
          <w:sz w:val="32"/>
          <w:szCs w:val="32"/>
        </w:rPr>
        <w:t>、主要经验及做法、存在的问题及原因分析</w:t>
      </w:r>
      <w:bookmarkEnd w:id="15"/>
    </w:p>
    <w:p w14:paraId="7A885718">
      <w:pPr>
        <w:pStyle w:val="3"/>
        <w:spacing w:line="360" w:lineRule="auto"/>
        <w:rPr>
          <w:rFonts w:ascii="仿宋_GB2312" w:eastAsia="仿宋_GB2312"/>
          <w:b w:val="0"/>
          <w:bCs w:val="0"/>
        </w:rPr>
      </w:pPr>
      <w:bookmarkStart w:id="16" w:name="_Toc68703843"/>
      <w:r>
        <w:rPr>
          <w:rFonts w:hint="eastAsia" w:ascii="仿宋_GB2312" w:eastAsia="仿宋_GB2312"/>
          <w:b w:val="0"/>
          <w:bCs w:val="0"/>
        </w:rPr>
        <w:t>（一）主要经验及做法</w:t>
      </w:r>
      <w:bookmarkEnd w:id="16"/>
    </w:p>
    <w:p w14:paraId="2494D6F4">
      <w:pPr>
        <w:spacing w:line="560" w:lineRule="exact"/>
        <w:ind w:firstLine="600" w:firstLineChars="200"/>
        <w:rPr>
          <w:rFonts w:ascii="仿宋" w:hAnsi="仿宋" w:eastAsia="仿宋" w:cs="仿宋"/>
          <w:szCs w:val="32"/>
        </w:rPr>
      </w:pPr>
      <w:r>
        <w:rPr>
          <w:rFonts w:hint="eastAsia" w:ascii="仿宋" w:hAnsi="仿宋" w:eastAsia="仿宋" w:cs="仿宋"/>
          <w:szCs w:val="32"/>
        </w:rPr>
        <w:t>1、加强组织领导，层层抓落实  一是建立了以乡镇为主体，积极配合县自然资源局下派技术人员，领导群众有序地开展退耕还林工作。二是通过召开村民大会，在思想发动、组织动员上</w:t>
      </w:r>
      <w:bookmarkStart w:id="18" w:name="_GoBack"/>
      <w:bookmarkEnd w:id="18"/>
      <w:r>
        <w:rPr>
          <w:rFonts w:hint="eastAsia" w:ascii="仿宋" w:hAnsi="仿宋" w:eastAsia="仿宋" w:cs="仿宋"/>
          <w:szCs w:val="32"/>
          <w:lang w:eastAsia="zh-CN"/>
        </w:rPr>
        <w:t>下功夫</w:t>
      </w:r>
      <w:r>
        <w:rPr>
          <w:rFonts w:hint="eastAsia" w:ascii="仿宋" w:hAnsi="仿宋" w:eastAsia="仿宋" w:cs="仿宋"/>
          <w:szCs w:val="32"/>
        </w:rPr>
        <w:t>，积极引导群众正确认识新一轮退耕还林的意义。</w:t>
      </w:r>
    </w:p>
    <w:p w14:paraId="22BC0049">
      <w:pPr>
        <w:spacing w:line="560" w:lineRule="exact"/>
        <w:ind w:firstLine="600" w:firstLineChars="200"/>
        <w:rPr>
          <w:rFonts w:ascii="仿宋" w:hAnsi="仿宋" w:eastAsia="仿宋" w:cs="仿宋"/>
          <w:szCs w:val="32"/>
        </w:rPr>
      </w:pPr>
      <w:r>
        <w:rPr>
          <w:rFonts w:hint="eastAsia" w:ascii="仿宋" w:hAnsi="仿宋" w:eastAsia="仿宋" w:cs="仿宋"/>
          <w:szCs w:val="32"/>
        </w:rPr>
        <w:t>2、科学规划、指导，确保成活率  一是</w:t>
      </w:r>
      <w:r>
        <w:rPr>
          <w:rFonts w:hint="eastAsia" w:ascii="仿宋" w:hAnsi="仿宋" w:eastAsia="仿宋" w:cs="仿宋"/>
          <w:szCs w:val="32"/>
          <w:lang w:val="zh-CN"/>
        </w:rPr>
        <w:t>自然资源、生态环境、产业发展等不同情况，因地制宜，因势利导，</w:t>
      </w:r>
      <w:r>
        <w:rPr>
          <w:rFonts w:hint="eastAsia" w:ascii="仿宋" w:hAnsi="仿宋" w:eastAsia="仿宋" w:cs="仿宋"/>
          <w:szCs w:val="32"/>
        </w:rPr>
        <w:t>做到适地适树，</w:t>
      </w:r>
      <w:r>
        <w:rPr>
          <w:rFonts w:hint="eastAsia" w:ascii="仿宋" w:hAnsi="仿宋" w:eastAsia="仿宋" w:cs="仿宋"/>
          <w:szCs w:val="32"/>
          <w:lang w:val="zh-CN"/>
        </w:rPr>
        <w:t>积极营造结构合理、</w:t>
      </w:r>
      <w:r>
        <w:rPr>
          <w:rFonts w:hint="eastAsia" w:ascii="仿宋" w:hAnsi="仿宋" w:eastAsia="仿宋" w:cs="仿宋"/>
          <w:szCs w:val="32"/>
        </w:rPr>
        <w:t>二是县林草部门安排专业技术人员包联乡镇对退耕还林进行技术指导，严格执行相关技术标准，把好整地、苗木、浇水、抚育关，做到合理种植。保证了苗木成活率。</w:t>
      </w:r>
    </w:p>
    <w:p w14:paraId="753AB056">
      <w:pPr>
        <w:spacing w:line="560" w:lineRule="exact"/>
        <w:ind w:firstLine="600" w:firstLineChars="200"/>
        <w:rPr>
          <w:rFonts w:ascii="仿宋" w:hAnsi="仿宋" w:eastAsia="仿宋" w:cs="仿宋"/>
          <w:szCs w:val="32"/>
        </w:rPr>
      </w:pPr>
      <w:r>
        <w:rPr>
          <w:rFonts w:hint="eastAsia" w:ascii="仿宋" w:hAnsi="仿宋" w:eastAsia="仿宋" w:cs="仿宋"/>
          <w:szCs w:val="32"/>
        </w:rPr>
        <w:t>3、加强宣传教育。以“绿水青山就是金山银山”的理念，通过入户走访、广播、宣传栏、横幅等多种途径，宣传退耕还林工程建设，提高农户保护退耕成果的意识，也使更多农户加入到退耕还林队伍中来推动退耕还林工作的发展。</w:t>
      </w:r>
    </w:p>
    <w:p w14:paraId="75EB86E2">
      <w:pPr>
        <w:spacing w:line="560" w:lineRule="exact"/>
        <w:ind w:firstLine="600" w:firstLineChars="200"/>
        <w:rPr>
          <w:rFonts w:ascii="仿宋" w:hAnsi="仿宋" w:eastAsia="仿宋" w:cs="仿宋"/>
          <w:szCs w:val="32"/>
        </w:rPr>
      </w:pPr>
      <w:r>
        <w:rPr>
          <w:rFonts w:hint="eastAsia" w:ascii="仿宋" w:hAnsi="仿宋" w:eastAsia="仿宋" w:cs="仿宋"/>
          <w:szCs w:val="32"/>
        </w:rPr>
        <w:t>4、加强养护管理  一是在林木病害易发阶段，积极与县林草部门沟通，对林木进行病害防治，二是加强对苗木的的浇水、施肥、除草以及修剪等日常管护，确保成活率达到65%以上。三是在入冬时节对苗木进行涂白做好防护防损工作。</w:t>
      </w:r>
    </w:p>
    <w:p w14:paraId="35F3A2BF">
      <w:pPr>
        <w:spacing w:line="560" w:lineRule="exact"/>
        <w:ind w:firstLine="600" w:firstLineChars="200"/>
        <w:rPr>
          <w:rFonts w:hint="eastAsia" w:ascii="仿宋_GB2312" w:hAnsi="仿宋" w:eastAsia="仿宋_GB2312" w:cs="宋体"/>
          <w:color w:val="333333"/>
          <w:sz w:val="32"/>
          <w:szCs w:val="32"/>
          <w:lang w:val="en-US" w:eastAsia="zh-CN"/>
        </w:rPr>
      </w:pPr>
      <w:r>
        <w:rPr>
          <w:rFonts w:hint="eastAsia" w:ascii="仿宋" w:hAnsi="仿宋" w:eastAsia="仿宋" w:cs="仿宋"/>
          <w:szCs w:val="32"/>
        </w:rPr>
        <w:t>5、完善制度，强化管护。乡镇场对本乡的实际情况，建立和完善个体管护、专人管护等多种形式相结合的管护机制，通过明确职能、细化责任，使管护责任真正落到实处，提高了成活率，确保造林成果。</w:t>
      </w:r>
    </w:p>
    <w:p w14:paraId="524F30F9">
      <w:pPr>
        <w:pStyle w:val="3"/>
        <w:spacing w:line="360" w:lineRule="auto"/>
        <w:rPr>
          <w:rFonts w:ascii="仿宋_GB2312" w:eastAsia="仿宋_GB2312"/>
          <w:b w:val="0"/>
          <w:bCs w:val="0"/>
        </w:rPr>
      </w:pPr>
      <w:r>
        <w:rPr>
          <w:rFonts w:hint="eastAsia" w:ascii="仿宋_GB2312" w:eastAsia="仿宋_GB2312"/>
          <w:b w:val="0"/>
          <w:bCs w:val="0"/>
        </w:rPr>
        <w:t>（二）存在的问题及原因分析</w:t>
      </w:r>
    </w:p>
    <w:p w14:paraId="254787C8">
      <w:pPr>
        <w:ind w:firstLine="640" w:firstLineChars="200"/>
        <w:contextualSpacing/>
        <w:rPr>
          <w:rFonts w:hint="eastAsia" w:ascii="仿宋_GB2312" w:hAnsi="仿宋" w:cs="宋体"/>
          <w:color w:val="333333"/>
          <w:sz w:val="32"/>
          <w:szCs w:val="32"/>
          <w:lang w:eastAsia="zh-CN"/>
        </w:rPr>
      </w:pPr>
      <w:r>
        <w:rPr>
          <w:rFonts w:hint="eastAsia" w:ascii="仿宋_GB2312" w:hAnsi="仿宋" w:cs="宋体"/>
          <w:color w:val="333333"/>
          <w:sz w:val="32"/>
          <w:szCs w:val="32"/>
          <w:lang w:val="en-US" w:eastAsia="zh-CN"/>
        </w:rPr>
        <w:t>存在的问题：</w:t>
      </w:r>
      <w:r>
        <w:rPr>
          <w:rFonts w:hint="eastAsia" w:ascii="仿宋_GB2312" w:hAnsi="仿宋" w:eastAsia="仿宋_GB2312" w:cs="宋体"/>
          <w:color w:val="333333"/>
          <w:sz w:val="32"/>
          <w:szCs w:val="32"/>
        </w:rPr>
        <w:t>参与绩效管理工作的人员经验不足，绩效管理水平有待提高，绩效管理意识进一步提高</w:t>
      </w:r>
      <w:r>
        <w:rPr>
          <w:rFonts w:hint="eastAsia" w:ascii="仿宋_GB2312" w:hAnsi="仿宋" w:cs="宋体"/>
          <w:color w:val="333333"/>
          <w:sz w:val="32"/>
          <w:szCs w:val="32"/>
          <w:lang w:eastAsia="zh-CN"/>
        </w:rPr>
        <w:t>。</w:t>
      </w:r>
    </w:p>
    <w:p w14:paraId="58A0DD96">
      <w:pPr>
        <w:ind w:firstLine="640" w:firstLineChars="200"/>
        <w:contextualSpacing/>
        <w:rPr>
          <w:rFonts w:hint="eastAsia" w:ascii="仿宋_GB2312" w:hAnsi="仿宋" w:eastAsia="仿宋_GB2312" w:cs="宋体"/>
          <w:color w:val="333333"/>
          <w:sz w:val="32"/>
          <w:szCs w:val="32"/>
          <w:lang w:val="en-US" w:eastAsia="zh-CN"/>
        </w:rPr>
      </w:pPr>
      <w:r>
        <w:rPr>
          <w:rFonts w:hint="eastAsia" w:ascii="仿宋_GB2312" w:hAnsi="仿宋" w:cs="宋体"/>
          <w:color w:val="333333"/>
          <w:sz w:val="32"/>
          <w:szCs w:val="32"/>
          <w:lang w:val="en-US" w:eastAsia="zh-CN"/>
        </w:rPr>
        <w:t>原因分析：</w:t>
      </w:r>
      <w:r>
        <w:rPr>
          <w:rFonts w:hint="eastAsia" w:ascii="仿宋_GB2312" w:hAnsi="仿宋" w:eastAsia="仿宋_GB2312" w:cs="宋体"/>
          <w:color w:val="333333"/>
          <w:sz w:val="32"/>
          <w:szCs w:val="32"/>
        </w:rPr>
        <w:t>按照财政支出绩效管理的要求，继续完善绩效评价的评价体系及工作流程，提高财政资金使用管理的水平和效率。</w:t>
      </w:r>
    </w:p>
    <w:bookmarkEnd w:id="12"/>
    <w:p w14:paraId="27E313EE">
      <w:pPr>
        <w:pStyle w:val="2"/>
        <w:spacing w:line="360" w:lineRule="auto"/>
        <w:rPr>
          <w:rFonts w:ascii="宋体" w:hAnsi="宋体" w:eastAsia="宋体"/>
          <w:sz w:val="32"/>
          <w:szCs w:val="32"/>
        </w:rPr>
      </w:pPr>
      <w:r>
        <w:rPr>
          <w:rFonts w:hint="eastAsia" w:ascii="宋体" w:hAnsi="宋体" w:eastAsia="宋体"/>
          <w:sz w:val="32"/>
          <w:szCs w:val="32"/>
        </w:rPr>
        <w:t>六、有关建议</w:t>
      </w:r>
    </w:p>
    <w:p w14:paraId="537FF54B">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1.多进行有关绩效管理工作方面的培训。积极组织第三方开展绩效管理工作培训，进一步夯实业务基础，提高我单位绩效人员水平。</w:t>
      </w:r>
    </w:p>
    <w:p w14:paraId="35EC00A5">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2.专门设定对绩效工作人员定职、定岗、定责等相关制度措施，进一步提升我单位绩效管理工作业务水平，扎实做好绩效管理工作。</w:t>
      </w:r>
    </w:p>
    <w:p w14:paraId="31852DF9">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7609FC1F"/>
    <w:p w14:paraId="30C8177A">
      <w:pPr>
        <w:pStyle w:val="2"/>
        <w:spacing w:line="360" w:lineRule="auto"/>
        <w:rPr>
          <w:rFonts w:ascii="宋体" w:hAnsi="宋体" w:eastAsia="宋体"/>
          <w:sz w:val="32"/>
          <w:szCs w:val="32"/>
        </w:rPr>
      </w:pPr>
      <w:bookmarkStart w:id="17" w:name="_Toc68703846"/>
      <w:r>
        <w:rPr>
          <w:rFonts w:hint="eastAsia" w:ascii="宋体" w:hAnsi="宋体" w:eastAsia="宋体"/>
          <w:sz w:val="32"/>
          <w:szCs w:val="32"/>
        </w:rPr>
        <w:t>七、其他需要说明的问题</w:t>
      </w:r>
      <w:bookmarkEnd w:id="17"/>
    </w:p>
    <w:p w14:paraId="14903C51">
      <w:pPr>
        <w:spacing w:line="560" w:lineRule="exact"/>
        <w:ind w:firstLine="640" w:firstLineChars="200"/>
        <w:jc w:val="left"/>
        <w:rPr>
          <w:rFonts w:ascii="仿宋_GB2312" w:hAnsi="仿宋" w:eastAsia="仿宋_GB2312" w:cs="宋体"/>
          <w:color w:val="333333"/>
          <w:sz w:val="32"/>
          <w:szCs w:val="32"/>
        </w:rPr>
      </w:pPr>
      <w:r>
        <w:rPr>
          <w:rFonts w:hint="eastAsia" w:ascii="仿宋_GB2312" w:hAnsi="仿宋" w:eastAsia="仿宋_GB2312" w:cs="宋体"/>
          <w:color w:val="333333"/>
          <w:sz w:val="32"/>
          <w:szCs w:val="32"/>
        </w:rPr>
        <w:t>本次预算绩效评价所采集的数据因为采集时间、数据来源等诸多因素的影响，可能会出现一定的偏差，进而对评价结果存在影响。</w:t>
      </w:r>
    </w:p>
    <w:p w14:paraId="01211DE8">
      <w:pPr>
        <w:ind w:firstLine="3900" w:firstLineChars="1300"/>
        <w:rPr>
          <w:rFonts w:ascii="仿宋_GB2312" w:hAnsi="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val="0"/>
          <w:bCs w:val="0"/>
          <w:color w:val="000000" w:themeColor="text1"/>
          <w:kern w:val="2"/>
          <w14:textFill>
            <w14:solidFill>
              <w14:schemeClr w14:val="tx1"/>
            </w14:solidFill>
          </w14:textFill>
        </w:rPr>
        <w:t xml:space="preserve">             </w:t>
      </w:r>
    </w:p>
    <w:p w14:paraId="35760777">
      <w:pPr>
        <w:spacing w:line="360" w:lineRule="auto"/>
      </w:pPr>
    </w:p>
    <w:p w14:paraId="7DA4CE64"/>
    <w:p w14:paraId="4A387101">
      <w:pPr>
        <w:pStyle w:val="2"/>
        <w:numPr>
          <w:ilvl w:val="0"/>
          <w:numId w:val="0"/>
        </w:numPr>
        <w:spacing w:line="360" w:lineRule="auto"/>
      </w:pPr>
    </w:p>
    <w:p w14:paraId="02150C0B"/>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DD6607E2-EA51-4B90-954E-B364A1C218E8}"/>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2" w:fontKey="{E9820FC9-41D4-4E6E-90E2-A15535123CAD}"/>
  </w:font>
  <w:font w:name="等线 Light">
    <w:panose1 w:val="02010600030101010101"/>
    <w:charset w:val="86"/>
    <w:family w:val="auto"/>
    <w:pitch w:val="default"/>
    <w:sig w:usb0="A00002BF" w:usb1="38CF7CFA" w:usb2="00000016" w:usb3="00000000" w:csb0="0004000F" w:csb1="00000000"/>
    <w:embedRegular r:id="rId3" w:fontKey="{82B9B74A-14B8-47BA-BD07-69EB14EB9D61}"/>
  </w:font>
  <w:font w:name="等线">
    <w:altName w:val="微软雅黑"/>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embedRegular r:id="rId4" w:fontKey="{F352B156-F545-4C6C-8C7B-B9FAE981BF0E}"/>
  </w:font>
  <w:font w:name="仿宋">
    <w:panose1 w:val="02010609060101010101"/>
    <w:charset w:val="86"/>
    <w:family w:val="auto"/>
    <w:pitch w:val="default"/>
    <w:sig w:usb0="800002BF" w:usb1="38CF7CFA" w:usb2="00000016" w:usb3="00000000" w:csb0="00040001" w:csb1="00000000"/>
    <w:embedRegular r:id="rId5" w:fontKey="{86121FCB-FD75-4B81-B6D0-397814479202}"/>
  </w:font>
  <w:font w:name="方正仿宋_GBK">
    <w:panose1 w:val="02000000000000000000"/>
    <w:charset w:val="86"/>
    <w:family w:val="script"/>
    <w:pitch w:val="default"/>
    <w:sig w:usb0="A00002BF" w:usb1="38CF7CFA" w:usb2="00082016" w:usb3="00000000" w:csb0="00040001" w:csb1="00000000"/>
    <w:embedRegular r:id="rId6" w:fontKey="{46A21672-97A0-4966-9A57-B72054E7F373}"/>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B28275"/>
    <w:multiLevelType w:val="singleLevel"/>
    <w:tmpl w:val="B7B28275"/>
    <w:lvl w:ilvl="0" w:tentative="0">
      <w:start w:val="2"/>
      <w:numFmt w:val="decimal"/>
      <w:suff w:val="nothing"/>
      <w:lvlText w:val="%1、"/>
      <w:lvlJc w:val="left"/>
    </w:lvl>
  </w:abstractNum>
  <w:abstractNum w:abstractNumId="1">
    <w:nsid w:val="C0A99DD2"/>
    <w:multiLevelType w:val="singleLevel"/>
    <w:tmpl w:val="C0A99DD2"/>
    <w:lvl w:ilvl="0" w:tentative="0">
      <w:start w:val="4"/>
      <w:numFmt w:val="decimal"/>
      <w:lvlText w:val="%1."/>
      <w:lvlJc w:val="left"/>
      <w:pPr>
        <w:tabs>
          <w:tab w:val="left" w:pos="312"/>
        </w:tabs>
      </w:pPr>
    </w:lvl>
  </w:abstractNum>
  <w:abstractNum w:abstractNumId="2">
    <w:nsid w:val="482BB0D6"/>
    <w:multiLevelType w:val="singleLevel"/>
    <w:tmpl w:val="482BB0D6"/>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ViMzQ5M2ZlYTk3N2UxYjU3MDlmMDQwNmI3MjNiYWI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256755B"/>
    <w:rsid w:val="03712397"/>
    <w:rsid w:val="038E748A"/>
    <w:rsid w:val="04243DB5"/>
    <w:rsid w:val="07C06CE8"/>
    <w:rsid w:val="0B6D5A98"/>
    <w:rsid w:val="0C1F37A4"/>
    <w:rsid w:val="10837C37"/>
    <w:rsid w:val="119200E9"/>
    <w:rsid w:val="15254FD1"/>
    <w:rsid w:val="15DA37C6"/>
    <w:rsid w:val="1B590390"/>
    <w:rsid w:val="1FE8583F"/>
    <w:rsid w:val="2732278A"/>
    <w:rsid w:val="2A353D77"/>
    <w:rsid w:val="2D1B777C"/>
    <w:rsid w:val="308A06CD"/>
    <w:rsid w:val="361866DA"/>
    <w:rsid w:val="3E87695A"/>
    <w:rsid w:val="3F3020FF"/>
    <w:rsid w:val="482A1495"/>
    <w:rsid w:val="4BA1775E"/>
    <w:rsid w:val="50830C96"/>
    <w:rsid w:val="5A8A6572"/>
    <w:rsid w:val="5FCF78A6"/>
    <w:rsid w:val="622575EA"/>
    <w:rsid w:val="638B28E8"/>
    <w:rsid w:val="676D06A5"/>
    <w:rsid w:val="6BE15816"/>
    <w:rsid w:val="6D066A39"/>
    <w:rsid w:val="72800ED4"/>
    <w:rsid w:val="746254A9"/>
    <w:rsid w:val="7E6B4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3"/>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4"/>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link w:val="17"/>
    <w:autoRedefine/>
    <w:unhideWhenUsed/>
    <w:qFormat/>
    <w:uiPriority w:val="99"/>
    <w:pPr>
      <w:tabs>
        <w:tab w:val="center" w:pos="4153"/>
        <w:tab w:val="right" w:pos="8306"/>
      </w:tabs>
      <w:snapToGrid w:val="0"/>
      <w:jc w:val="left"/>
    </w:pPr>
    <w:rPr>
      <w:sz w:val="18"/>
      <w:szCs w:val="18"/>
    </w:rPr>
  </w:style>
  <w:style w:type="paragraph" w:styleId="5">
    <w:name w:val="header"/>
    <w:basedOn w:val="1"/>
    <w:link w:val="1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7">
    <w:name w:val="footnote text"/>
    <w:basedOn w:val="1"/>
    <w:autoRedefine/>
    <w:qFormat/>
    <w:uiPriority w:val="0"/>
    <w:pPr>
      <w:snapToGrid w:val="0"/>
      <w:jc w:val="left"/>
    </w:pPr>
    <w:rPr>
      <w:sz w:val="18"/>
      <w:szCs w:val="18"/>
    </w:rPr>
  </w:style>
  <w:style w:type="paragraph" w:styleId="8">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9">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2">
    <w:name w:val="Hyperlink"/>
    <w:basedOn w:val="11"/>
    <w:autoRedefine/>
    <w:unhideWhenUsed/>
    <w:qFormat/>
    <w:uiPriority w:val="99"/>
    <w:rPr>
      <w:color w:val="0563C1" w:themeColor="hyperlink"/>
      <w:u w:val="single"/>
      <w14:textFill>
        <w14:solidFill>
          <w14:schemeClr w14:val="hlink"/>
        </w14:solidFill>
      </w14:textFill>
    </w:rPr>
  </w:style>
  <w:style w:type="character" w:customStyle="1" w:styleId="13">
    <w:name w:val="标题 1 字符"/>
    <w:basedOn w:val="11"/>
    <w:link w:val="2"/>
    <w:autoRedefine/>
    <w:qFormat/>
    <w:uiPriority w:val="9"/>
    <w:rPr>
      <w:rFonts w:ascii="Times New Roman" w:hAnsi="Times New Roman" w:eastAsia="仿宋_GB2312" w:cs="Times New Roman"/>
      <w:b/>
      <w:bCs/>
      <w:kern w:val="44"/>
      <w:sz w:val="44"/>
      <w:szCs w:val="44"/>
    </w:rPr>
  </w:style>
  <w:style w:type="character" w:customStyle="1" w:styleId="14">
    <w:name w:val="标题 2 字符"/>
    <w:basedOn w:val="11"/>
    <w:link w:val="3"/>
    <w:autoRedefine/>
    <w:qFormat/>
    <w:uiPriority w:val="9"/>
    <w:rPr>
      <w:rFonts w:asciiTheme="majorHAnsi" w:hAnsiTheme="majorHAnsi" w:eastAsiaTheme="majorEastAsia" w:cstheme="majorBidi"/>
      <w:b/>
      <w:bCs/>
      <w:sz w:val="32"/>
      <w:szCs w:val="32"/>
    </w:rPr>
  </w:style>
  <w:style w:type="paragraph" w:customStyle="1" w:styleId="15">
    <w:name w:val="TOC Heading"/>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字符"/>
    <w:basedOn w:val="11"/>
    <w:link w:val="5"/>
    <w:autoRedefine/>
    <w:qFormat/>
    <w:uiPriority w:val="99"/>
    <w:rPr>
      <w:rFonts w:ascii="Times New Roman" w:hAnsi="Times New Roman" w:eastAsia="仿宋_GB2312" w:cs="Times New Roman"/>
      <w:sz w:val="18"/>
      <w:szCs w:val="18"/>
    </w:rPr>
  </w:style>
  <w:style w:type="character" w:customStyle="1" w:styleId="17">
    <w:name w:val="页脚 字符"/>
    <w:basedOn w:val="11"/>
    <w:link w:val="4"/>
    <w:autoRedefine/>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1097</Words>
  <Characters>6259</Characters>
  <Lines>52</Lines>
  <Paragraphs>14</Paragraphs>
  <TotalTime>9</TotalTime>
  <ScaleCrop>false</ScaleCrop>
  <LinksUpToDate>false</LinksUpToDate>
  <CharactersWithSpaces>7342</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2025-02-07T06:02:33Z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C10A60A6D9144BF185A63F71A217C929_12</vt:lpwstr>
  </property>
</Properties>
</file>