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A03649">
      <w:pPr>
        <w:jc w:val="center"/>
        <w:rPr>
          <w:rFonts w:hint="default" w:ascii="Times New Roman" w:hAnsi="Times New Roman" w:eastAsia="宋体" w:cs="Times New Roman"/>
          <w:b/>
          <w:bCs/>
          <w:sz w:val="48"/>
          <w:szCs w:val="48"/>
        </w:rPr>
      </w:pPr>
    </w:p>
    <w:p w14:paraId="507D2E54">
      <w:pPr>
        <w:jc w:val="center"/>
        <w:rPr>
          <w:rFonts w:hint="default" w:ascii="Times New Roman" w:hAnsi="Times New Roman" w:eastAsia="宋体" w:cs="Times New Roman"/>
          <w:b/>
          <w:bCs/>
          <w:sz w:val="48"/>
          <w:szCs w:val="48"/>
        </w:rPr>
      </w:pPr>
    </w:p>
    <w:p w14:paraId="2297EBF5">
      <w:pPr>
        <w:jc w:val="center"/>
        <w:rPr>
          <w:rFonts w:hint="default" w:ascii="Times New Roman" w:hAnsi="Times New Roman" w:eastAsia="宋体" w:cs="Times New Roman"/>
          <w:b/>
          <w:bCs/>
          <w:sz w:val="48"/>
          <w:szCs w:val="48"/>
        </w:rPr>
      </w:pPr>
    </w:p>
    <w:p w14:paraId="5AE41712">
      <w:pPr>
        <w:jc w:val="center"/>
        <w:rPr>
          <w:rFonts w:hint="default" w:ascii="Times New Roman" w:hAnsi="Times New Roman" w:eastAsia="宋体" w:cs="Times New Roman"/>
          <w:b/>
          <w:bCs/>
          <w:sz w:val="52"/>
          <w:szCs w:val="52"/>
        </w:rPr>
      </w:pPr>
      <w:r>
        <w:rPr>
          <w:rFonts w:hint="default" w:ascii="Times New Roman" w:hAnsi="Times New Roman" w:eastAsia="宋体" w:cs="Times New Roman"/>
          <w:b/>
          <w:bCs/>
          <w:sz w:val="52"/>
          <w:szCs w:val="52"/>
        </w:rPr>
        <w:t>项目支出绩效评价报告</w:t>
      </w:r>
    </w:p>
    <w:p w14:paraId="2563CFBE">
      <w:pPr>
        <w:jc w:val="center"/>
        <w:rPr>
          <w:rFonts w:hint="default" w:ascii="Times New Roman" w:hAnsi="Times New Roman" w:eastAsia="宋体" w:cs="Times New Roman"/>
          <w:b/>
          <w:bCs/>
          <w:sz w:val="48"/>
          <w:szCs w:val="48"/>
        </w:rPr>
      </w:pPr>
    </w:p>
    <w:p w14:paraId="4E720782">
      <w:pPr>
        <w:widowControl/>
        <w:spacing w:line="560" w:lineRule="exact"/>
        <w:jc w:val="center"/>
        <w:rPr>
          <w:rFonts w:hint="default" w:ascii="Times New Roman" w:hAnsi="Times New Roman" w:cs="Times New Roman"/>
          <w:b/>
          <w:kern w:val="0"/>
          <w:sz w:val="50"/>
          <w:szCs w:val="50"/>
          <w:lang w:bidi="en-US"/>
        </w:rPr>
      </w:pPr>
      <w:r>
        <w:rPr>
          <w:rFonts w:hint="default" w:ascii="Times New Roman" w:hAnsi="Times New Roman" w:eastAsia="方正小标宋简体" w:cs="Times New Roman"/>
          <w:color w:val="000000"/>
          <w:kern w:val="0"/>
          <w:sz w:val="36"/>
          <w:szCs w:val="36"/>
        </w:rPr>
        <w:t>（202</w:t>
      </w:r>
      <w:r>
        <w:rPr>
          <w:rFonts w:hint="default" w:ascii="Times New Roman" w:hAnsi="Times New Roman" w:eastAsia="方正小标宋简体" w:cs="Times New Roman"/>
          <w:color w:val="000000"/>
          <w:kern w:val="0"/>
          <w:sz w:val="36"/>
          <w:szCs w:val="36"/>
          <w:lang w:val="en-US" w:eastAsia="zh-CN"/>
        </w:rPr>
        <w:t>3</w:t>
      </w:r>
      <w:r>
        <w:rPr>
          <w:rFonts w:hint="default" w:ascii="Times New Roman" w:hAnsi="Times New Roman" w:eastAsia="方正小标宋简体" w:cs="Times New Roman"/>
          <w:color w:val="000000"/>
          <w:kern w:val="0"/>
          <w:sz w:val="36"/>
          <w:szCs w:val="36"/>
        </w:rPr>
        <w:t>年度）</w:t>
      </w:r>
    </w:p>
    <w:p w14:paraId="0FE27F1E">
      <w:pPr>
        <w:spacing w:line="480" w:lineRule="auto"/>
        <w:jc w:val="center"/>
        <w:rPr>
          <w:rFonts w:hint="default" w:ascii="Times New Roman" w:hAnsi="Times New Roman" w:cs="Times New Roman"/>
          <w:b/>
          <w:kern w:val="0"/>
          <w:sz w:val="50"/>
          <w:szCs w:val="50"/>
          <w:lang w:bidi="en-US"/>
        </w:rPr>
      </w:pPr>
    </w:p>
    <w:p w14:paraId="2CB56FEA">
      <w:pPr>
        <w:spacing w:line="480" w:lineRule="auto"/>
        <w:jc w:val="center"/>
        <w:rPr>
          <w:rFonts w:hint="default" w:ascii="Times New Roman" w:hAnsi="Times New Roman" w:cs="Times New Roman"/>
          <w:b/>
          <w:kern w:val="0"/>
          <w:sz w:val="50"/>
          <w:szCs w:val="50"/>
          <w:lang w:bidi="en-US"/>
        </w:rPr>
      </w:pPr>
    </w:p>
    <w:p w14:paraId="14EBBF72">
      <w:pPr>
        <w:spacing w:line="480" w:lineRule="auto"/>
        <w:jc w:val="center"/>
        <w:rPr>
          <w:rFonts w:hint="default" w:ascii="Times New Roman" w:hAnsi="Times New Roman" w:cs="Times New Roman"/>
          <w:b/>
          <w:kern w:val="0"/>
          <w:sz w:val="50"/>
          <w:szCs w:val="50"/>
          <w:lang w:bidi="en-US"/>
        </w:rPr>
      </w:pPr>
    </w:p>
    <w:p w14:paraId="32B9D1CD">
      <w:pPr>
        <w:pStyle w:val="2"/>
        <w:rPr>
          <w:rFonts w:hint="default"/>
        </w:rPr>
      </w:pPr>
    </w:p>
    <w:p w14:paraId="39D0FBA0">
      <w:pPr>
        <w:spacing w:line="480" w:lineRule="auto"/>
        <w:jc w:val="center"/>
        <w:rPr>
          <w:rFonts w:hint="default" w:ascii="Times New Roman" w:hAnsi="Times New Roman" w:cs="Times New Roman"/>
          <w:b/>
          <w:kern w:val="0"/>
          <w:sz w:val="50"/>
          <w:szCs w:val="50"/>
          <w:lang w:bidi="en-US"/>
        </w:rPr>
      </w:pPr>
    </w:p>
    <w:p w14:paraId="1E0D494B">
      <w:pPr>
        <w:spacing w:line="480" w:lineRule="auto"/>
        <w:jc w:val="center"/>
        <w:rPr>
          <w:rFonts w:hint="default" w:ascii="Times New Roman" w:hAnsi="Times New Roman" w:cs="Times New Roman"/>
          <w:b/>
          <w:kern w:val="0"/>
          <w:sz w:val="50"/>
          <w:szCs w:val="50"/>
          <w:lang w:bidi="en-US"/>
        </w:rPr>
      </w:pPr>
    </w:p>
    <w:p w14:paraId="58B89EDD">
      <w:pPr>
        <w:spacing w:line="560" w:lineRule="exact"/>
        <w:ind w:firstLine="321" w:firstLineChars="100"/>
        <w:rPr>
          <w:rFonts w:hint="default" w:ascii="Times New Roman" w:hAnsi="Times New Roman" w:eastAsia="宋体" w:cs="Times New Roman"/>
          <w:kern w:val="0"/>
          <w:sz w:val="32"/>
          <w:szCs w:val="32"/>
        </w:rPr>
      </w:pPr>
      <w:r>
        <w:rPr>
          <w:rFonts w:hint="default" w:ascii="Times New Roman" w:hAnsi="Times New Roman" w:eastAsia="宋体" w:cs="Times New Roman"/>
          <w:b/>
          <w:bCs/>
          <w:color w:val="000000"/>
          <w:kern w:val="0"/>
          <w:sz w:val="32"/>
          <w:szCs w:val="32"/>
        </w:rPr>
        <w:t>项目名称：</w:t>
      </w:r>
      <w:r>
        <w:rPr>
          <w:rFonts w:hint="default" w:ascii="Times New Roman" w:hAnsi="Times New Roman" w:eastAsia="宋体" w:cs="Times New Roman"/>
          <w:kern w:val="0"/>
          <w:sz w:val="32"/>
          <w:szCs w:val="32"/>
        </w:rPr>
        <w:t xml:space="preserve"> 2023年农产品调查经费</w:t>
      </w:r>
    </w:p>
    <w:p w14:paraId="7C105290">
      <w:pPr>
        <w:spacing w:line="560" w:lineRule="exact"/>
        <w:ind w:firstLine="321" w:firstLineChars="100"/>
        <w:rPr>
          <w:rFonts w:hint="default" w:ascii="Times New Roman" w:hAnsi="Times New Roman" w:eastAsia="宋体" w:cs="Times New Roman"/>
          <w:kern w:val="0"/>
          <w:sz w:val="32"/>
          <w:szCs w:val="32"/>
          <w:lang w:val="en-US" w:eastAsia="zh-CN"/>
        </w:rPr>
      </w:pPr>
      <w:r>
        <w:rPr>
          <w:rFonts w:hint="default" w:ascii="Times New Roman" w:hAnsi="Times New Roman" w:eastAsia="宋体" w:cs="Times New Roman"/>
          <w:b/>
          <w:bCs/>
          <w:color w:val="000000"/>
          <w:kern w:val="0"/>
          <w:sz w:val="32"/>
          <w:szCs w:val="32"/>
        </w:rPr>
        <w:t>实施单位（公章）：</w:t>
      </w:r>
      <w:r>
        <w:rPr>
          <w:rFonts w:hint="default" w:ascii="Times New Roman" w:hAnsi="Times New Roman" w:eastAsia="宋体" w:cs="Times New Roman"/>
          <w:kern w:val="0"/>
          <w:sz w:val="32"/>
          <w:szCs w:val="32"/>
        </w:rPr>
        <w:t xml:space="preserve"> </w:t>
      </w:r>
      <w:r>
        <w:rPr>
          <w:rFonts w:hint="default" w:ascii="Times New Roman" w:hAnsi="Times New Roman" w:eastAsia="宋体" w:cs="Times New Roman"/>
          <w:kern w:val="0"/>
          <w:sz w:val="32"/>
          <w:szCs w:val="32"/>
          <w:lang w:val="en-US" w:eastAsia="zh-CN"/>
        </w:rPr>
        <w:t>焉耆回族自治县发展和改革委员会</w:t>
      </w:r>
    </w:p>
    <w:p w14:paraId="25A5942B">
      <w:pPr>
        <w:spacing w:line="560" w:lineRule="exact"/>
        <w:ind w:firstLine="321" w:firstLineChars="100"/>
        <w:rPr>
          <w:rFonts w:hint="default" w:ascii="Times New Roman" w:hAnsi="Times New Roman" w:eastAsia="宋体" w:cs="Times New Roman"/>
          <w:kern w:val="0"/>
          <w:sz w:val="32"/>
          <w:szCs w:val="32"/>
        </w:rPr>
      </w:pPr>
      <w:r>
        <w:rPr>
          <w:rFonts w:hint="default" w:ascii="Times New Roman" w:hAnsi="Times New Roman" w:eastAsia="宋体" w:cs="Times New Roman"/>
          <w:b/>
          <w:bCs/>
          <w:color w:val="000000"/>
          <w:kern w:val="0"/>
          <w:sz w:val="32"/>
          <w:szCs w:val="32"/>
        </w:rPr>
        <w:t>主管部门（公章）：</w:t>
      </w:r>
      <w:r>
        <w:rPr>
          <w:rFonts w:hint="default" w:ascii="Times New Roman" w:hAnsi="Times New Roman" w:eastAsia="宋体" w:cs="Times New Roman"/>
          <w:kern w:val="0"/>
          <w:sz w:val="32"/>
          <w:szCs w:val="32"/>
        </w:rPr>
        <w:t xml:space="preserve"> </w:t>
      </w:r>
      <w:r>
        <w:rPr>
          <w:rFonts w:hint="default" w:ascii="Times New Roman" w:hAnsi="Times New Roman" w:eastAsia="宋体" w:cs="Times New Roman"/>
          <w:kern w:val="0"/>
          <w:sz w:val="32"/>
          <w:szCs w:val="32"/>
          <w:lang w:val="en-US" w:eastAsia="zh-CN"/>
        </w:rPr>
        <w:t>焉耆回族自治县发展和改革委员会</w:t>
      </w:r>
    </w:p>
    <w:p w14:paraId="746BEB5E">
      <w:pPr>
        <w:spacing w:line="560" w:lineRule="exact"/>
        <w:ind w:firstLine="321" w:firstLineChars="100"/>
        <w:rPr>
          <w:rFonts w:hint="default" w:ascii="Times New Roman" w:hAnsi="Times New Roman" w:eastAsia="宋体" w:cs="Times New Roman"/>
          <w:kern w:val="0"/>
          <w:sz w:val="32"/>
          <w:szCs w:val="32"/>
          <w:lang w:val="en-US" w:eastAsia="zh-CN"/>
        </w:rPr>
      </w:pPr>
      <w:r>
        <w:rPr>
          <w:rFonts w:hint="default" w:ascii="Times New Roman" w:hAnsi="Times New Roman" w:eastAsia="宋体" w:cs="Times New Roman"/>
          <w:b/>
          <w:bCs/>
          <w:color w:val="000000"/>
          <w:kern w:val="0"/>
          <w:sz w:val="32"/>
          <w:szCs w:val="32"/>
        </w:rPr>
        <w:t>项目负责人（签章）：</w:t>
      </w:r>
      <w:r>
        <w:rPr>
          <w:rFonts w:hint="default" w:ascii="Times New Roman" w:hAnsi="Times New Roman" w:eastAsia="宋体" w:cs="Times New Roman"/>
          <w:kern w:val="0"/>
          <w:sz w:val="32"/>
          <w:szCs w:val="32"/>
        </w:rPr>
        <w:t xml:space="preserve"> </w:t>
      </w:r>
      <w:r>
        <w:rPr>
          <w:rFonts w:hint="default" w:ascii="Times New Roman" w:hAnsi="Times New Roman" w:eastAsia="宋体" w:cs="Times New Roman"/>
          <w:kern w:val="0"/>
          <w:sz w:val="32"/>
          <w:szCs w:val="32"/>
          <w:lang w:val="en-US" w:eastAsia="zh-CN"/>
        </w:rPr>
        <w:t>蒋海建</w:t>
      </w:r>
    </w:p>
    <w:p w14:paraId="779640E5">
      <w:pPr>
        <w:spacing w:line="560" w:lineRule="exact"/>
        <w:ind w:firstLine="321" w:firstLineChars="100"/>
        <w:rPr>
          <w:rFonts w:hint="default" w:ascii="Times New Roman" w:hAnsi="Times New Roman" w:eastAsia="宋体" w:cs="Times New Roman"/>
          <w:color w:val="000000"/>
          <w:kern w:val="0"/>
          <w:sz w:val="32"/>
          <w:szCs w:val="32"/>
        </w:rPr>
      </w:pPr>
      <w:r>
        <w:rPr>
          <w:rFonts w:hint="default" w:ascii="Times New Roman" w:hAnsi="Times New Roman" w:eastAsia="宋体" w:cs="Times New Roman"/>
          <w:b/>
          <w:bCs/>
          <w:color w:val="000000"/>
          <w:kern w:val="0"/>
          <w:sz w:val="32"/>
          <w:szCs w:val="32"/>
        </w:rPr>
        <w:t>填报时间：</w:t>
      </w:r>
      <w:r>
        <w:rPr>
          <w:rFonts w:hint="default" w:ascii="Times New Roman" w:hAnsi="Times New Roman" w:eastAsia="宋体" w:cs="Times New Roman"/>
          <w:color w:val="000000"/>
          <w:kern w:val="0"/>
          <w:sz w:val="32"/>
          <w:szCs w:val="32"/>
        </w:rPr>
        <w:t>202</w:t>
      </w:r>
      <w:r>
        <w:rPr>
          <w:rFonts w:hint="default" w:ascii="Times New Roman" w:hAnsi="Times New Roman" w:eastAsia="宋体" w:cs="Times New Roman"/>
          <w:color w:val="000000"/>
          <w:kern w:val="0"/>
          <w:sz w:val="32"/>
          <w:szCs w:val="32"/>
          <w:lang w:val="en-US" w:eastAsia="zh-CN"/>
        </w:rPr>
        <w:t>4</w:t>
      </w:r>
      <w:r>
        <w:rPr>
          <w:rFonts w:hint="default" w:ascii="Times New Roman" w:hAnsi="Times New Roman" w:eastAsia="宋体" w:cs="Times New Roman"/>
          <w:color w:val="000000"/>
          <w:kern w:val="0"/>
          <w:sz w:val="32"/>
          <w:szCs w:val="32"/>
        </w:rPr>
        <w:t>年04月20日</w:t>
      </w:r>
    </w:p>
    <w:p w14:paraId="2A5E2F1B">
      <w:pPr>
        <w:widowControl/>
        <w:jc w:val="left"/>
        <w:rPr>
          <w:rFonts w:hint="default" w:ascii="Times New Roman" w:hAnsi="Times New Roman" w:eastAsia="宋体" w:cs="Times New Roman"/>
          <w:b/>
          <w:bCs/>
          <w:sz w:val="36"/>
          <w:szCs w:val="36"/>
        </w:rPr>
      </w:pPr>
      <w:r>
        <w:rPr>
          <w:rFonts w:hint="default" w:ascii="Times New Roman" w:hAnsi="Times New Roman" w:eastAsia="宋体" w:cs="Times New Roman"/>
          <w:b/>
          <w:bCs/>
          <w:sz w:val="36"/>
          <w:szCs w:val="36"/>
        </w:rPr>
        <w:br w:type="page"/>
      </w:r>
    </w:p>
    <w:sdt>
      <w:sdtPr>
        <w:rPr>
          <w:rFonts w:hint="default" w:ascii="Times New Roman" w:hAnsi="Times New Roman" w:eastAsia="仿宋_GB2312" w:cs="Times New Roman"/>
          <w:color w:val="auto"/>
          <w:kern w:val="2"/>
          <w:sz w:val="30"/>
          <w:szCs w:val="24"/>
          <w:lang w:val="zh-CN"/>
        </w:rPr>
        <w:id w:val="-514851075"/>
        <w:docPartObj>
          <w:docPartGallery w:val="Table of Contents"/>
          <w:docPartUnique/>
        </w:docPartObj>
      </w:sdtPr>
      <w:sdtEndPr>
        <w:rPr>
          <w:rFonts w:hint="default" w:ascii="Times New Roman" w:hAnsi="Times New Roman" w:eastAsia="仿宋_GB2312" w:cs="Times New Roman"/>
          <w:b/>
          <w:bCs/>
          <w:color w:val="auto"/>
          <w:kern w:val="2"/>
          <w:sz w:val="30"/>
          <w:szCs w:val="24"/>
          <w:lang w:val="zh-CN"/>
        </w:rPr>
      </w:sdtEndPr>
      <w:sdtContent>
        <w:p w14:paraId="7213E0E7">
          <w:pPr>
            <w:pStyle w:val="17"/>
            <w:jc w:val="center"/>
            <w:rPr>
              <w:rFonts w:hint="default" w:ascii="Times New Roman" w:hAnsi="Times New Roman" w:eastAsia="宋体" w:cs="Times New Roman"/>
              <w:b/>
              <w:bCs/>
              <w:color w:val="auto"/>
              <w:lang w:val="zh-CN"/>
            </w:rPr>
          </w:pPr>
          <w:r>
            <w:rPr>
              <w:rFonts w:hint="default" w:ascii="Times New Roman" w:hAnsi="Times New Roman" w:eastAsia="宋体" w:cs="Times New Roman"/>
              <w:b/>
              <w:bCs/>
              <w:color w:val="auto"/>
              <w:lang w:val="zh-CN"/>
            </w:rPr>
            <w:t>目录</w:t>
          </w:r>
        </w:p>
        <w:p w14:paraId="71432C06">
          <w:pPr>
            <w:pStyle w:val="8"/>
            <w:tabs>
              <w:tab w:val="right" w:leader="dot" w:pos="8834"/>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TOC \o "1-3" \h \z \u </w:instrText>
          </w:r>
          <w:r>
            <w:rPr>
              <w:rFonts w:hint="default" w:ascii="Times New Roman" w:hAnsi="Times New Roman" w:cs="Times New Roman"/>
            </w:rPr>
            <w:fldChar w:fldCharType="separate"/>
          </w:r>
          <w:r>
            <w:rPr>
              <w:rFonts w:hint="default" w:ascii="Times New Roman" w:hAnsi="Times New Roman" w:cs="Times New Roman"/>
            </w:rPr>
            <w:fldChar w:fldCharType="begin"/>
          </w:r>
          <w:r>
            <w:rPr>
              <w:rFonts w:hint="default" w:ascii="Times New Roman" w:hAnsi="Times New Roman" w:cs="Times New Roman"/>
            </w:rPr>
            <w:instrText xml:space="preserve"> HYPERLINK \l "_Toc68703827" </w:instrText>
          </w:r>
          <w:r>
            <w:rPr>
              <w:rFonts w:hint="default" w:ascii="Times New Roman" w:hAnsi="Times New Roman" w:cs="Times New Roman"/>
            </w:rPr>
            <w:fldChar w:fldCharType="separate"/>
          </w:r>
          <w:r>
            <w:rPr>
              <w:rStyle w:val="14"/>
              <w:rFonts w:hint="default" w:ascii="Times New Roman" w:hAnsi="Times New Roman" w:eastAsia="宋体" w:cs="Times New Roman"/>
            </w:rPr>
            <w:t>一、基本情况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_Toc68703827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14:paraId="17EF57E9">
          <w:pPr>
            <w:pStyle w:val="10"/>
            <w:tabs>
              <w:tab w:val="right" w:leader="dot" w:pos="8834"/>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"_Toc68703828" </w:instrText>
          </w:r>
          <w:r>
            <w:rPr>
              <w:rFonts w:hint="default" w:ascii="Times New Roman" w:hAnsi="Times New Roman" w:cs="Times New Roman"/>
            </w:rPr>
            <w:fldChar w:fldCharType="separate"/>
          </w:r>
          <w:r>
            <w:rPr>
              <w:rStyle w:val="14"/>
              <w:rFonts w:hint="default" w:ascii="Times New Roman" w:hAnsi="Times New Roman" w:eastAsia="仿宋_GB2312" w:cs="Times New Roman"/>
            </w:rPr>
            <w:t>（一）项目概况。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_Toc68703828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14:paraId="11B5204E">
          <w:pPr>
            <w:pStyle w:val="10"/>
            <w:tabs>
              <w:tab w:val="right" w:leader="dot" w:pos="8834"/>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"_Toc68703829" </w:instrText>
          </w:r>
          <w:r>
            <w:rPr>
              <w:rFonts w:hint="default" w:ascii="Times New Roman" w:hAnsi="Times New Roman" w:cs="Times New Roman"/>
            </w:rPr>
            <w:fldChar w:fldCharType="separate"/>
          </w:r>
          <w:r>
            <w:rPr>
              <w:rStyle w:val="14"/>
              <w:rFonts w:hint="default" w:ascii="Times New Roman" w:hAnsi="Times New Roman" w:eastAsia="仿宋_GB2312" w:cs="Times New Roman"/>
            </w:rPr>
            <w:t>（二）项目绩效目标。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_Toc68703829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rPr>
            <w:fldChar w:fldCharType="end"/>
          </w:r>
        </w:p>
        <w:p w14:paraId="277A14D8">
          <w:pPr>
            <w:pStyle w:val="8"/>
            <w:tabs>
              <w:tab w:val="right" w:leader="dot" w:pos="8834"/>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"_Toc68703830" </w:instrText>
          </w:r>
          <w:r>
            <w:rPr>
              <w:rFonts w:hint="default" w:ascii="Times New Roman" w:hAnsi="Times New Roman" w:cs="Times New Roman"/>
            </w:rPr>
            <w:fldChar w:fldCharType="separate"/>
          </w:r>
          <w:r>
            <w:rPr>
              <w:rStyle w:val="14"/>
              <w:rFonts w:hint="default" w:ascii="Times New Roman" w:hAnsi="Times New Roman" w:eastAsia="宋体" w:cs="Times New Roman"/>
            </w:rPr>
            <w:t>二、绩效评价工作开展情况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_Toc68703830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rPr>
            <w:fldChar w:fldCharType="end"/>
          </w:r>
        </w:p>
        <w:p w14:paraId="48A85BFC">
          <w:pPr>
            <w:pStyle w:val="10"/>
            <w:tabs>
              <w:tab w:val="right" w:leader="dot" w:pos="8834"/>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"_Toc68703831" </w:instrText>
          </w:r>
          <w:r>
            <w:rPr>
              <w:rFonts w:hint="default" w:ascii="Times New Roman" w:hAnsi="Times New Roman" w:cs="Times New Roman"/>
            </w:rPr>
            <w:fldChar w:fldCharType="separate"/>
          </w:r>
          <w:r>
            <w:rPr>
              <w:rStyle w:val="14"/>
              <w:rFonts w:hint="default" w:ascii="Times New Roman" w:hAnsi="Times New Roman" w:eastAsia="仿宋_GB2312" w:cs="Times New Roman"/>
            </w:rPr>
            <w:t>（一）绩效评价目的、对象和范围。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_Toc68703831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rPr>
            <w:fldChar w:fldCharType="end"/>
          </w:r>
        </w:p>
        <w:p w14:paraId="24E791D5">
          <w:pPr>
            <w:pStyle w:val="10"/>
            <w:tabs>
              <w:tab w:val="right" w:leader="dot" w:pos="8834"/>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"_Toc68703832" </w:instrText>
          </w:r>
          <w:r>
            <w:rPr>
              <w:rFonts w:hint="default" w:ascii="Times New Roman" w:hAnsi="Times New Roman" w:cs="Times New Roman"/>
            </w:rPr>
            <w:fldChar w:fldCharType="separate"/>
          </w:r>
          <w:r>
            <w:rPr>
              <w:rStyle w:val="14"/>
              <w:rFonts w:hint="default" w:ascii="Times New Roman" w:hAnsi="Times New Roman" w:eastAsia="仿宋_GB2312" w:cs="Times New Roman"/>
            </w:rPr>
            <w:t>（二）绩效评价原则、评价指标体系、评价方法、评价标准等。</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_Toc68703832 \h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r>
            <w:rPr>
              <w:rFonts w:hint="default" w:ascii="Times New Roman" w:hAnsi="Times New Roman" w:cs="Times New Roman"/>
            </w:rPr>
            <w:fldChar w:fldCharType="end"/>
          </w:r>
        </w:p>
        <w:p w14:paraId="20027131">
          <w:pPr>
            <w:pStyle w:val="10"/>
            <w:tabs>
              <w:tab w:val="right" w:leader="dot" w:pos="8834"/>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"_Toc68703833" </w:instrText>
          </w:r>
          <w:r>
            <w:rPr>
              <w:rFonts w:hint="default" w:ascii="Times New Roman" w:hAnsi="Times New Roman" w:cs="Times New Roman"/>
            </w:rPr>
            <w:fldChar w:fldCharType="separate"/>
          </w:r>
          <w:r>
            <w:rPr>
              <w:rStyle w:val="14"/>
              <w:rFonts w:hint="default" w:ascii="Times New Roman" w:hAnsi="Times New Roman" w:eastAsia="仿宋_GB2312" w:cs="Times New Roman"/>
            </w:rPr>
            <w:t>（三）绩效评价工作过程。</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_Toc68703833 \h </w:instrText>
          </w:r>
          <w:r>
            <w:rPr>
              <w:rFonts w:hint="default" w:ascii="Times New Roman" w:hAnsi="Times New Roman" w:cs="Times New Roman"/>
            </w:rPr>
            <w:fldChar w:fldCharType="separate"/>
          </w:r>
          <w:r>
            <w:rPr>
              <w:rFonts w:hint="default" w:ascii="Times New Roman" w:hAnsi="Times New Roman" w:cs="Times New Roman"/>
            </w:rPr>
            <w:t>9</w:t>
          </w:r>
          <w:r>
            <w:rPr>
              <w:rFonts w:hint="default" w:ascii="Times New Roman" w:hAnsi="Times New Roman" w:cs="Times New Roman"/>
            </w:rPr>
            <w:fldChar w:fldCharType="end"/>
          </w:r>
          <w:r>
            <w:rPr>
              <w:rFonts w:hint="default" w:ascii="Times New Roman" w:hAnsi="Times New Roman" w:cs="Times New Roman"/>
            </w:rPr>
            <w:fldChar w:fldCharType="end"/>
          </w:r>
        </w:p>
        <w:p w14:paraId="5D5EA0BA">
          <w:pPr>
            <w:pStyle w:val="8"/>
            <w:tabs>
              <w:tab w:val="right" w:leader="dot" w:pos="8834"/>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"_Toc68703834" </w:instrText>
          </w:r>
          <w:r>
            <w:rPr>
              <w:rFonts w:hint="default" w:ascii="Times New Roman" w:hAnsi="Times New Roman" w:cs="Times New Roman"/>
            </w:rPr>
            <w:fldChar w:fldCharType="separate"/>
          </w:r>
          <w:r>
            <w:rPr>
              <w:rStyle w:val="14"/>
              <w:rFonts w:hint="default" w:ascii="Times New Roman" w:hAnsi="Times New Roman" w:eastAsia="宋体" w:cs="Times New Roman"/>
            </w:rPr>
            <w:t>三、综合评价情况及评价结论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_Toc68703834 \h </w:instrText>
          </w:r>
          <w:r>
            <w:rPr>
              <w:rFonts w:hint="default" w:ascii="Times New Roman" w:hAnsi="Times New Roman" w:cs="Times New Roman"/>
            </w:rPr>
            <w:fldChar w:fldCharType="separate"/>
          </w:r>
          <w:r>
            <w:rPr>
              <w:rFonts w:hint="default" w:ascii="Times New Roman" w:hAnsi="Times New Roman" w:cs="Times New Roman"/>
            </w:rPr>
            <w:t>10</w:t>
          </w:r>
          <w:r>
            <w:rPr>
              <w:rFonts w:hint="default" w:ascii="Times New Roman" w:hAnsi="Times New Roman" w:cs="Times New Roman"/>
            </w:rPr>
            <w:fldChar w:fldCharType="end"/>
          </w:r>
          <w:r>
            <w:rPr>
              <w:rFonts w:hint="default" w:ascii="Times New Roman" w:hAnsi="Times New Roman" w:cs="Times New Roman"/>
            </w:rPr>
            <w:fldChar w:fldCharType="end"/>
          </w:r>
        </w:p>
        <w:p w14:paraId="052EE50B">
          <w:pPr>
            <w:pStyle w:val="10"/>
            <w:tabs>
              <w:tab w:val="right" w:leader="dot" w:pos="8834"/>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"_Toc68703835" </w:instrText>
          </w:r>
          <w:r>
            <w:rPr>
              <w:rFonts w:hint="default" w:ascii="Times New Roman" w:hAnsi="Times New Roman" w:cs="Times New Roman"/>
            </w:rPr>
            <w:fldChar w:fldCharType="separate"/>
          </w:r>
          <w:r>
            <w:rPr>
              <w:rStyle w:val="14"/>
              <w:rFonts w:hint="default" w:ascii="Times New Roman" w:hAnsi="Times New Roman" w:eastAsia="仿宋_GB2312" w:cs="Times New Roman"/>
            </w:rPr>
            <w:t>（一）综合评价情况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_Toc68703835 \h </w:instrText>
          </w:r>
          <w:r>
            <w:rPr>
              <w:rFonts w:hint="default" w:ascii="Times New Roman" w:hAnsi="Times New Roman" w:cs="Times New Roman"/>
            </w:rPr>
            <w:fldChar w:fldCharType="separate"/>
          </w:r>
          <w:r>
            <w:rPr>
              <w:rFonts w:hint="default" w:ascii="Times New Roman" w:hAnsi="Times New Roman" w:cs="Times New Roman"/>
            </w:rPr>
            <w:t>10</w:t>
          </w:r>
          <w:r>
            <w:rPr>
              <w:rFonts w:hint="default" w:ascii="Times New Roman" w:hAnsi="Times New Roman" w:cs="Times New Roman"/>
            </w:rPr>
            <w:fldChar w:fldCharType="end"/>
          </w:r>
          <w:r>
            <w:rPr>
              <w:rFonts w:hint="default" w:ascii="Times New Roman" w:hAnsi="Times New Roman" w:cs="Times New Roman"/>
            </w:rPr>
            <w:fldChar w:fldCharType="end"/>
          </w:r>
        </w:p>
        <w:p w14:paraId="1E0F0DBF">
          <w:pPr>
            <w:pStyle w:val="10"/>
            <w:tabs>
              <w:tab w:val="right" w:leader="dot" w:pos="8834"/>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"_Toc68703836" </w:instrText>
          </w:r>
          <w:r>
            <w:rPr>
              <w:rFonts w:hint="default" w:ascii="Times New Roman" w:hAnsi="Times New Roman" w:cs="Times New Roman"/>
            </w:rPr>
            <w:fldChar w:fldCharType="separate"/>
          </w:r>
          <w:r>
            <w:rPr>
              <w:rStyle w:val="14"/>
              <w:rFonts w:hint="default" w:ascii="Times New Roman" w:hAnsi="Times New Roman" w:eastAsia="仿宋_GB2312" w:cs="Times New Roman"/>
            </w:rPr>
            <w:t>（二）评价结论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_Toc68703836 \h </w:instrText>
          </w:r>
          <w:r>
            <w:rPr>
              <w:rFonts w:hint="default" w:ascii="Times New Roman" w:hAnsi="Times New Roman" w:cs="Times New Roman"/>
            </w:rPr>
            <w:fldChar w:fldCharType="separate"/>
          </w:r>
          <w:r>
            <w:rPr>
              <w:rFonts w:hint="default" w:ascii="Times New Roman" w:hAnsi="Times New Roman" w:cs="Times New Roman"/>
            </w:rPr>
            <w:t>11</w:t>
          </w:r>
          <w:r>
            <w:rPr>
              <w:rFonts w:hint="default" w:ascii="Times New Roman" w:hAnsi="Times New Roman" w:cs="Times New Roman"/>
            </w:rPr>
            <w:fldChar w:fldCharType="end"/>
          </w:r>
          <w:r>
            <w:rPr>
              <w:rFonts w:hint="default" w:ascii="Times New Roman" w:hAnsi="Times New Roman" w:cs="Times New Roman"/>
            </w:rPr>
            <w:fldChar w:fldCharType="end"/>
          </w:r>
        </w:p>
        <w:p w14:paraId="11D0E3B0">
          <w:pPr>
            <w:pStyle w:val="8"/>
            <w:tabs>
              <w:tab w:val="right" w:leader="dot" w:pos="8834"/>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"_Toc68703837" </w:instrText>
          </w:r>
          <w:r>
            <w:rPr>
              <w:rFonts w:hint="default" w:ascii="Times New Roman" w:hAnsi="Times New Roman" w:cs="Times New Roman"/>
            </w:rPr>
            <w:fldChar w:fldCharType="separate"/>
          </w:r>
          <w:r>
            <w:rPr>
              <w:rStyle w:val="14"/>
              <w:rFonts w:hint="default" w:ascii="Times New Roman" w:hAnsi="Times New Roman" w:eastAsia="宋体" w:cs="Times New Roman"/>
            </w:rPr>
            <w:t>四、绩效评价指标分析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_Toc68703837 \h </w:instrText>
          </w:r>
          <w:r>
            <w:rPr>
              <w:rFonts w:hint="default" w:ascii="Times New Roman" w:hAnsi="Times New Roman" w:cs="Times New Roman"/>
            </w:rPr>
            <w:fldChar w:fldCharType="separate"/>
          </w:r>
          <w:r>
            <w:rPr>
              <w:rFonts w:hint="default" w:ascii="Times New Roman" w:hAnsi="Times New Roman" w:cs="Times New Roman"/>
            </w:rPr>
            <w:t>11</w:t>
          </w:r>
          <w:r>
            <w:rPr>
              <w:rFonts w:hint="default" w:ascii="Times New Roman" w:hAnsi="Times New Roman" w:cs="Times New Roman"/>
            </w:rPr>
            <w:fldChar w:fldCharType="end"/>
          </w:r>
          <w:r>
            <w:rPr>
              <w:rFonts w:hint="default" w:ascii="Times New Roman" w:hAnsi="Times New Roman" w:cs="Times New Roman"/>
            </w:rPr>
            <w:fldChar w:fldCharType="end"/>
          </w:r>
        </w:p>
        <w:p w14:paraId="39440510">
          <w:pPr>
            <w:pStyle w:val="10"/>
            <w:tabs>
              <w:tab w:val="right" w:leader="dot" w:pos="8834"/>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"_Toc68703838" </w:instrText>
          </w:r>
          <w:r>
            <w:rPr>
              <w:rFonts w:hint="default" w:ascii="Times New Roman" w:hAnsi="Times New Roman" w:cs="Times New Roman"/>
            </w:rPr>
            <w:fldChar w:fldCharType="separate"/>
          </w:r>
          <w:r>
            <w:rPr>
              <w:rStyle w:val="14"/>
              <w:rFonts w:hint="default" w:ascii="Times New Roman" w:hAnsi="Times New Roman" w:eastAsia="仿宋_GB2312" w:cs="Times New Roman"/>
            </w:rPr>
            <w:t>（一）项目决策情况。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_Toc68703838 \h </w:instrText>
          </w:r>
          <w:r>
            <w:rPr>
              <w:rFonts w:hint="default" w:ascii="Times New Roman" w:hAnsi="Times New Roman" w:cs="Times New Roman"/>
            </w:rPr>
            <w:fldChar w:fldCharType="separate"/>
          </w:r>
          <w:r>
            <w:rPr>
              <w:rFonts w:hint="default" w:ascii="Times New Roman" w:hAnsi="Times New Roman" w:cs="Times New Roman"/>
            </w:rPr>
            <w:t>11</w:t>
          </w:r>
          <w:r>
            <w:rPr>
              <w:rFonts w:hint="default" w:ascii="Times New Roman" w:hAnsi="Times New Roman" w:cs="Times New Roman"/>
            </w:rPr>
            <w:fldChar w:fldCharType="end"/>
          </w:r>
          <w:r>
            <w:rPr>
              <w:rFonts w:hint="default" w:ascii="Times New Roman" w:hAnsi="Times New Roman" w:cs="Times New Roman"/>
            </w:rPr>
            <w:fldChar w:fldCharType="end"/>
          </w:r>
        </w:p>
        <w:p w14:paraId="683F9223">
          <w:pPr>
            <w:pStyle w:val="10"/>
            <w:tabs>
              <w:tab w:val="right" w:leader="dot" w:pos="8834"/>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"_Toc68703839" </w:instrText>
          </w:r>
          <w:r>
            <w:rPr>
              <w:rFonts w:hint="default" w:ascii="Times New Roman" w:hAnsi="Times New Roman" w:cs="Times New Roman"/>
            </w:rPr>
            <w:fldChar w:fldCharType="separate"/>
          </w:r>
          <w:r>
            <w:rPr>
              <w:rStyle w:val="14"/>
              <w:rFonts w:hint="default" w:ascii="Times New Roman" w:hAnsi="Times New Roman" w:eastAsia="仿宋_GB2312" w:cs="Times New Roman"/>
            </w:rPr>
            <w:t>（二）项目过程情况。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_Toc68703839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14:paraId="10128686">
          <w:pPr>
            <w:pStyle w:val="10"/>
            <w:tabs>
              <w:tab w:val="right" w:leader="dot" w:pos="8834"/>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"_Toc68703840" </w:instrText>
          </w:r>
          <w:r>
            <w:rPr>
              <w:rFonts w:hint="default" w:ascii="Times New Roman" w:hAnsi="Times New Roman" w:cs="Times New Roman"/>
            </w:rPr>
            <w:fldChar w:fldCharType="separate"/>
          </w:r>
          <w:r>
            <w:rPr>
              <w:rStyle w:val="14"/>
              <w:rFonts w:hint="default" w:ascii="Times New Roman" w:hAnsi="Times New Roman" w:eastAsia="仿宋_GB2312" w:cs="Times New Roman"/>
            </w:rPr>
            <w:t>（三）项目产出情况。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_Toc68703840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14:paraId="642E016B">
          <w:pPr>
            <w:pStyle w:val="10"/>
            <w:tabs>
              <w:tab w:val="right" w:leader="dot" w:pos="8834"/>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"_Toc68703841" </w:instrText>
          </w:r>
          <w:r>
            <w:rPr>
              <w:rFonts w:hint="default" w:ascii="Times New Roman" w:hAnsi="Times New Roman" w:cs="Times New Roman"/>
            </w:rPr>
            <w:fldChar w:fldCharType="separate"/>
          </w:r>
          <w:r>
            <w:rPr>
              <w:rStyle w:val="14"/>
              <w:rFonts w:hint="default" w:ascii="Times New Roman" w:hAnsi="Times New Roman" w:eastAsia="仿宋_GB2312" w:cs="Times New Roman"/>
            </w:rPr>
            <w:t>（四）项目效益情况。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_Toc68703841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14:paraId="00D077D4">
          <w:pPr>
            <w:pStyle w:val="8"/>
            <w:tabs>
              <w:tab w:val="right" w:leader="dot" w:pos="8834"/>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"_Toc68703842" </w:instrText>
          </w:r>
          <w:r>
            <w:rPr>
              <w:rFonts w:hint="default" w:ascii="Times New Roman" w:hAnsi="Times New Roman" w:cs="Times New Roman"/>
            </w:rPr>
            <w:fldChar w:fldCharType="separate"/>
          </w:r>
          <w:r>
            <w:rPr>
              <w:rStyle w:val="14"/>
              <w:rFonts w:hint="default" w:ascii="Times New Roman" w:hAnsi="Times New Roman" w:eastAsia="宋体" w:cs="Times New Roman"/>
            </w:rPr>
            <w:t>五、主要经验及做法、存在的问题及原因分析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_Toc68703842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14:paraId="15394D39">
          <w:pPr>
            <w:pStyle w:val="10"/>
            <w:tabs>
              <w:tab w:val="right" w:leader="dot" w:pos="8834"/>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"_Toc68703843" </w:instrText>
          </w:r>
          <w:r>
            <w:rPr>
              <w:rFonts w:hint="default" w:ascii="Times New Roman" w:hAnsi="Times New Roman" w:cs="Times New Roman"/>
            </w:rPr>
            <w:fldChar w:fldCharType="separate"/>
          </w:r>
          <w:r>
            <w:rPr>
              <w:rStyle w:val="14"/>
              <w:rFonts w:hint="default" w:ascii="Times New Roman" w:hAnsi="Times New Roman" w:eastAsia="仿宋_GB2312" w:cs="Times New Roman"/>
            </w:rPr>
            <w:t>（一）主要经验及做法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_Toc68703843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14:paraId="4D6323B8">
          <w:pPr>
            <w:pStyle w:val="10"/>
            <w:tabs>
              <w:tab w:val="right" w:leader="dot" w:pos="8834"/>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"_Toc68703844" </w:instrText>
          </w:r>
          <w:r>
            <w:rPr>
              <w:rFonts w:hint="default" w:ascii="Times New Roman" w:hAnsi="Times New Roman" w:cs="Times New Roman"/>
            </w:rPr>
            <w:fldChar w:fldCharType="separate"/>
          </w:r>
          <w:r>
            <w:rPr>
              <w:rStyle w:val="14"/>
              <w:rFonts w:hint="default" w:ascii="Times New Roman" w:hAnsi="Times New Roman" w:eastAsia="仿宋_GB2312" w:cs="Times New Roman"/>
            </w:rPr>
            <w:t>（二）存在的问题及原因分析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_Toc68703844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14:paraId="63A99CBD">
          <w:pPr>
            <w:pStyle w:val="8"/>
            <w:tabs>
              <w:tab w:val="right" w:leader="dot" w:pos="8834"/>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"_Toc68703845" </w:instrText>
          </w:r>
          <w:r>
            <w:rPr>
              <w:rFonts w:hint="default" w:ascii="Times New Roman" w:hAnsi="Times New Roman" w:cs="Times New Roman"/>
            </w:rPr>
            <w:fldChar w:fldCharType="separate"/>
          </w:r>
          <w:r>
            <w:rPr>
              <w:rStyle w:val="14"/>
              <w:rFonts w:hint="default" w:ascii="Times New Roman" w:hAnsi="Times New Roman" w:eastAsia="宋体" w:cs="Times New Roman"/>
            </w:rPr>
            <w:t>六、有关建议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_Toc68703845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14:paraId="16C0B710">
          <w:pPr>
            <w:pStyle w:val="8"/>
            <w:tabs>
              <w:tab w:val="right" w:leader="dot" w:pos="8834"/>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"_Toc68703846" </w:instrText>
          </w:r>
          <w:r>
            <w:rPr>
              <w:rFonts w:hint="default" w:ascii="Times New Roman" w:hAnsi="Times New Roman" w:cs="Times New Roman"/>
            </w:rPr>
            <w:fldChar w:fldCharType="separate"/>
          </w:r>
          <w:r>
            <w:rPr>
              <w:rStyle w:val="14"/>
              <w:rFonts w:hint="default" w:ascii="Times New Roman" w:hAnsi="Times New Roman" w:eastAsia="宋体" w:cs="Times New Roman"/>
            </w:rPr>
            <w:t>七、其他需要说明的问题</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_Toc68703846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14:paraId="6833EE0F">
          <w:pPr>
            <w:rPr>
              <w:rFonts w:hint="default" w:ascii="Times New Roman" w:hAnsi="Times New Roman" w:cs="Times New Roman"/>
            </w:rPr>
          </w:pPr>
          <w:r>
            <w:rPr>
              <w:rFonts w:hint="default" w:ascii="Times New Roman" w:hAnsi="Times New Roman" w:cs="Times New Roman"/>
              <w:b/>
              <w:bCs/>
              <w:lang w:val="zh-CN"/>
            </w:rPr>
            <w:fldChar w:fldCharType="end"/>
          </w:r>
        </w:p>
      </w:sdtContent>
    </w:sdt>
    <w:p w14:paraId="0697BD42">
      <w:pPr>
        <w:widowControl/>
        <w:jc w:val="left"/>
        <w:rPr>
          <w:rFonts w:hint="default" w:ascii="Times New Roman" w:hAnsi="Times New Roman" w:eastAsia="宋体" w:cs="Times New Roman"/>
          <w:b/>
          <w:bCs/>
          <w:sz w:val="36"/>
          <w:szCs w:val="36"/>
        </w:rPr>
      </w:pPr>
      <w:r>
        <w:rPr>
          <w:rFonts w:hint="default" w:ascii="Times New Roman" w:hAnsi="Times New Roman" w:eastAsia="宋体" w:cs="Times New Roman"/>
          <w:b/>
          <w:bCs/>
          <w:sz w:val="36"/>
          <w:szCs w:val="36"/>
        </w:rPr>
        <w:br w:type="page"/>
      </w:r>
    </w:p>
    <w:p w14:paraId="23F9C815">
      <w:pPr>
        <w:jc w:val="center"/>
        <w:rPr>
          <w:rFonts w:hint="default" w:ascii="Times New Roman" w:hAnsi="Times New Roman" w:eastAsia="宋体" w:cs="Times New Roman"/>
          <w:b/>
          <w:bCs/>
          <w:sz w:val="36"/>
          <w:szCs w:val="36"/>
        </w:rPr>
      </w:pPr>
      <w:r>
        <w:rPr>
          <w:rFonts w:hint="default" w:ascii="Times New Roman" w:hAnsi="Times New Roman" w:eastAsia="宋体" w:cs="Times New Roman"/>
          <w:b/>
          <w:bCs/>
          <w:sz w:val="36"/>
          <w:szCs w:val="36"/>
        </w:rPr>
        <w:t>项目支出绩效评价报告</w:t>
      </w:r>
    </w:p>
    <w:p w14:paraId="23D8914F">
      <w:pPr>
        <w:jc w:val="center"/>
        <w:rPr>
          <w:rFonts w:hint="default" w:ascii="Times New Roman" w:hAnsi="Times New Roman" w:cs="Times New Roman"/>
          <w:szCs w:val="30"/>
        </w:rPr>
      </w:pPr>
    </w:p>
    <w:p w14:paraId="64C515E1">
      <w:pPr>
        <w:pStyle w:val="4"/>
        <w:keepNext/>
        <w:keepLines/>
        <w:pageBreakBefore w:val="0"/>
        <w:widowControl w:val="0"/>
        <w:kinsoku/>
        <w:wordWrap/>
        <w:overflowPunct/>
        <w:topLinePunct w:val="0"/>
        <w:autoSpaceDE/>
        <w:autoSpaceDN/>
        <w:bidi w:val="0"/>
        <w:adjustRightInd/>
        <w:snapToGrid/>
        <w:spacing w:before="0" w:after="0" w:line="560" w:lineRule="exact"/>
        <w:textAlignment w:val="auto"/>
        <w:rPr>
          <w:rFonts w:hint="default" w:ascii="Times New Roman" w:hAnsi="Times New Roman" w:eastAsia="宋体" w:cs="Times New Roman"/>
          <w:sz w:val="32"/>
          <w:szCs w:val="32"/>
        </w:rPr>
      </w:pPr>
      <w:bookmarkStart w:id="0" w:name="_Toc68703827"/>
      <w:r>
        <w:rPr>
          <w:rFonts w:hint="default" w:ascii="Times New Roman" w:hAnsi="Times New Roman" w:eastAsia="宋体" w:cs="Times New Roman"/>
          <w:sz w:val="32"/>
          <w:szCs w:val="32"/>
        </w:rPr>
        <w:t>一、基本情况</w:t>
      </w:r>
      <w:bookmarkEnd w:id="0"/>
    </w:p>
    <w:p w14:paraId="0711495A">
      <w:pPr>
        <w:pStyle w:val="5"/>
        <w:keepNext/>
        <w:keepLines/>
        <w:pageBreakBefore w:val="0"/>
        <w:widowControl w:val="0"/>
        <w:kinsoku/>
        <w:wordWrap/>
        <w:overflowPunct/>
        <w:topLinePunct w:val="0"/>
        <w:autoSpaceDE/>
        <w:autoSpaceDN/>
        <w:bidi w:val="0"/>
        <w:adjustRightInd/>
        <w:snapToGrid/>
        <w:spacing w:before="0" w:after="0" w:line="560" w:lineRule="exact"/>
        <w:textAlignment w:val="auto"/>
        <w:rPr>
          <w:rFonts w:hint="default" w:ascii="Times New Roman" w:hAnsi="Times New Roman" w:eastAsia="仿宋_GB2312" w:cs="Times New Roman"/>
          <w:b w:val="0"/>
          <w:bCs w:val="0"/>
        </w:rPr>
      </w:pPr>
      <w:bookmarkStart w:id="1" w:name="_Toc68703828"/>
      <w:r>
        <w:rPr>
          <w:rFonts w:hint="default" w:ascii="Times New Roman" w:hAnsi="Times New Roman" w:eastAsia="仿宋_GB2312" w:cs="Times New Roman"/>
          <w:b w:val="0"/>
          <w:bCs w:val="0"/>
        </w:rPr>
        <w:t>（一）项目概况。</w:t>
      </w:r>
      <w:bookmarkEnd w:id="1"/>
    </w:p>
    <w:p w14:paraId="75AB569E">
      <w:pPr>
        <w:spacing w:line="360" w:lineRule="auto"/>
        <w:ind w:firstLine="600" w:firstLineChars="200"/>
        <w:rPr>
          <w:rFonts w:hint="default" w:ascii="Times New Roman" w:hAnsi="Times New Roman" w:cs="Times New Roman"/>
        </w:rPr>
      </w:pPr>
      <w:r>
        <w:rPr>
          <w:rFonts w:hint="default" w:ascii="Times New Roman" w:hAnsi="Times New Roman" w:cs="Times New Roman"/>
        </w:rPr>
        <w:t>1、项目背景</w:t>
      </w:r>
    </w:p>
    <w:p w14:paraId="52EDABCA">
      <w:pPr>
        <w:pageBreakBefore w:val="0"/>
        <w:kinsoku/>
        <w:wordWrap/>
        <w:overflowPunct/>
        <w:topLinePunct w:val="0"/>
        <w:autoSpaceDE/>
        <w:autoSpaceDN/>
        <w:bidi w:val="0"/>
        <w:adjustRightInd/>
        <w:spacing w:line="580" w:lineRule="exact"/>
        <w:ind w:firstLine="579" w:firstLineChars="181"/>
        <w:textAlignment w:val="auto"/>
        <w:rPr>
          <w:rFonts w:hint="default" w:ascii="Times New Roman" w:hAnsi="Times New Roman" w:cs="Times New Roman"/>
        </w:rPr>
      </w:pPr>
      <w:r>
        <w:rPr>
          <w:rFonts w:hint="default" w:ascii="Times New Roman" w:hAnsi="Times New Roman" w:eastAsia="仿宋" w:cs="Times New Roman"/>
          <w:sz w:val="32"/>
          <w:szCs w:val="32"/>
        </w:rPr>
        <w:t>依据</w:t>
      </w:r>
      <w:bookmarkStart w:id="2" w:name="_Hlk69404887"/>
      <w:r>
        <w:rPr>
          <w:rFonts w:hint="default" w:ascii="Times New Roman" w:hAnsi="Times New Roman" w:eastAsia="仿宋" w:cs="Times New Roman"/>
          <w:sz w:val="32"/>
          <w:szCs w:val="32"/>
        </w:rPr>
        <w:t>国家发展和改革委《关于印发&lt;农产品成本调查管理办法&gt;（修订版）的通知》（发改价格规[2017]1454号），自治区财政厅</w:t>
      </w:r>
      <w:r>
        <w:rPr>
          <w:rFonts w:hint="default" w:ascii="Times New Roman" w:hAnsi="Times New Roman" w:eastAsia="仿宋" w:cs="Times New Roman"/>
          <w:color w:val="auto"/>
          <w:sz w:val="32"/>
          <w:szCs w:val="32"/>
        </w:rPr>
        <w:t>《关于下达202</w:t>
      </w:r>
      <w:r>
        <w:rPr>
          <w:rFonts w:hint="default" w:ascii="Times New Roman" w:hAnsi="Times New Roman" w:eastAsia="仿宋" w:cs="Times New Roman"/>
          <w:color w:val="auto"/>
          <w:sz w:val="32"/>
          <w:szCs w:val="32"/>
          <w:lang w:val="en-US" w:eastAsia="zh-CN"/>
        </w:rPr>
        <w:t>3</w:t>
      </w:r>
      <w:r>
        <w:rPr>
          <w:rFonts w:hint="default" w:ascii="Times New Roman" w:hAnsi="Times New Roman" w:eastAsia="仿宋" w:cs="Times New Roman"/>
          <w:color w:val="auto"/>
          <w:sz w:val="32"/>
          <w:szCs w:val="32"/>
        </w:rPr>
        <w:t>年度产品成本调查经费的通知》</w:t>
      </w:r>
      <w:r>
        <w:rPr>
          <w:rFonts w:hint="default" w:ascii="Times New Roman" w:hAnsi="Times New Roman" w:eastAsia="仿宋" w:cs="Times New Roman"/>
          <w:sz w:val="32"/>
          <w:szCs w:val="32"/>
        </w:rPr>
        <w:t>、巴州发改委《关于202</w:t>
      </w:r>
      <w:r>
        <w:rPr>
          <w:rFonts w:hint="default" w:ascii="Times New Roman" w:hAnsi="Times New Roman" w:eastAsia="仿宋" w:cs="Times New Roman"/>
          <w:sz w:val="32"/>
          <w:szCs w:val="32"/>
          <w:lang w:val="en-US" w:eastAsia="zh-CN"/>
        </w:rPr>
        <w:t>3</w:t>
      </w:r>
      <w:r>
        <w:rPr>
          <w:rFonts w:hint="default" w:ascii="Times New Roman" w:hAnsi="Times New Roman" w:eastAsia="仿宋" w:cs="Times New Roman"/>
          <w:sz w:val="32"/>
          <w:szCs w:val="32"/>
        </w:rPr>
        <w:t>年农产品成本调查经费分配方案（意见）》</w:t>
      </w:r>
      <w:bookmarkEnd w:id="2"/>
      <w:r>
        <w:rPr>
          <w:rFonts w:hint="default" w:ascii="Times New Roman" w:hAnsi="Times New Roman" w:eastAsia="仿宋" w:cs="Times New Roman"/>
          <w:sz w:val="32"/>
          <w:szCs w:val="32"/>
        </w:rPr>
        <w:t>等文件精神，我委为适应农业发展新形势，加强农产品成本调查工作，完善调查制度体系，充分发挥职能，根据中央和自治区关于绩效管理的有关规定以及农产品成本调查经费要求开展调查工作。</w:t>
      </w:r>
    </w:p>
    <w:p w14:paraId="46678633">
      <w:pPr>
        <w:spacing w:line="360" w:lineRule="auto"/>
        <w:ind w:firstLine="600" w:firstLineChars="200"/>
        <w:rPr>
          <w:rFonts w:hint="default" w:ascii="Times New Roman" w:hAnsi="Times New Roman" w:cs="Times New Roman"/>
        </w:rPr>
      </w:pPr>
      <w:r>
        <w:rPr>
          <w:rFonts w:hint="default" w:ascii="Times New Roman" w:hAnsi="Times New Roman" w:cs="Times New Roman"/>
        </w:rPr>
        <w:t>2、主要内容及实施情况</w:t>
      </w:r>
    </w:p>
    <w:p w14:paraId="2A939297">
      <w:pPr>
        <w:pageBreakBefore w:val="0"/>
        <w:kinsoku/>
        <w:wordWrap/>
        <w:overflowPunct/>
        <w:topLinePunct w:val="0"/>
        <w:autoSpaceDE/>
        <w:autoSpaceDN/>
        <w:bidi w:val="0"/>
        <w:adjustRightInd/>
        <w:spacing w:line="580" w:lineRule="exact"/>
        <w:ind w:firstLine="579" w:firstLineChars="181"/>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主要内容：县发改委积极开展农产品成本调查户核查工作，及时发放农产品成本调查补助费，用于工作人员开展成本调查工作的差旅费、车辆运行、日常办公开支等。</w:t>
      </w:r>
    </w:p>
    <w:p w14:paraId="02E2B536">
      <w:pPr>
        <w:pageBreakBefore w:val="0"/>
        <w:kinsoku/>
        <w:wordWrap/>
        <w:overflowPunct/>
        <w:topLinePunct w:val="0"/>
        <w:autoSpaceDE/>
        <w:autoSpaceDN/>
        <w:bidi w:val="0"/>
        <w:adjustRightInd/>
        <w:spacing w:line="580" w:lineRule="exact"/>
        <w:ind w:firstLine="579" w:firstLineChars="181"/>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实施情况：全年按照工作计划，进行了农产品成本调查</w:t>
      </w:r>
      <w:r>
        <w:rPr>
          <w:rFonts w:hint="default" w:ascii="Times New Roman" w:hAnsi="Times New Roman" w:eastAsia="仿宋" w:cs="Times New Roman"/>
          <w:sz w:val="32"/>
          <w:szCs w:val="32"/>
          <w:lang w:val="en-US" w:eastAsia="zh-CN"/>
        </w:rPr>
        <w:t>4</w:t>
      </w:r>
      <w:r>
        <w:rPr>
          <w:rFonts w:hint="default" w:ascii="Times New Roman" w:hAnsi="Times New Roman" w:eastAsia="仿宋" w:cs="Times New Roman"/>
          <w:sz w:val="32"/>
          <w:szCs w:val="32"/>
        </w:rPr>
        <w:t>次，严格按照要求确定各乡镇场农产品成本调查户，对县域内农产品作物进行实时监测分析，并对按期上报农产品成本的调查户发放调查补助费，圆满完成了202</w:t>
      </w:r>
      <w:r>
        <w:rPr>
          <w:rFonts w:hint="default" w:ascii="Times New Roman" w:hAnsi="Times New Roman" w:eastAsia="仿宋" w:cs="Times New Roman"/>
          <w:sz w:val="32"/>
          <w:szCs w:val="32"/>
          <w:lang w:val="en-US" w:eastAsia="zh-CN"/>
        </w:rPr>
        <w:t>3</w:t>
      </w:r>
      <w:r>
        <w:rPr>
          <w:rFonts w:hint="default" w:ascii="Times New Roman" w:hAnsi="Times New Roman" w:eastAsia="仿宋" w:cs="Times New Roman"/>
          <w:sz w:val="32"/>
          <w:szCs w:val="32"/>
        </w:rPr>
        <w:t>年农产品成本调查工作，提供良好价格服务和信息保障，改善基层农牧民生产生活条件。</w:t>
      </w:r>
    </w:p>
    <w:p w14:paraId="49DADB54">
      <w:pPr>
        <w:spacing w:line="360" w:lineRule="auto"/>
        <w:ind w:firstLine="600" w:firstLineChars="200"/>
        <w:rPr>
          <w:rFonts w:hint="default" w:ascii="Times New Roman" w:hAnsi="Times New Roman" w:cs="Times New Roman"/>
        </w:rPr>
      </w:pPr>
      <w:r>
        <w:rPr>
          <w:rFonts w:hint="default" w:ascii="Times New Roman" w:hAnsi="Times New Roman" w:cs="Times New Roman"/>
        </w:rPr>
        <w:t>4、资金投入和使用情况</w:t>
      </w:r>
    </w:p>
    <w:p w14:paraId="0CD35D2E">
      <w:pPr>
        <w:pageBreakBefore w:val="0"/>
        <w:kinsoku/>
        <w:wordWrap/>
        <w:overflowPunct/>
        <w:topLinePunct w:val="0"/>
        <w:autoSpaceDE/>
        <w:autoSpaceDN/>
        <w:bidi w:val="0"/>
        <w:adjustRightInd/>
        <w:spacing w:line="580" w:lineRule="exact"/>
        <w:ind w:firstLine="579" w:firstLineChars="181"/>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资金投入情况：该项目年初预算数</w:t>
      </w:r>
      <w:r>
        <w:rPr>
          <w:rFonts w:hint="eastAsia" w:eastAsia="仿宋" w:cs="Times New Roman"/>
          <w:sz w:val="32"/>
          <w:szCs w:val="32"/>
          <w:highlight w:val="none"/>
          <w:lang w:val="en-US" w:eastAsia="zh-CN"/>
        </w:rPr>
        <w:t>2.5</w:t>
      </w:r>
      <w:r>
        <w:rPr>
          <w:rFonts w:hint="default" w:ascii="Times New Roman" w:hAnsi="Times New Roman" w:eastAsia="仿宋" w:cs="Times New Roman"/>
          <w:sz w:val="32"/>
          <w:szCs w:val="32"/>
          <w:highlight w:val="none"/>
        </w:rPr>
        <w:t>万元，全年预算数</w:t>
      </w:r>
      <w:r>
        <w:rPr>
          <w:rFonts w:hint="default" w:ascii="Times New Roman" w:hAnsi="Times New Roman" w:eastAsia="仿宋" w:cs="Times New Roman"/>
          <w:sz w:val="32"/>
          <w:szCs w:val="32"/>
          <w:highlight w:val="none"/>
          <w:lang w:val="en-US" w:eastAsia="zh-CN"/>
        </w:rPr>
        <w:t>2.5</w:t>
      </w:r>
      <w:r>
        <w:rPr>
          <w:rFonts w:hint="default" w:ascii="Times New Roman" w:hAnsi="Times New Roman" w:eastAsia="仿宋" w:cs="Times New Roman"/>
          <w:sz w:val="32"/>
          <w:szCs w:val="32"/>
          <w:highlight w:val="none"/>
        </w:rPr>
        <w:t>万元，实际总投入</w:t>
      </w:r>
      <w:r>
        <w:rPr>
          <w:rFonts w:hint="default" w:ascii="Times New Roman" w:hAnsi="Times New Roman" w:eastAsia="仿宋" w:cs="Times New Roman"/>
          <w:sz w:val="32"/>
          <w:szCs w:val="32"/>
          <w:highlight w:val="none"/>
          <w:lang w:val="en-US" w:eastAsia="zh-CN"/>
        </w:rPr>
        <w:t>2.5</w:t>
      </w:r>
      <w:r>
        <w:rPr>
          <w:rFonts w:hint="default" w:ascii="Times New Roman" w:hAnsi="Times New Roman" w:eastAsia="仿宋" w:cs="Times New Roman"/>
          <w:sz w:val="32"/>
          <w:szCs w:val="32"/>
          <w:highlight w:val="none"/>
        </w:rPr>
        <w:t>万元，该项目资金已全部落实到位，资金来源为财政资金。</w:t>
      </w:r>
    </w:p>
    <w:p w14:paraId="3F5007A0">
      <w:pPr>
        <w:pageBreakBefore w:val="0"/>
        <w:kinsoku/>
        <w:wordWrap/>
        <w:overflowPunct/>
        <w:topLinePunct w:val="0"/>
        <w:autoSpaceDE/>
        <w:autoSpaceDN/>
        <w:bidi w:val="0"/>
        <w:adjustRightInd/>
        <w:spacing w:line="580" w:lineRule="exact"/>
        <w:ind w:firstLine="579" w:firstLineChars="181"/>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资金使用情况：该项目年初预算数</w:t>
      </w:r>
      <w:r>
        <w:rPr>
          <w:rFonts w:hint="eastAsia" w:eastAsia="仿宋" w:cs="Times New Roman"/>
          <w:sz w:val="32"/>
          <w:szCs w:val="32"/>
          <w:highlight w:val="none"/>
          <w:lang w:val="en-US" w:eastAsia="zh-CN"/>
        </w:rPr>
        <w:t>2.5</w:t>
      </w:r>
      <w:r>
        <w:rPr>
          <w:rFonts w:hint="default" w:ascii="Times New Roman" w:hAnsi="Times New Roman" w:eastAsia="仿宋" w:cs="Times New Roman"/>
          <w:sz w:val="32"/>
          <w:szCs w:val="32"/>
          <w:highlight w:val="none"/>
        </w:rPr>
        <w:t>万元，全年预算数</w:t>
      </w:r>
      <w:r>
        <w:rPr>
          <w:rFonts w:hint="default" w:ascii="Times New Roman" w:hAnsi="Times New Roman" w:eastAsia="仿宋" w:cs="Times New Roman"/>
          <w:sz w:val="32"/>
          <w:szCs w:val="32"/>
          <w:highlight w:val="none"/>
          <w:lang w:val="en-US" w:eastAsia="zh-CN"/>
        </w:rPr>
        <w:t>2.5</w:t>
      </w:r>
      <w:r>
        <w:rPr>
          <w:rFonts w:hint="default" w:ascii="Times New Roman" w:hAnsi="Times New Roman" w:eastAsia="仿宋" w:cs="Times New Roman"/>
          <w:sz w:val="32"/>
          <w:szCs w:val="32"/>
          <w:highlight w:val="none"/>
        </w:rPr>
        <w:t xml:space="preserve">万元，全年执行数 </w:t>
      </w:r>
      <w:r>
        <w:rPr>
          <w:rFonts w:hint="default" w:ascii="Times New Roman" w:hAnsi="Times New Roman" w:eastAsia="仿宋" w:cs="Times New Roman"/>
          <w:sz w:val="32"/>
          <w:szCs w:val="32"/>
          <w:highlight w:val="none"/>
          <w:lang w:val="en-US" w:eastAsia="zh-CN"/>
        </w:rPr>
        <w:t>2.5</w:t>
      </w:r>
      <w:r>
        <w:rPr>
          <w:rFonts w:hint="default" w:ascii="Times New Roman" w:hAnsi="Times New Roman" w:eastAsia="仿宋" w:cs="Times New Roman"/>
          <w:sz w:val="32"/>
          <w:szCs w:val="32"/>
          <w:highlight w:val="none"/>
        </w:rPr>
        <w:t>万元，预算执行率为100%，用于：</w:t>
      </w:r>
      <w:r>
        <w:rPr>
          <w:rFonts w:hint="default" w:ascii="Times New Roman" w:hAnsi="Times New Roman" w:eastAsia="仿宋" w:cs="Times New Roman"/>
          <w:sz w:val="32"/>
          <w:szCs w:val="32"/>
          <w:highlight w:val="none"/>
          <w:lang w:val="en-US" w:eastAsia="zh-CN"/>
        </w:rPr>
        <w:t>培训及实地调查成本</w:t>
      </w:r>
      <w:r>
        <w:rPr>
          <w:rFonts w:hint="default" w:ascii="Times New Roman" w:hAnsi="Times New Roman" w:eastAsia="仿宋" w:cs="Times New Roman"/>
          <w:sz w:val="32"/>
          <w:szCs w:val="32"/>
          <w:highlight w:val="none"/>
        </w:rPr>
        <w:t>：2.5万元。</w:t>
      </w:r>
    </w:p>
    <w:p w14:paraId="153CDC52">
      <w:pPr>
        <w:pageBreakBefore w:val="0"/>
        <w:kinsoku/>
        <w:wordWrap/>
        <w:overflowPunct/>
        <w:topLinePunct w:val="0"/>
        <w:autoSpaceDE/>
        <w:autoSpaceDN/>
        <w:bidi w:val="0"/>
        <w:adjustRightInd/>
        <w:spacing w:line="580" w:lineRule="exact"/>
        <w:ind w:firstLine="579" w:firstLineChars="181"/>
        <w:textAlignment w:val="auto"/>
        <w:rPr>
          <w:rFonts w:hint="default" w:ascii="Times New Roman" w:hAnsi="Times New Roman" w:eastAsia="仿宋" w:cs="Times New Roman"/>
          <w:sz w:val="32"/>
          <w:szCs w:val="32"/>
        </w:rPr>
      </w:pPr>
      <w:bookmarkStart w:id="3" w:name="_Toc68703829"/>
      <w:r>
        <w:rPr>
          <w:rFonts w:hint="default" w:ascii="Times New Roman" w:hAnsi="Times New Roman" w:eastAsia="仿宋" w:cs="Times New Roman"/>
          <w:sz w:val="32"/>
          <w:szCs w:val="32"/>
        </w:rPr>
        <w:t>（二）项目绩效目标。</w:t>
      </w:r>
      <w:bookmarkEnd w:id="3"/>
    </w:p>
    <w:p w14:paraId="18314253">
      <w:pPr>
        <w:pageBreakBefore w:val="0"/>
        <w:kinsoku/>
        <w:wordWrap/>
        <w:overflowPunct/>
        <w:topLinePunct w:val="0"/>
        <w:autoSpaceDE/>
        <w:autoSpaceDN/>
        <w:bidi w:val="0"/>
        <w:adjustRightInd/>
        <w:spacing w:line="580" w:lineRule="exact"/>
        <w:ind w:firstLine="579" w:firstLineChars="181"/>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总体目标：农产品成本调查专项经费的合理投入是农产品成本调查水平的有力保障，农产品成本调查是得到主要农产品的社会平均生产成本，为制定相关农业政策提供依据的重要手段。资金使用过程中将严格按照要求确定各乡镇场农产品成本调查户对县域内农产品作物进行时时监测分析，对按期上报农产品成本的调查户发放调查补助费，同时，用于工作人员开展成本调查工作经费开支。</w:t>
      </w:r>
    </w:p>
    <w:p w14:paraId="7119AB36">
      <w:pPr>
        <w:pageBreakBefore w:val="0"/>
        <w:kinsoku/>
        <w:wordWrap/>
        <w:overflowPunct/>
        <w:topLinePunct w:val="0"/>
        <w:autoSpaceDE/>
        <w:autoSpaceDN/>
        <w:bidi w:val="0"/>
        <w:adjustRightInd/>
        <w:spacing w:line="580" w:lineRule="exact"/>
        <w:ind w:firstLine="579" w:firstLineChars="181"/>
        <w:textAlignment w:val="auto"/>
        <w:rPr>
          <w:rFonts w:hint="default" w:ascii="Times New Roman" w:hAnsi="Times New Roman" w:cs="Times New Roman"/>
        </w:rPr>
      </w:pPr>
      <w:r>
        <w:rPr>
          <w:rFonts w:hint="default" w:ascii="Times New Roman" w:hAnsi="Times New Roman" w:eastAsia="仿宋" w:cs="Times New Roman"/>
          <w:sz w:val="32"/>
          <w:szCs w:val="32"/>
        </w:rPr>
        <w:t>2、阶段性目标：年初组织人员到各乡镇场进行农产品成本调查、对县域内农产品作物监测实情调研累计</w:t>
      </w:r>
      <w:r>
        <w:rPr>
          <w:rFonts w:hint="default" w:ascii="Times New Roman" w:hAnsi="Times New Roman" w:eastAsia="仿宋" w:cs="Times New Roman"/>
          <w:sz w:val="32"/>
          <w:szCs w:val="32"/>
          <w:lang w:val="en-US" w:eastAsia="zh-CN"/>
        </w:rPr>
        <w:t>4</w:t>
      </w:r>
      <w:r>
        <w:rPr>
          <w:rFonts w:hint="default" w:ascii="Times New Roman" w:hAnsi="Times New Roman" w:eastAsia="仿宋" w:cs="Times New Roman"/>
          <w:sz w:val="32"/>
          <w:szCs w:val="32"/>
        </w:rPr>
        <w:t>次；年中对各乡镇场农产品成本调查户名单进行详细调查和核实；202</w:t>
      </w:r>
      <w:r>
        <w:rPr>
          <w:rFonts w:hint="default" w:ascii="Times New Roman" w:hAnsi="Times New Roman" w:eastAsia="仿宋" w:cs="Times New Roman"/>
          <w:sz w:val="32"/>
          <w:szCs w:val="32"/>
          <w:lang w:val="en-US" w:eastAsia="zh-CN"/>
        </w:rPr>
        <w:t>3</w:t>
      </w:r>
      <w:r>
        <w:rPr>
          <w:rFonts w:hint="default" w:ascii="Times New Roman" w:hAnsi="Times New Roman" w:eastAsia="仿宋" w:cs="Times New Roman"/>
          <w:sz w:val="32"/>
          <w:szCs w:val="32"/>
        </w:rPr>
        <w:t>年11月中旬，对县域内核实过的调查户发放了调查补贴费。</w:t>
      </w:r>
    </w:p>
    <w:p w14:paraId="4FFC1617">
      <w:pPr>
        <w:pStyle w:val="4"/>
        <w:keepNext/>
        <w:keepLines/>
        <w:pageBreakBefore w:val="0"/>
        <w:widowControl w:val="0"/>
        <w:kinsoku/>
        <w:wordWrap/>
        <w:overflowPunct/>
        <w:topLinePunct w:val="0"/>
        <w:autoSpaceDE/>
        <w:autoSpaceDN/>
        <w:bidi w:val="0"/>
        <w:adjustRightInd/>
        <w:snapToGrid/>
        <w:spacing w:before="0" w:after="0" w:line="560" w:lineRule="exact"/>
        <w:textAlignment w:val="auto"/>
        <w:rPr>
          <w:rFonts w:hint="default" w:ascii="Times New Roman" w:hAnsi="Times New Roman" w:eastAsia="宋体" w:cs="Times New Roman"/>
          <w:sz w:val="32"/>
          <w:szCs w:val="32"/>
        </w:rPr>
      </w:pPr>
      <w:bookmarkStart w:id="4" w:name="_Toc68703830"/>
      <w:r>
        <w:rPr>
          <w:rFonts w:hint="default" w:ascii="Times New Roman" w:hAnsi="Times New Roman" w:eastAsia="宋体" w:cs="Times New Roman"/>
          <w:sz w:val="32"/>
          <w:szCs w:val="32"/>
        </w:rPr>
        <w:t>二、绩效评价工作开展情况</w:t>
      </w:r>
      <w:bookmarkEnd w:id="4"/>
    </w:p>
    <w:p w14:paraId="64DD1006">
      <w:pPr>
        <w:pStyle w:val="5"/>
        <w:keepNext/>
        <w:keepLines/>
        <w:pageBreakBefore w:val="0"/>
        <w:widowControl w:val="0"/>
        <w:kinsoku/>
        <w:wordWrap/>
        <w:overflowPunct/>
        <w:topLinePunct w:val="0"/>
        <w:autoSpaceDE/>
        <w:autoSpaceDN/>
        <w:bidi w:val="0"/>
        <w:adjustRightInd/>
        <w:snapToGrid/>
        <w:spacing w:before="0" w:after="0" w:line="560" w:lineRule="exact"/>
        <w:textAlignment w:val="auto"/>
        <w:rPr>
          <w:rFonts w:hint="default" w:ascii="Times New Roman" w:hAnsi="Times New Roman" w:eastAsia="仿宋_GB2312" w:cs="Times New Roman"/>
          <w:b w:val="0"/>
          <w:bCs w:val="0"/>
        </w:rPr>
      </w:pPr>
      <w:bookmarkStart w:id="5" w:name="_Toc68703831"/>
      <w:r>
        <w:rPr>
          <w:rFonts w:hint="default" w:ascii="Times New Roman" w:hAnsi="Times New Roman" w:eastAsia="仿宋_GB2312" w:cs="Times New Roman"/>
          <w:b w:val="0"/>
          <w:bCs w:val="0"/>
        </w:rPr>
        <w:t>（一）绩效评价目的、对象和范围。</w:t>
      </w:r>
      <w:bookmarkEnd w:id="5"/>
    </w:p>
    <w:p w14:paraId="63AE12EE">
      <w:pPr>
        <w:spacing w:line="360" w:lineRule="auto"/>
        <w:ind w:firstLine="600" w:firstLineChars="200"/>
        <w:rPr>
          <w:rFonts w:hint="default" w:ascii="Times New Roman" w:hAnsi="Times New Roman" w:cs="Times New Roman"/>
        </w:rPr>
      </w:pPr>
      <w:r>
        <w:rPr>
          <w:rFonts w:hint="default" w:ascii="Times New Roman" w:hAnsi="Times New Roman" w:cs="Times New Roman"/>
        </w:rPr>
        <w:t>1、绩效评价目的：</w:t>
      </w:r>
    </w:p>
    <w:p w14:paraId="11C0BD16">
      <w:pPr>
        <w:pageBreakBefore w:val="0"/>
        <w:kinsoku/>
        <w:wordWrap/>
        <w:overflowPunct/>
        <w:topLinePunct w:val="0"/>
        <w:autoSpaceDE/>
        <w:autoSpaceDN/>
        <w:bidi w:val="0"/>
        <w:adjustRightInd/>
        <w:spacing w:line="580" w:lineRule="exact"/>
        <w:ind w:firstLine="579" w:firstLineChars="181"/>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通过绩效评价，客观地评判项目的管理绩效，了解和掌握202</w:t>
      </w:r>
      <w:r>
        <w:rPr>
          <w:rFonts w:hint="default" w:ascii="Times New Roman" w:hAnsi="Times New Roman" w:eastAsia="仿宋" w:cs="Times New Roman"/>
          <w:sz w:val="32"/>
          <w:szCs w:val="32"/>
          <w:lang w:val="en-US" w:eastAsia="zh-CN"/>
        </w:rPr>
        <w:t>3</w:t>
      </w:r>
      <w:r>
        <w:rPr>
          <w:rFonts w:hint="default" w:ascii="Times New Roman" w:hAnsi="Times New Roman" w:eastAsia="仿宋" w:cs="Times New Roman"/>
          <w:sz w:val="32"/>
          <w:szCs w:val="32"/>
        </w:rPr>
        <w:t>年农产品成本调查项目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w:t>
      </w:r>
    </w:p>
    <w:p w14:paraId="0673E5FC">
      <w:pPr>
        <w:spacing w:line="360" w:lineRule="auto"/>
        <w:ind w:firstLine="600" w:firstLineChars="200"/>
        <w:rPr>
          <w:rFonts w:hint="default" w:ascii="Times New Roman" w:hAnsi="Times New Roman" w:cs="Times New Roman"/>
        </w:rPr>
      </w:pPr>
      <w:r>
        <w:rPr>
          <w:rFonts w:hint="default" w:ascii="Times New Roman" w:hAnsi="Times New Roman" w:cs="Times New Roman"/>
        </w:rPr>
        <w:t>2、绩效评价对象：</w:t>
      </w:r>
    </w:p>
    <w:p w14:paraId="22B4ACC7">
      <w:pPr>
        <w:pageBreakBefore w:val="0"/>
        <w:kinsoku/>
        <w:wordWrap/>
        <w:overflowPunct/>
        <w:topLinePunct w:val="0"/>
        <w:autoSpaceDE/>
        <w:autoSpaceDN/>
        <w:bidi w:val="0"/>
        <w:adjustRightInd/>
        <w:spacing w:line="580" w:lineRule="exact"/>
        <w:ind w:firstLine="579" w:firstLineChars="181"/>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202</w:t>
      </w:r>
      <w:r>
        <w:rPr>
          <w:rFonts w:hint="default" w:ascii="Times New Roman" w:hAnsi="Times New Roman" w:eastAsia="仿宋" w:cs="Times New Roman"/>
          <w:sz w:val="32"/>
          <w:szCs w:val="32"/>
          <w:lang w:val="en-US" w:eastAsia="zh-CN"/>
        </w:rPr>
        <w:t>3</w:t>
      </w:r>
      <w:r>
        <w:rPr>
          <w:rFonts w:hint="default" w:ascii="Times New Roman" w:hAnsi="Times New Roman" w:eastAsia="仿宋" w:cs="Times New Roman"/>
          <w:sz w:val="32"/>
          <w:szCs w:val="32"/>
        </w:rPr>
        <w:t>年农产品成本调查经费</w:t>
      </w:r>
    </w:p>
    <w:p w14:paraId="0EBBFB31">
      <w:pPr>
        <w:spacing w:line="360" w:lineRule="auto"/>
        <w:ind w:firstLine="600" w:firstLineChars="200"/>
        <w:rPr>
          <w:rFonts w:hint="default" w:ascii="Times New Roman" w:hAnsi="Times New Roman" w:cs="Times New Roman"/>
        </w:rPr>
      </w:pPr>
      <w:r>
        <w:rPr>
          <w:rFonts w:hint="default" w:ascii="Times New Roman" w:hAnsi="Times New Roman" w:cs="Times New Roman"/>
        </w:rPr>
        <w:t>3、绩效评价范围：</w:t>
      </w:r>
    </w:p>
    <w:p w14:paraId="69D382E8">
      <w:pPr>
        <w:pageBreakBefore w:val="0"/>
        <w:kinsoku/>
        <w:wordWrap/>
        <w:overflowPunct/>
        <w:topLinePunct w:val="0"/>
        <w:autoSpaceDE/>
        <w:autoSpaceDN/>
        <w:bidi w:val="0"/>
        <w:adjustRightInd/>
        <w:spacing w:line="580" w:lineRule="exact"/>
        <w:ind w:firstLine="640"/>
        <w:textAlignment w:val="auto"/>
        <w:rPr>
          <w:rFonts w:hint="default" w:ascii="Times New Roman" w:hAnsi="Times New Roman" w:eastAsia="仿宋" w:cs="Times New Roman"/>
          <w:bCs/>
          <w:sz w:val="32"/>
          <w:szCs w:val="32"/>
        </w:rPr>
      </w:pPr>
      <w:r>
        <w:rPr>
          <w:rFonts w:hint="default" w:ascii="Times New Roman" w:hAnsi="Times New Roman" w:eastAsia="仿宋" w:cs="Times New Roman"/>
          <w:bCs/>
          <w:sz w:val="32"/>
          <w:szCs w:val="32"/>
        </w:rPr>
        <w:t>本次评价从项目决策（包括绩效目标、决策过程）、项目管理（包括项目资金、项目实施）、项目产出（包括项目产出数量、产出质量、产出时效和产出成本）项目效益四个维度进行20</w:t>
      </w:r>
      <w:r>
        <w:rPr>
          <w:rFonts w:hint="default" w:ascii="Times New Roman" w:hAnsi="Times New Roman" w:eastAsia="仿宋" w:cs="Times New Roman"/>
          <w:bCs/>
          <w:sz w:val="32"/>
          <w:szCs w:val="32"/>
          <w:lang w:val="en-US" w:eastAsia="zh-CN"/>
        </w:rPr>
        <w:t>23</w:t>
      </w:r>
      <w:r>
        <w:rPr>
          <w:rFonts w:hint="default" w:ascii="Times New Roman" w:hAnsi="Times New Roman" w:eastAsia="仿宋" w:cs="Times New Roman"/>
          <w:bCs/>
          <w:sz w:val="32"/>
          <w:szCs w:val="32"/>
        </w:rPr>
        <w:t>年农产品成本调查经费评价，评价核心为专项资金的支出完成情况和效果。</w:t>
      </w:r>
    </w:p>
    <w:p w14:paraId="450D6902">
      <w:pPr>
        <w:pStyle w:val="5"/>
        <w:keepNext/>
        <w:keepLines/>
        <w:pageBreakBefore w:val="0"/>
        <w:widowControl w:val="0"/>
        <w:kinsoku/>
        <w:wordWrap/>
        <w:overflowPunct/>
        <w:topLinePunct w:val="0"/>
        <w:autoSpaceDE/>
        <w:autoSpaceDN/>
        <w:bidi w:val="0"/>
        <w:adjustRightInd/>
        <w:snapToGrid/>
        <w:spacing w:before="0" w:after="0" w:line="560" w:lineRule="exact"/>
        <w:textAlignment w:val="auto"/>
        <w:rPr>
          <w:rFonts w:hint="default" w:ascii="Times New Roman" w:hAnsi="Times New Roman" w:eastAsia="仿宋_GB2312" w:cs="Times New Roman"/>
          <w:b w:val="0"/>
          <w:bCs w:val="0"/>
        </w:rPr>
      </w:pPr>
      <w:bookmarkStart w:id="6" w:name="_Toc68703832"/>
      <w:r>
        <w:rPr>
          <w:rFonts w:hint="default" w:ascii="Times New Roman" w:hAnsi="Times New Roman" w:eastAsia="仿宋_GB2312" w:cs="Times New Roman"/>
          <w:b w:val="0"/>
          <w:bCs w:val="0"/>
        </w:rPr>
        <w:t>（二）绩效评价原则、评价指标体系、评价方法、评价标准等。</w:t>
      </w:r>
      <w:bookmarkEnd w:id="6"/>
    </w:p>
    <w:p w14:paraId="2907C19B">
      <w:pPr>
        <w:spacing w:line="360" w:lineRule="auto"/>
        <w:ind w:firstLine="600" w:firstLineChars="200"/>
        <w:rPr>
          <w:rFonts w:hint="default" w:ascii="Times New Roman" w:hAnsi="Times New Roman" w:cs="Times New Roman"/>
        </w:rPr>
      </w:pPr>
      <w:r>
        <w:rPr>
          <w:rFonts w:hint="default" w:ascii="Times New Roman" w:hAnsi="Times New Roman" w:cs="Times New Roman"/>
        </w:rPr>
        <w:t>1、绩效评价原则</w:t>
      </w:r>
    </w:p>
    <w:p w14:paraId="45EE0E44">
      <w:pPr>
        <w:pageBreakBefore w:val="0"/>
        <w:kinsoku/>
        <w:wordWrap/>
        <w:overflowPunct/>
        <w:topLinePunct w:val="0"/>
        <w:autoSpaceDE/>
        <w:autoSpaceDN/>
        <w:bidi w:val="0"/>
        <w:adjustRightInd/>
        <w:spacing w:line="580" w:lineRule="exact"/>
        <w:ind w:firstLine="640"/>
        <w:textAlignment w:val="auto"/>
        <w:rPr>
          <w:rFonts w:hint="default" w:ascii="Times New Roman" w:hAnsi="Times New Roman" w:eastAsia="仿宋" w:cs="Times New Roman"/>
          <w:bCs/>
          <w:sz w:val="32"/>
          <w:szCs w:val="32"/>
        </w:rPr>
      </w:pPr>
      <w:r>
        <w:rPr>
          <w:rFonts w:hint="default" w:ascii="Times New Roman" w:hAnsi="Times New Roman" w:eastAsia="仿宋" w:cs="Times New Roman"/>
          <w:bCs/>
          <w:sz w:val="32"/>
          <w:szCs w:val="32"/>
        </w:rPr>
        <w:t>（1）科学公正。绩效评价应当运用科学合理的方法，按照规范的程序，对项目绩效进行客观、公正的反映。</w:t>
      </w:r>
    </w:p>
    <w:p w14:paraId="06016BD4">
      <w:pPr>
        <w:pageBreakBefore w:val="0"/>
        <w:kinsoku/>
        <w:wordWrap/>
        <w:overflowPunct/>
        <w:topLinePunct w:val="0"/>
        <w:autoSpaceDE/>
        <w:autoSpaceDN/>
        <w:bidi w:val="0"/>
        <w:adjustRightInd/>
        <w:spacing w:line="580" w:lineRule="exact"/>
        <w:ind w:firstLine="640"/>
        <w:textAlignment w:val="auto"/>
        <w:rPr>
          <w:rFonts w:hint="default" w:ascii="Times New Roman" w:hAnsi="Times New Roman" w:eastAsia="仿宋" w:cs="Times New Roman"/>
          <w:bCs/>
          <w:sz w:val="32"/>
          <w:szCs w:val="32"/>
        </w:rPr>
      </w:pPr>
      <w:r>
        <w:rPr>
          <w:rFonts w:hint="default" w:ascii="Times New Roman" w:hAnsi="Times New Roman" w:eastAsia="仿宋" w:cs="Times New Roman"/>
          <w:bCs/>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4FE22E2F">
      <w:pPr>
        <w:pageBreakBefore w:val="0"/>
        <w:kinsoku/>
        <w:wordWrap/>
        <w:overflowPunct/>
        <w:topLinePunct w:val="0"/>
        <w:autoSpaceDE/>
        <w:autoSpaceDN/>
        <w:bidi w:val="0"/>
        <w:adjustRightInd/>
        <w:spacing w:line="580" w:lineRule="exact"/>
        <w:ind w:firstLine="640"/>
        <w:textAlignment w:val="auto"/>
        <w:rPr>
          <w:rFonts w:hint="default" w:ascii="Times New Roman" w:hAnsi="Times New Roman" w:eastAsia="仿宋" w:cs="Times New Roman"/>
          <w:bCs/>
          <w:sz w:val="32"/>
          <w:szCs w:val="32"/>
        </w:rPr>
      </w:pPr>
      <w:r>
        <w:rPr>
          <w:rFonts w:hint="default" w:ascii="Times New Roman" w:hAnsi="Times New Roman" w:eastAsia="仿宋" w:cs="Times New Roman"/>
          <w:bCs/>
          <w:sz w:val="32"/>
          <w:szCs w:val="32"/>
        </w:rPr>
        <w:t>（3）激励约束。绩效评价结果应与预算安排、政策调整、改进管理实质性挂钩，体现奖优罚劣和激励相容导向，有效要安排、低效要压减、无效要问责。</w:t>
      </w:r>
    </w:p>
    <w:p w14:paraId="78E60575">
      <w:pPr>
        <w:pageBreakBefore w:val="0"/>
        <w:kinsoku/>
        <w:wordWrap/>
        <w:overflowPunct/>
        <w:topLinePunct w:val="0"/>
        <w:autoSpaceDE/>
        <w:autoSpaceDN/>
        <w:bidi w:val="0"/>
        <w:adjustRightInd/>
        <w:spacing w:line="580" w:lineRule="exact"/>
        <w:ind w:firstLine="640"/>
        <w:textAlignment w:val="auto"/>
        <w:rPr>
          <w:rFonts w:hint="default" w:ascii="Times New Roman" w:hAnsi="Times New Roman" w:eastAsia="仿宋" w:cs="Times New Roman"/>
          <w:bCs/>
          <w:sz w:val="32"/>
          <w:szCs w:val="32"/>
        </w:rPr>
      </w:pPr>
      <w:r>
        <w:rPr>
          <w:rFonts w:hint="default" w:ascii="Times New Roman" w:hAnsi="Times New Roman" w:eastAsia="仿宋" w:cs="Times New Roman"/>
          <w:bCs/>
          <w:sz w:val="32"/>
          <w:szCs w:val="32"/>
        </w:rPr>
        <w:t>（4）公开透明。绩效评价结果应依法依规公开，并自觉接受社会监督。</w:t>
      </w:r>
    </w:p>
    <w:p w14:paraId="7590BE93">
      <w:pPr>
        <w:pageBreakBefore w:val="0"/>
        <w:kinsoku/>
        <w:wordWrap/>
        <w:overflowPunct/>
        <w:topLinePunct w:val="0"/>
        <w:autoSpaceDE/>
        <w:autoSpaceDN/>
        <w:bidi w:val="0"/>
        <w:adjustRightInd/>
        <w:spacing w:line="580" w:lineRule="exact"/>
        <w:ind w:firstLine="640"/>
        <w:textAlignment w:val="auto"/>
        <w:rPr>
          <w:rFonts w:hint="default" w:ascii="Times New Roman" w:hAnsi="Times New Roman" w:eastAsia="仿宋" w:cs="Times New Roman"/>
          <w:bCs/>
          <w:sz w:val="32"/>
          <w:szCs w:val="32"/>
        </w:rPr>
      </w:pPr>
      <w:r>
        <w:rPr>
          <w:rFonts w:hint="default" w:ascii="Times New Roman" w:hAnsi="Times New Roman" w:eastAsia="仿宋" w:cs="Times New Roman"/>
          <w:bCs/>
          <w:sz w:val="32"/>
          <w:szCs w:val="32"/>
        </w:rPr>
        <w:t>本次项目支出绩效自评采用以上评价原则，根据《财政部关于印发&lt;财政支出绩效评价管理暂行办法&gt;的通知》（财预〔2011〕285号）、财政部《项目支出绩效评价管理办法》（财预﹝2020﹞10号）、关于印发《自治州财政支出绩效评价管理暂行办法》的通知（巴财预〔2019〕82号），我单位组织评价小组，对202</w:t>
      </w:r>
      <w:r>
        <w:rPr>
          <w:rFonts w:hint="default" w:ascii="Times New Roman" w:hAnsi="Times New Roman" w:eastAsia="仿宋" w:cs="Times New Roman"/>
          <w:bCs/>
          <w:sz w:val="32"/>
          <w:szCs w:val="32"/>
          <w:lang w:val="en-US" w:eastAsia="zh-CN"/>
        </w:rPr>
        <w:t>3</w:t>
      </w:r>
      <w:r>
        <w:rPr>
          <w:rFonts w:hint="default" w:ascii="Times New Roman" w:hAnsi="Times New Roman" w:eastAsia="仿宋" w:cs="Times New Roman"/>
          <w:bCs/>
          <w:sz w:val="32"/>
          <w:szCs w:val="32"/>
        </w:rPr>
        <w:t>年农产品成本调查经费项目实施情况评价，部门评价和财政评价在单位自评的基础上开展，职责明确，各有侧重，相互衔接。根据绩效评价结果体现奖优罚劣和激励相容导向。绩效评价结果依法依规公开，并自觉接受社会监督，对项目绩效进行客观、公正的反映。</w:t>
      </w:r>
    </w:p>
    <w:p w14:paraId="5EE2032C">
      <w:pPr>
        <w:spacing w:line="360" w:lineRule="auto"/>
        <w:ind w:firstLine="600" w:firstLineChars="200"/>
        <w:rPr>
          <w:rFonts w:hint="default" w:ascii="Times New Roman" w:hAnsi="Times New Roman" w:cs="Times New Roman"/>
        </w:rPr>
      </w:pPr>
      <w:r>
        <w:rPr>
          <w:rFonts w:hint="default" w:ascii="Times New Roman" w:hAnsi="Times New Roman" w:cs="Times New Roman"/>
        </w:rPr>
        <w:t>2、评价指标体系（附表说明）</w:t>
      </w:r>
    </w:p>
    <w:p w14:paraId="70658F7A">
      <w:pPr>
        <w:pStyle w:val="5"/>
        <w:spacing w:before="0" w:after="0" w:line="240" w:lineRule="auto"/>
        <w:jc w:val="center"/>
        <w:rPr>
          <w:rFonts w:hint="default" w:ascii="Times New Roman" w:hAnsi="Times New Roman" w:eastAsia="仿宋_GB2312" w:cs="Times New Roman"/>
          <w:b w:val="0"/>
          <w:bCs w:val="0"/>
          <w:sz w:val="30"/>
          <w:szCs w:val="24"/>
        </w:rPr>
      </w:pPr>
      <w:r>
        <w:rPr>
          <w:rFonts w:hint="default" w:ascii="Times New Roman" w:hAnsi="Times New Roman" w:eastAsia="仿宋" w:cs="Times New Roman"/>
          <w:b w:val="0"/>
          <w:bCs w:val="0"/>
          <w:sz w:val="30"/>
          <w:szCs w:val="24"/>
        </w:rPr>
        <w:t>202</w:t>
      </w:r>
      <w:r>
        <w:rPr>
          <w:rFonts w:hint="default" w:ascii="Times New Roman" w:hAnsi="Times New Roman" w:eastAsia="仿宋" w:cs="Times New Roman"/>
          <w:b w:val="0"/>
          <w:bCs w:val="0"/>
          <w:sz w:val="30"/>
          <w:szCs w:val="24"/>
          <w:lang w:val="en-US" w:eastAsia="zh-CN"/>
        </w:rPr>
        <w:t>3</w:t>
      </w:r>
      <w:r>
        <w:rPr>
          <w:rFonts w:hint="default" w:ascii="Times New Roman" w:hAnsi="Times New Roman" w:eastAsia="仿宋" w:cs="Times New Roman"/>
          <w:b w:val="0"/>
          <w:bCs w:val="0"/>
          <w:sz w:val="30"/>
          <w:szCs w:val="24"/>
        </w:rPr>
        <w:t>年农产品成本调查经费</w:t>
      </w:r>
      <w:r>
        <w:rPr>
          <w:rFonts w:hint="default" w:ascii="Times New Roman" w:hAnsi="Times New Roman" w:eastAsia="仿宋_GB2312" w:cs="Times New Roman"/>
          <w:b w:val="0"/>
          <w:bCs w:val="0"/>
          <w:sz w:val="30"/>
          <w:szCs w:val="24"/>
        </w:rPr>
        <w:t>项目支出绩效评价指标体系</w:t>
      </w:r>
    </w:p>
    <w:tbl>
      <w:tblPr>
        <w:tblStyle w:val="12"/>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14:paraId="36999B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14:paraId="5BAED49A">
            <w:pPr>
              <w:widowControl/>
              <w:spacing w:line="0" w:lineRule="atLeast"/>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一级指标</w:t>
            </w:r>
          </w:p>
        </w:tc>
        <w:tc>
          <w:tcPr>
            <w:tcW w:w="1478" w:type="dxa"/>
            <w:shd w:val="clear" w:color="auto" w:fill="FFFFFF"/>
            <w:vAlign w:val="center"/>
          </w:tcPr>
          <w:p w14:paraId="032577AA">
            <w:pPr>
              <w:widowControl/>
              <w:spacing w:line="0" w:lineRule="atLeast"/>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二级指标</w:t>
            </w:r>
          </w:p>
        </w:tc>
        <w:tc>
          <w:tcPr>
            <w:tcW w:w="1875" w:type="dxa"/>
            <w:tcBorders>
              <w:right w:val="single" w:color="auto" w:sz="4" w:space="0"/>
            </w:tcBorders>
            <w:shd w:val="clear" w:color="auto" w:fill="FFFFFF"/>
            <w:vAlign w:val="center"/>
          </w:tcPr>
          <w:p w14:paraId="43E4B0ED">
            <w:pPr>
              <w:widowControl/>
              <w:spacing w:line="0" w:lineRule="atLeast"/>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三级指标</w:t>
            </w:r>
          </w:p>
        </w:tc>
        <w:tc>
          <w:tcPr>
            <w:tcW w:w="3885" w:type="dxa"/>
            <w:tcBorders>
              <w:right w:val="single" w:color="auto" w:sz="4" w:space="0"/>
            </w:tcBorders>
            <w:shd w:val="clear" w:color="auto" w:fill="FFFFFF"/>
          </w:tcPr>
          <w:p w14:paraId="7C1EED4D">
            <w:pPr>
              <w:widowControl/>
              <w:spacing w:line="600" w:lineRule="auto"/>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指标解释</w:t>
            </w:r>
          </w:p>
        </w:tc>
        <w:tc>
          <w:tcPr>
            <w:tcW w:w="990" w:type="dxa"/>
            <w:tcBorders>
              <w:left w:val="single" w:color="auto" w:sz="4" w:space="0"/>
            </w:tcBorders>
            <w:shd w:val="clear" w:color="auto" w:fill="FFFFFF"/>
          </w:tcPr>
          <w:p w14:paraId="528AFBEC">
            <w:pPr>
              <w:widowControl/>
              <w:spacing w:line="600" w:lineRule="auto"/>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分值</w:t>
            </w:r>
          </w:p>
        </w:tc>
        <w:tc>
          <w:tcPr>
            <w:tcW w:w="874" w:type="dxa"/>
            <w:shd w:val="clear" w:color="auto" w:fill="FFFFFF"/>
          </w:tcPr>
          <w:p w14:paraId="3A9E106F">
            <w:pPr>
              <w:widowControl/>
              <w:spacing w:line="600" w:lineRule="auto"/>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得分</w:t>
            </w:r>
          </w:p>
        </w:tc>
      </w:tr>
      <w:tr w14:paraId="4F0DDB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14:paraId="72E65A54">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决策</w:t>
            </w:r>
          </w:p>
        </w:tc>
        <w:tc>
          <w:tcPr>
            <w:tcW w:w="1478" w:type="dxa"/>
            <w:vMerge w:val="restart"/>
            <w:shd w:val="clear" w:color="auto" w:fill="FFFFFF"/>
            <w:vAlign w:val="center"/>
          </w:tcPr>
          <w:p w14:paraId="168B66FF">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项目立项　</w:t>
            </w:r>
          </w:p>
        </w:tc>
        <w:tc>
          <w:tcPr>
            <w:tcW w:w="1875" w:type="dxa"/>
            <w:tcBorders>
              <w:right w:val="single" w:color="auto" w:sz="4" w:space="0"/>
            </w:tcBorders>
            <w:shd w:val="clear" w:color="auto" w:fill="FFFFFF"/>
            <w:vAlign w:val="center"/>
          </w:tcPr>
          <w:p w14:paraId="2AB51A85">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立项依据</w:t>
            </w:r>
          </w:p>
          <w:p w14:paraId="38675D04">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充分性</w:t>
            </w:r>
          </w:p>
        </w:tc>
        <w:tc>
          <w:tcPr>
            <w:tcW w:w="3885" w:type="dxa"/>
            <w:tcBorders>
              <w:right w:val="single" w:color="auto" w:sz="4" w:space="0"/>
            </w:tcBorders>
            <w:shd w:val="clear" w:color="auto" w:fill="FFFFFF"/>
            <w:vAlign w:val="center"/>
          </w:tcPr>
          <w:p w14:paraId="18FD4290">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tcPr>
          <w:p w14:paraId="39B6799B">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5</w:t>
            </w:r>
          </w:p>
        </w:tc>
        <w:tc>
          <w:tcPr>
            <w:tcW w:w="874" w:type="dxa"/>
            <w:tcBorders>
              <w:bottom w:val="single" w:color="auto" w:sz="4" w:space="0"/>
            </w:tcBorders>
            <w:shd w:val="clear" w:color="auto" w:fill="FFFFFF"/>
          </w:tcPr>
          <w:p w14:paraId="022344A5">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5</w:t>
            </w:r>
          </w:p>
        </w:tc>
      </w:tr>
      <w:tr w14:paraId="018BFD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14:paraId="3782A023">
            <w:pPr>
              <w:spacing w:line="0" w:lineRule="atLeast"/>
              <w:jc w:val="center"/>
              <w:rPr>
                <w:rFonts w:hint="default" w:ascii="Times New Roman" w:hAnsi="Times New Roman" w:cs="Times New Roman"/>
                <w:color w:val="000000"/>
                <w:kern w:val="0"/>
                <w:sz w:val="22"/>
              </w:rPr>
            </w:pPr>
          </w:p>
        </w:tc>
        <w:tc>
          <w:tcPr>
            <w:tcW w:w="1478" w:type="dxa"/>
            <w:vMerge w:val="continue"/>
            <w:shd w:val="clear" w:color="auto" w:fill="FFFFFF"/>
            <w:vAlign w:val="center"/>
          </w:tcPr>
          <w:p w14:paraId="16577FAE">
            <w:pPr>
              <w:widowControl/>
              <w:spacing w:line="0" w:lineRule="atLeast"/>
              <w:jc w:val="center"/>
              <w:rPr>
                <w:rFonts w:hint="default" w:ascii="Times New Roman" w:hAnsi="Times New Roman" w:cs="Times New Roman"/>
                <w:color w:val="000000"/>
                <w:kern w:val="0"/>
                <w:sz w:val="22"/>
              </w:rPr>
            </w:pPr>
          </w:p>
        </w:tc>
        <w:tc>
          <w:tcPr>
            <w:tcW w:w="1875" w:type="dxa"/>
            <w:tcBorders>
              <w:right w:val="single" w:color="auto" w:sz="4" w:space="0"/>
            </w:tcBorders>
            <w:shd w:val="clear" w:color="auto" w:fill="FFFFFF"/>
            <w:vAlign w:val="center"/>
          </w:tcPr>
          <w:p w14:paraId="2A6FCFD7">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立项程序</w:t>
            </w:r>
          </w:p>
          <w:p w14:paraId="5911C4CA">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规范性</w:t>
            </w:r>
          </w:p>
        </w:tc>
        <w:tc>
          <w:tcPr>
            <w:tcW w:w="3885" w:type="dxa"/>
            <w:tcBorders>
              <w:right w:val="single" w:color="auto" w:sz="4" w:space="0"/>
            </w:tcBorders>
            <w:shd w:val="clear" w:color="auto" w:fill="FFFFFF"/>
            <w:vAlign w:val="center"/>
          </w:tcPr>
          <w:p w14:paraId="5FCF1DA0">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项目申请、设立过程是否符合相关要求，用以反映和考核项目立项的规范情况</w:t>
            </w:r>
          </w:p>
        </w:tc>
        <w:tc>
          <w:tcPr>
            <w:tcW w:w="990" w:type="dxa"/>
            <w:tcBorders>
              <w:left w:val="single" w:color="auto" w:sz="4" w:space="0"/>
            </w:tcBorders>
            <w:shd w:val="clear" w:color="auto" w:fill="FFFFFF"/>
          </w:tcPr>
          <w:p w14:paraId="7C0F5750">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5</w:t>
            </w:r>
          </w:p>
        </w:tc>
        <w:tc>
          <w:tcPr>
            <w:tcW w:w="874" w:type="dxa"/>
            <w:shd w:val="clear" w:color="auto" w:fill="FFFFFF"/>
          </w:tcPr>
          <w:p w14:paraId="64659FF1">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5</w:t>
            </w:r>
          </w:p>
        </w:tc>
      </w:tr>
      <w:tr w14:paraId="3AF6C0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14:paraId="1521FC62">
            <w:pPr>
              <w:spacing w:line="0" w:lineRule="atLeast"/>
              <w:jc w:val="center"/>
              <w:rPr>
                <w:rFonts w:hint="default" w:ascii="Times New Roman" w:hAnsi="Times New Roman" w:cs="Times New Roman"/>
                <w:color w:val="000000"/>
                <w:kern w:val="0"/>
                <w:sz w:val="22"/>
              </w:rPr>
            </w:pPr>
          </w:p>
        </w:tc>
        <w:tc>
          <w:tcPr>
            <w:tcW w:w="1478" w:type="dxa"/>
            <w:vMerge w:val="restart"/>
            <w:shd w:val="clear" w:color="auto" w:fill="FFFFFF"/>
            <w:vAlign w:val="center"/>
          </w:tcPr>
          <w:p w14:paraId="34B66038">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绩效目标</w:t>
            </w:r>
          </w:p>
        </w:tc>
        <w:tc>
          <w:tcPr>
            <w:tcW w:w="1875" w:type="dxa"/>
            <w:tcBorders>
              <w:right w:val="single" w:color="auto" w:sz="4" w:space="0"/>
            </w:tcBorders>
            <w:shd w:val="clear" w:color="auto" w:fill="FFFFFF"/>
            <w:vAlign w:val="center"/>
          </w:tcPr>
          <w:p w14:paraId="1849CBD6">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绩效目标</w:t>
            </w:r>
          </w:p>
          <w:p w14:paraId="0190FE7D">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合理性</w:t>
            </w:r>
          </w:p>
        </w:tc>
        <w:tc>
          <w:tcPr>
            <w:tcW w:w="3885" w:type="dxa"/>
            <w:tcBorders>
              <w:right w:val="single" w:color="auto" w:sz="4" w:space="0"/>
            </w:tcBorders>
            <w:shd w:val="clear" w:color="000000" w:fill="FFFFFF"/>
            <w:vAlign w:val="center"/>
          </w:tcPr>
          <w:p w14:paraId="7B5E5775">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tcPr>
          <w:p w14:paraId="58E97551">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2.5</w:t>
            </w:r>
          </w:p>
        </w:tc>
        <w:tc>
          <w:tcPr>
            <w:tcW w:w="874" w:type="dxa"/>
            <w:shd w:val="clear" w:color="000000" w:fill="FFFFFF"/>
          </w:tcPr>
          <w:p w14:paraId="56387104">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2.5</w:t>
            </w:r>
          </w:p>
        </w:tc>
      </w:tr>
      <w:tr w14:paraId="5CCD84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14:paraId="7E14BD8C">
            <w:pPr>
              <w:widowControl/>
              <w:spacing w:line="0" w:lineRule="atLeast"/>
              <w:jc w:val="center"/>
              <w:rPr>
                <w:rFonts w:hint="default" w:ascii="Times New Roman" w:hAnsi="Times New Roman" w:cs="Times New Roman"/>
                <w:color w:val="000000"/>
                <w:kern w:val="0"/>
                <w:sz w:val="22"/>
              </w:rPr>
            </w:pPr>
          </w:p>
        </w:tc>
        <w:tc>
          <w:tcPr>
            <w:tcW w:w="1478" w:type="dxa"/>
            <w:vMerge w:val="continue"/>
            <w:shd w:val="clear" w:color="auto" w:fill="FFFFFF"/>
            <w:vAlign w:val="center"/>
          </w:tcPr>
          <w:p w14:paraId="3578A6FD">
            <w:pPr>
              <w:widowControl/>
              <w:spacing w:line="0" w:lineRule="atLeast"/>
              <w:jc w:val="center"/>
              <w:rPr>
                <w:rFonts w:hint="default" w:ascii="Times New Roman" w:hAnsi="Times New Roman" w:cs="Times New Roman"/>
                <w:color w:val="000000"/>
                <w:kern w:val="0"/>
                <w:sz w:val="22"/>
              </w:rPr>
            </w:pPr>
          </w:p>
        </w:tc>
        <w:tc>
          <w:tcPr>
            <w:tcW w:w="1875" w:type="dxa"/>
            <w:tcBorders>
              <w:right w:val="single" w:color="auto" w:sz="4" w:space="0"/>
            </w:tcBorders>
            <w:shd w:val="clear" w:color="auto" w:fill="FFFFFF"/>
            <w:vAlign w:val="center"/>
          </w:tcPr>
          <w:p w14:paraId="74028068">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绩效指标</w:t>
            </w:r>
          </w:p>
          <w:p w14:paraId="73DB6CB0">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明确性</w:t>
            </w:r>
          </w:p>
        </w:tc>
        <w:tc>
          <w:tcPr>
            <w:tcW w:w="3885" w:type="dxa"/>
            <w:tcBorders>
              <w:right w:val="single" w:color="auto" w:sz="4" w:space="0"/>
            </w:tcBorders>
            <w:shd w:val="clear" w:color="000000" w:fill="FFFFFF"/>
            <w:vAlign w:val="center"/>
          </w:tcPr>
          <w:p w14:paraId="1A4F0144">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tcPr>
          <w:p w14:paraId="5EAF5AAA">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2.5</w:t>
            </w:r>
          </w:p>
        </w:tc>
        <w:tc>
          <w:tcPr>
            <w:tcW w:w="874" w:type="dxa"/>
            <w:tcBorders>
              <w:bottom w:val="single" w:color="auto" w:sz="4" w:space="0"/>
            </w:tcBorders>
            <w:shd w:val="clear" w:color="000000" w:fill="FFFFFF"/>
          </w:tcPr>
          <w:p w14:paraId="1F92F1FB">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2.5</w:t>
            </w:r>
          </w:p>
        </w:tc>
      </w:tr>
      <w:tr w14:paraId="2273C5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14:paraId="5D2E9434">
            <w:pPr>
              <w:spacing w:line="0" w:lineRule="atLeast"/>
              <w:jc w:val="center"/>
              <w:rPr>
                <w:rFonts w:hint="default" w:ascii="Times New Roman" w:hAnsi="Times New Roman" w:cs="Times New Roman"/>
                <w:color w:val="000000"/>
                <w:kern w:val="0"/>
                <w:sz w:val="22"/>
              </w:rPr>
            </w:pPr>
          </w:p>
        </w:tc>
        <w:tc>
          <w:tcPr>
            <w:tcW w:w="1478" w:type="dxa"/>
            <w:vMerge w:val="restart"/>
            <w:shd w:val="clear" w:color="auto" w:fill="FFFFFF"/>
            <w:vAlign w:val="center"/>
          </w:tcPr>
          <w:p w14:paraId="09E785B9">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资金投入</w:t>
            </w:r>
          </w:p>
          <w:p w14:paraId="3E5FF699">
            <w:pPr>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　</w:t>
            </w:r>
          </w:p>
        </w:tc>
        <w:tc>
          <w:tcPr>
            <w:tcW w:w="1875" w:type="dxa"/>
            <w:tcBorders>
              <w:right w:val="single" w:color="auto" w:sz="4" w:space="0"/>
            </w:tcBorders>
            <w:shd w:val="clear" w:color="auto" w:fill="FFFFFF"/>
            <w:vAlign w:val="center"/>
          </w:tcPr>
          <w:p w14:paraId="1496938B">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预算编制</w:t>
            </w:r>
          </w:p>
          <w:p w14:paraId="1BF05408">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科学性</w:t>
            </w:r>
          </w:p>
        </w:tc>
        <w:tc>
          <w:tcPr>
            <w:tcW w:w="3885" w:type="dxa"/>
            <w:tcBorders>
              <w:right w:val="single" w:color="auto" w:sz="4" w:space="0"/>
            </w:tcBorders>
            <w:shd w:val="clear" w:color="auto" w:fill="FFFFFF"/>
            <w:vAlign w:val="center"/>
          </w:tcPr>
          <w:p w14:paraId="09097637">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tcPr>
          <w:p w14:paraId="43E50391">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2.5</w:t>
            </w:r>
          </w:p>
        </w:tc>
        <w:tc>
          <w:tcPr>
            <w:tcW w:w="874" w:type="dxa"/>
            <w:tcBorders>
              <w:bottom w:val="single" w:color="auto" w:sz="4" w:space="0"/>
            </w:tcBorders>
            <w:shd w:val="clear" w:color="auto" w:fill="FFFFFF"/>
          </w:tcPr>
          <w:p w14:paraId="44B93E74">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2.5</w:t>
            </w:r>
          </w:p>
        </w:tc>
      </w:tr>
      <w:tr w14:paraId="0961E2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14:paraId="426EC645">
            <w:pPr>
              <w:widowControl/>
              <w:spacing w:line="0" w:lineRule="atLeast"/>
              <w:jc w:val="center"/>
              <w:rPr>
                <w:rFonts w:hint="default" w:ascii="Times New Roman" w:hAnsi="Times New Roman" w:cs="Times New Roman"/>
                <w:color w:val="000000"/>
                <w:kern w:val="0"/>
                <w:sz w:val="22"/>
              </w:rPr>
            </w:pPr>
          </w:p>
        </w:tc>
        <w:tc>
          <w:tcPr>
            <w:tcW w:w="1478" w:type="dxa"/>
            <w:vMerge w:val="continue"/>
            <w:shd w:val="clear" w:color="auto" w:fill="FFFFFF"/>
            <w:vAlign w:val="center"/>
          </w:tcPr>
          <w:p w14:paraId="35F08197">
            <w:pPr>
              <w:widowControl/>
              <w:spacing w:line="0" w:lineRule="atLeast"/>
              <w:jc w:val="center"/>
              <w:rPr>
                <w:rFonts w:hint="default" w:ascii="Times New Roman" w:hAnsi="Times New Roman" w:cs="Times New Roman"/>
                <w:color w:val="000000"/>
                <w:kern w:val="0"/>
                <w:sz w:val="22"/>
              </w:rPr>
            </w:pPr>
          </w:p>
        </w:tc>
        <w:tc>
          <w:tcPr>
            <w:tcW w:w="1875" w:type="dxa"/>
            <w:tcBorders>
              <w:right w:val="single" w:color="auto" w:sz="4" w:space="0"/>
            </w:tcBorders>
            <w:shd w:val="clear" w:color="auto" w:fill="FFFFFF"/>
            <w:vAlign w:val="center"/>
          </w:tcPr>
          <w:p w14:paraId="3C69229A">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资金分配</w:t>
            </w:r>
          </w:p>
          <w:p w14:paraId="1D10B817">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合理性</w:t>
            </w:r>
          </w:p>
        </w:tc>
        <w:tc>
          <w:tcPr>
            <w:tcW w:w="3885" w:type="dxa"/>
            <w:tcBorders>
              <w:right w:val="single" w:color="auto" w:sz="4" w:space="0"/>
            </w:tcBorders>
            <w:shd w:val="clear" w:color="auto" w:fill="FFFFFF"/>
            <w:vAlign w:val="center"/>
          </w:tcPr>
          <w:p w14:paraId="681F4784">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tcPr>
          <w:p w14:paraId="1F1B0398">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2.5</w:t>
            </w:r>
          </w:p>
        </w:tc>
        <w:tc>
          <w:tcPr>
            <w:tcW w:w="874" w:type="dxa"/>
            <w:shd w:val="clear" w:color="auto" w:fill="FFFFFF"/>
          </w:tcPr>
          <w:p w14:paraId="139F47BE">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2.5</w:t>
            </w:r>
          </w:p>
        </w:tc>
      </w:tr>
      <w:tr w14:paraId="1186EC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14:paraId="4CE84180">
            <w:pPr>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过程</w:t>
            </w:r>
          </w:p>
        </w:tc>
        <w:tc>
          <w:tcPr>
            <w:tcW w:w="1478" w:type="dxa"/>
            <w:vMerge w:val="restart"/>
            <w:shd w:val="clear" w:color="auto" w:fill="FFFFFF"/>
            <w:vAlign w:val="center"/>
          </w:tcPr>
          <w:p w14:paraId="75D7F445">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资金管理</w:t>
            </w:r>
          </w:p>
        </w:tc>
        <w:tc>
          <w:tcPr>
            <w:tcW w:w="1875" w:type="dxa"/>
            <w:tcBorders>
              <w:right w:val="single" w:color="auto" w:sz="4" w:space="0"/>
            </w:tcBorders>
            <w:shd w:val="clear" w:color="auto" w:fill="FFFFFF"/>
            <w:vAlign w:val="center"/>
          </w:tcPr>
          <w:p w14:paraId="16B018B9">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资金到位率</w:t>
            </w:r>
          </w:p>
        </w:tc>
        <w:tc>
          <w:tcPr>
            <w:tcW w:w="3885" w:type="dxa"/>
            <w:tcBorders>
              <w:right w:val="single" w:color="auto" w:sz="4" w:space="0"/>
            </w:tcBorders>
            <w:shd w:val="clear" w:color="000000" w:fill="FFFFFF"/>
            <w:vAlign w:val="center"/>
          </w:tcPr>
          <w:p w14:paraId="3D77440B">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tcPr>
          <w:p w14:paraId="56E25E34">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4</w:t>
            </w:r>
          </w:p>
        </w:tc>
        <w:tc>
          <w:tcPr>
            <w:tcW w:w="874" w:type="dxa"/>
            <w:tcBorders>
              <w:bottom w:val="single" w:color="auto" w:sz="4" w:space="0"/>
            </w:tcBorders>
            <w:shd w:val="clear" w:color="000000" w:fill="FFFFFF"/>
          </w:tcPr>
          <w:p w14:paraId="4D132E0E">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4</w:t>
            </w:r>
          </w:p>
        </w:tc>
      </w:tr>
      <w:tr w14:paraId="598CDC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14:paraId="296ECF09">
            <w:pPr>
              <w:spacing w:line="0" w:lineRule="atLeast"/>
              <w:jc w:val="center"/>
              <w:rPr>
                <w:rFonts w:hint="default" w:ascii="Times New Roman" w:hAnsi="Times New Roman" w:cs="Times New Roman"/>
                <w:color w:val="000000"/>
                <w:kern w:val="0"/>
                <w:sz w:val="22"/>
              </w:rPr>
            </w:pPr>
          </w:p>
        </w:tc>
        <w:tc>
          <w:tcPr>
            <w:tcW w:w="1478" w:type="dxa"/>
            <w:vMerge w:val="continue"/>
            <w:shd w:val="clear" w:color="auto" w:fill="FFFFFF"/>
            <w:vAlign w:val="center"/>
          </w:tcPr>
          <w:p w14:paraId="0395036F">
            <w:pPr>
              <w:spacing w:line="0" w:lineRule="atLeast"/>
              <w:jc w:val="center"/>
              <w:rPr>
                <w:rFonts w:hint="default" w:ascii="Times New Roman" w:hAnsi="Times New Roman" w:cs="Times New Roman"/>
                <w:color w:val="000000"/>
                <w:kern w:val="0"/>
                <w:sz w:val="22"/>
              </w:rPr>
            </w:pPr>
          </w:p>
        </w:tc>
        <w:tc>
          <w:tcPr>
            <w:tcW w:w="1875" w:type="dxa"/>
            <w:tcBorders>
              <w:right w:val="single" w:color="auto" w:sz="4" w:space="0"/>
            </w:tcBorders>
            <w:shd w:val="clear" w:color="auto" w:fill="FFFFFF"/>
            <w:vAlign w:val="center"/>
          </w:tcPr>
          <w:p w14:paraId="3AF2F97E">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预算执行率</w:t>
            </w:r>
          </w:p>
        </w:tc>
        <w:tc>
          <w:tcPr>
            <w:tcW w:w="3885" w:type="dxa"/>
            <w:tcBorders>
              <w:right w:val="single" w:color="auto" w:sz="4" w:space="0"/>
            </w:tcBorders>
            <w:shd w:val="clear" w:color="auto" w:fill="FFFFFF"/>
            <w:vAlign w:val="center"/>
          </w:tcPr>
          <w:p w14:paraId="139E5F2F">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项目预算资金是否按照计划执行，用以反映或考核项目预算执行情况</w:t>
            </w:r>
          </w:p>
        </w:tc>
        <w:tc>
          <w:tcPr>
            <w:tcW w:w="990" w:type="dxa"/>
            <w:tcBorders>
              <w:left w:val="single" w:color="auto" w:sz="4" w:space="0"/>
            </w:tcBorders>
            <w:shd w:val="clear" w:color="auto" w:fill="FFFFFF"/>
          </w:tcPr>
          <w:p w14:paraId="71559234">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4</w:t>
            </w:r>
          </w:p>
        </w:tc>
        <w:tc>
          <w:tcPr>
            <w:tcW w:w="874" w:type="dxa"/>
            <w:tcBorders>
              <w:bottom w:val="single" w:color="auto" w:sz="4" w:space="0"/>
            </w:tcBorders>
            <w:shd w:val="clear" w:color="auto" w:fill="FFFFFF"/>
          </w:tcPr>
          <w:p w14:paraId="3E6740F0">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4</w:t>
            </w:r>
          </w:p>
        </w:tc>
      </w:tr>
      <w:tr w14:paraId="25F15A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14:paraId="3577A0BA">
            <w:pPr>
              <w:spacing w:line="0" w:lineRule="atLeast"/>
              <w:jc w:val="center"/>
              <w:rPr>
                <w:rFonts w:hint="default" w:ascii="Times New Roman" w:hAnsi="Times New Roman" w:cs="Times New Roman"/>
                <w:color w:val="000000"/>
                <w:kern w:val="0"/>
                <w:sz w:val="22"/>
              </w:rPr>
            </w:pPr>
          </w:p>
        </w:tc>
        <w:tc>
          <w:tcPr>
            <w:tcW w:w="1478" w:type="dxa"/>
            <w:shd w:val="clear" w:color="auto" w:fill="FFFFFF"/>
            <w:vAlign w:val="center"/>
          </w:tcPr>
          <w:p w14:paraId="5175838F">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资金管理</w:t>
            </w:r>
          </w:p>
        </w:tc>
        <w:tc>
          <w:tcPr>
            <w:tcW w:w="1875" w:type="dxa"/>
            <w:tcBorders>
              <w:right w:val="single" w:color="auto" w:sz="4" w:space="0"/>
            </w:tcBorders>
            <w:shd w:val="clear" w:color="auto" w:fill="FFFFFF"/>
            <w:vAlign w:val="center"/>
          </w:tcPr>
          <w:p w14:paraId="4078374D">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资金使用</w:t>
            </w:r>
          </w:p>
          <w:p w14:paraId="461D3BB6">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合规性</w:t>
            </w:r>
          </w:p>
        </w:tc>
        <w:tc>
          <w:tcPr>
            <w:tcW w:w="3885" w:type="dxa"/>
            <w:tcBorders>
              <w:right w:val="single" w:color="auto" w:sz="4" w:space="0"/>
            </w:tcBorders>
            <w:shd w:val="clear" w:color="000000" w:fill="FFFFFF"/>
            <w:vAlign w:val="center"/>
          </w:tcPr>
          <w:p w14:paraId="086ABA00">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tcPr>
          <w:p w14:paraId="1C2267A3">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4</w:t>
            </w:r>
          </w:p>
        </w:tc>
        <w:tc>
          <w:tcPr>
            <w:tcW w:w="874" w:type="dxa"/>
            <w:tcBorders>
              <w:bottom w:val="single" w:color="auto" w:sz="4" w:space="0"/>
            </w:tcBorders>
            <w:shd w:val="clear" w:color="000000" w:fill="FFFFFF"/>
          </w:tcPr>
          <w:p w14:paraId="32C58864">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4</w:t>
            </w:r>
          </w:p>
        </w:tc>
      </w:tr>
      <w:tr w14:paraId="0CF399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14:paraId="5D4C0844">
            <w:pPr>
              <w:spacing w:line="0" w:lineRule="atLeast"/>
              <w:jc w:val="center"/>
              <w:rPr>
                <w:rFonts w:hint="default" w:ascii="Times New Roman" w:hAnsi="Times New Roman" w:cs="Times New Roman"/>
                <w:color w:val="000000"/>
                <w:kern w:val="0"/>
                <w:sz w:val="22"/>
              </w:rPr>
            </w:pPr>
          </w:p>
        </w:tc>
        <w:tc>
          <w:tcPr>
            <w:tcW w:w="1478" w:type="dxa"/>
            <w:vMerge w:val="restart"/>
            <w:shd w:val="clear" w:color="auto" w:fill="FFFFFF"/>
            <w:vAlign w:val="center"/>
          </w:tcPr>
          <w:p w14:paraId="040B133A">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组织实施</w:t>
            </w:r>
          </w:p>
          <w:p w14:paraId="2CDCB2C7">
            <w:pPr>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　</w:t>
            </w:r>
          </w:p>
        </w:tc>
        <w:tc>
          <w:tcPr>
            <w:tcW w:w="1875" w:type="dxa"/>
            <w:tcBorders>
              <w:right w:val="single" w:color="auto" w:sz="4" w:space="0"/>
            </w:tcBorders>
            <w:shd w:val="clear" w:color="auto" w:fill="FFFFFF"/>
            <w:vAlign w:val="center"/>
          </w:tcPr>
          <w:p w14:paraId="7D64C33A">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管理制度</w:t>
            </w:r>
          </w:p>
          <w:p w14:paraId="4517A66D">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健全性</w:t>
            </w:r>
          </w:p>
        </w:tc>
        <w:tc>
          <w:tcPr>
            <w:tcW w:w="3885" w:type="dxa"/>
            <w:tcBorders>
              <w:right w:val="single" w:color="auto" w:sz="4" w:space="0"/>
            </w:tcBorders>
            <w:shd w:val="clear" w:color="000000" w:fill="FFFFFF"/>
            <w:vAlign w:val="center"/>
          </w:tcPr>
          <w:p w14:paraId="76F0F8A6">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tcPr>
          <w:p w14:paraId="26955EBF">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4</w:t>
            </w:r>
          </w:p>
        </w:tc>
        <w:tc>
          <w:tcPr>
            <w:tcW w:w="874" w:type="dxa"/>
            <w:tcBorders>
              <w:bottom w:val="single" w:color="auto" w:sz="4" w:space="0"/>
            </w:tcBorders>
            <w:shd w:val="clear" w:color="000000" w:fill="FFFFFF"/>
          </w:tcPr>
          <w:p w14:paraId="40DCD4D0">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4</w:t>
            </w:r>
          </w:p>
        </w:tc>
      </w:tr>
      <w:tr w14:paraId="2F7E1B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14:paraId="12276ED4">
            <w:pPr>
              <w:widowControl/>
              <w:spacing w:line="0" w:lineRule="atLeast"/>
              <w:jc w:val="center"/>
              <w:rPr>
                <w:rFonts w:hint="default" w:ascii="Times New Roman" w:hAnsi="Times New Roman" w:cs="Times New Roman"/>
                <w:color w:val="000000"/>
                <w:kern w:val="0"/>
                <w:sz w:val="22"/>
              </w:rPr>
            </w:pPr>
          </w:p>
        </w:tc>
        <w:tc>
          <w:tcPr>
            <w:tcW w:w="1478" w:type="dxa"/>
            <w:vMerge w:val="continue"/>
            <w:shd w:val="clear" w:color="auto" w:fill="FFFFFF"/>
            <w:vAlign w:val="center"/>
          </w:tcPr>
          <w:p w14:paraId="77E19426">
            <w:pPr>
              <w:widowControl/>
              <w:spacing w:line="0" w:lineRule="atLeast"/>
              <w:jc w:val="center"/>
              <w:rPr>
                <w:rFonts w:hint="default" w:ascii="Times New Roman" w:hAnsi="Times New Roman" w:cs="Times New Roman"/>
                <w:color w:val="000000"/>
                <w:kern w:val="0"/>
                <w:sz w:val="22"/>
              </w:rPr>
            </w:pPr>
          </w:p>
        </w:tc>
        <w:tc>
          <w:tcPr>
            <w:tcW w:w="1875" w:type="dxa"/>
            <w:tcBorders>
              <w:right w:val="single" w:color="auto" w:sz="4" w:space="0"/>
            </w:tcBorders>
            <w:shd w:val="clear" w:color="auto" w:fill="FFFFFF"/>
            <w:vAlign w:val="center"/>
          </w:tcPr>
          <w:p w14:paraId="79BD96CF">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制度执行</w:t>
            </w:r>
          </w:p>
          <w:p w14:paraId="59FA97DD">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有效性</w:t>
            </w:r>
          </w:p>
        </w:tc>
        <w:tc>
          <w:tcPr>
            <w:tcW w:w="3885" w:type="dxa"/>
            <w:tcBorders>
              <w:right w:val="single" w:color="auto" w:sz="4" w:space="0"/>
            </w:tcBorders>
            <w:shd w:val="clear" w:color="000000" w:fill="FFFFFF"/>
            <w:vAlign w:val="center"/>
          </w:tcPr>
          <w:p w14:paraId="15201CDF">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tcPr>
          <w:p w14:paraId="379292EF">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4</w:t>
            </w:r>
          </w:p>
        </w:tc>
        <w:tc>
          <w:tcPr>
            <w:tcW w:w="874" w:type="dxa"/>
            <w:tcBorders>
              <w:bottom w:val="single" w:color="auto" w:sz="4" w:space="0"/>
            </w:tcBorders>
            <w:shd w:val="clear" w:color="000000" w:fill="FFFFFF"/>
          </w:tcPr>
          <w:p w14:paraId="335FEEEA">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4</w:t>
            </w:r>
          </w:p>
        </w:tc>
      </w:tr>
      <w:tr w14:paraId="56D8D4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14:paraId="536FC5ED">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产出</w:t>
            </w:r>
          </w:p>
        </w:tc>
        <w:tc>
          <w:tcPr>
            <w:tcW w:w="1478" w:type="dxa"/>
            <w:shd w:val="clear" w:color="auto" w:fill="FFFFFF"/>
            <w:vAlign w:val="center"/>
          </w:tcPr>
          <w:p w14:paraId="67559D07">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产出数量</w:t>
            </w:r>
          </w:p>
        </w:tc>
        <w:tc>
          <w:tcPr>
            <w:tcW w:w="1875" w:type="dxa"/>
            <w:tcBorders>
              <w:right w:val="single" w:color="auto" w:sz="4" w:space="0"/>
            </w:tcBorders>
            <w:shd w:val="clear" w:color="auto" w:fill="FFFFFF"/>
            <w:vAlign w:val="center"/>
          </w:tcPr>
          <w:p w14:paraId="287DD93E">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实际完成率</w:t>
            </w:r>
          </w:p>
        </w:tc>
        <w:tc>
          <w:tcPr>
            <w:tcW w:w="3885" w:type="dxa"/>
            <w:tcBorders>
              <w:right w:val="single" w:color="auto" w:sz="4" w:space="0"/>
            </w:tcBorders>
            <w:shd w:val="clear" w:color="000000" w:fill="FFFFFF"/>
            <w:vAlign w:val="center"/>
          </w:tcPr>
          <w:p w14:paraId="0BF4680C">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tcPr>
          <w:p w14:paraId="090DACD7">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10</w:t>
            </w:r>
          </w:p>
        </w:tc>
        <w:tc>
          <w:tcPr>
            <w:tcW w:w="874" w:type="dxa"/>
            <w:shd w:val="clear" w:color="000000" w:fill="FFFFFF"/>
          </w:tcPr>
          <w:p w14:paraId="604FE319">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10</w:t>
            </w:r>
          </w:p>
        </w:tc>
      </w:tr>
      <w:tr w14:paraId="6C890B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14:paraId="32CF551A">
            <w:pPr>
              <w:widowControl/>
              <w:spacing w:line="0" w:lineRule="atLeast"/>
              <w:jc w:val="center"/>
              <w:rPr>
                <w:rFonts w:hint="default" w:ascii="Times New Roman" w:hAnsi="Times New Roman" w:cs="Times New Roman"/>
                <w:color w:val="000000"/>
                <w:kern w:val="0"/>
                <w:sz w:val="22"/>
              </w:rPr>
            </w:pPr>
          </w:p>
        </w:tc>
        <w:tc>
          <w:tcPr>
            <w:tcW w:w="1478" w:type="dxa"/>
            <w:shd w:val="clear" w:color="auto" w:fill="FFFFFF"/>
            <w:vAlign w:val="center"/>
          </w:tcPr>
          <w:p w14:paraId="6F451806">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产出质量</w:t>
            </w:r>
          </w:p>
        </w:tc>
        <w:tc>
          <w:tcPr>
            <w:tcW w:w="1875" w:type="dxa"/>
            <w:tcBorders>
              <w:right w:val="single" w:color="auto" w:sz="4" w:space="0"/>
            </w:tcBorders>
            <w:shd w:val="clear" w:color="auto" w:fill="FFFFFF"/>
            <w:vAlign w:val="center"/>
          </w:tcPr>
          <w:p w14:paraId="3C24BB37">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质量达标率</w:t>
            </w:r>
          </w:p>
        </w:tc>
        <w:tc>
          <w:tcPr>
            <w:tcW w:w="3885" w:type="dxa"/>
            <w:tcBorders>
              <w:right w:val="single" w:color="auto" w:sz="4" w:space="0"/>
            </w:tcBorders>
            <w:shd w:val="clear" w:color="000000" w:fill="FFFFFF"/>
            <w:vAlign w:val="center"/>
          </w:tcPr>
          <w:p w14:paraId="09D3A9BF">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tcPr>
          <w:p w14:paraId="417EC69F">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10</w:t>
            </w:r>
          </w:p>
        </w:tc>
        <w:tc>
          <w:tcPr>
            <w:tcW w:w="874" w:type="dxa"/>
            <w:shd w:val="clear" w:color="000000" w:fill="FFFFFF"/>
          </w:tcPr>
          <w:p w14:paraId="787F4195">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10</w:t>
            </w:r>
          </w:p>
        </w:tc>
      </w:tr>
      <w:tr w14:paraId="05BD92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14:paraId="5A27BDC9">
            <w:pPr>
              <w:spacing w:line="0" w:lineRule="atLeast"/>
              <w:jc w:val="center"/>
              <w:rPr>
                <w:rFonts w:hint="default" w:ascii="Times New Roman" w:hAnsi="Times New Roman" w:cs="Times New Roman"/>
                <w:color w:val="000000"/>
                <w:kern w:val="0"/>
                <w:sz w:val="22"/>
              </w:rPr>
            </w:pPr>
          </w:p>
        </w:tc>
        <w:tc>
          <w:tcPr>
            <w:tcW w:w="1478" w:type="dxa"/>
            <w:shd w:val="clear" w:color="auto" w:fill="FFFFFF"/>
            <w:vAlign w:val="center"/>
          </w:tcPr>
          <w:p w14:paraId="49389894">
            <w:pPr>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产出时效</w:t>
            </w:r>
          </w:p>
        </w:tc>
        <w:tc>
          <w:tcPr>
            <w:tcW w:w="1875" w:type="dxa"/>
            <w:tcBorders>
              <w:right w:val="single" w:color="auto" w:sz="4" w:space="0"/>
            </w:tcBorders>
            <w:shd w:val="clear" w:color="auto" w:fill="FFFFFF"/>
            <w:vAlign w:val="center"/>
          </w:tcPr>
          <w:p w14:paraId="1FC56495">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完成及时性</w:t>
            </w:r>
          </w:p>
        </w:tc>
        <w:tc>
          <w:tcPr>
            <w:tcW w:w="3885" w:type="dxa"/>
            <w:tcBorders>
              <w:right w:val="single" w:color="auto" w:sz="4" w:space="0"/>
            </w:tcBorders>
            <w:shd w:val="clear" w:color="000000" w:fill="FFFFFF"/>
            <w:vAlign w:val="center"/>
          </w:tcPr>
          <w:p w14:paraId="0C2CDB03">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tcPr>
          <w:p w14:paraId="6D52E5BD">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10</w:t>
            </w:r>
          </w:p>
        </w:tc>
        <w:tc>
          <w:tcPr>
            <w:tcW w:w="874" w:type="dxa"/>
            <w:shd w:val="clear" w:color="000000" w:fill="FFFFFF"/>
          </w:tcPr>
          <w:p w14:paraId="1E25F82E">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10</w:t>
            </w:r>
          </w:p>
        </w:tc>
      </w:tr>
      <w:tr w14:paraId="2A1CD0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14:paraId="6301B0F9">
            <w:pPr>
              <w:widowControl/>
              <w:spacing w:line="0" w:lineRule="atLeast"/>
              <w:jc w:val="center"/>
              <w:rPr>
                <w:rFonts w:hint="default" w:ascii="Times New Roman" w:hAnsi="Times New Roman" w:cs="Times New Roman"/>
                <w:color w:val="000000"/>
                <w:kern w:val="0"/>
                <w:sz w:val="22"/>
              </w:rPr>
            </w:pPr>
          </w:p>
        </w:tc>
        <w:tc>
          <w:tcPr>
            <w:tcW w:w="1478" w:type="dxa"/>
            <w:shd w:val="clear" w:color="auto" w:fill="FFFFFF"/>
            <w:vAlign w:val="center"/>
          </w:tcPr>
          <w:p w14:paraId="48E849C5">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产出成本</w:t>
            </w:r>
          </w:p>
        </w:tc>
        <w:tc>
          <w:tcPr>
            <w:tcW w:w="1875" w:type="dxa"/>
            <w:tcBorders>
              <w:right w:val="single" w:color="auto" w:sz="4" w:space="0"/>
            </w:tcBorders>
            <w:shd w:val="clear" w:color="auto" w:fill="FFFFFF"/>
            <w:vAlign w:val="center"/>
          </w:tcPr>
          <w:p w14:paraId="0EC0C46A">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成本节约率</w:t>
            </w:r>
          </w:p>
        </w:tc>
        <w:tc>
          <w:tcPr>
            <w:tcW w:w="3885" w:type="dxa"/>
            <w:tcBorders>
              <w:right w:val="single" w:color="auto" w:sz="4" w:space="0"/>
            </w:tcBorders>
            <w:shd w:val="clear" w:color="auto" w:fill="FFFFFF"/>
            <w:vAlign w:val="center"/>
          </w:tcPr>
          <w:p w14:paraId="6C596D5F">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tcPr>
          <w:p w14:paraId="24C3E80D">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10</w:t>
            </w:r>
          </w:p>
        </w:tc>
        <w:tc>
          <w:tcPr>
            <w:tcW w:w="874" w:type="dxa"/>
            <w:shd w:val="clear" w:color="auto" w:fill="FFFFFF"/>
          </w:tcPr>
          <w:p w14:paraId="1C5B0D11">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10</w:t>
            </w:r>
          </w:p>
        </w:tc>
      </w:tr>
      <w:tr w14:paraId="763BFB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14:paraId="2D2B401B">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效益　</w:t>
            </w:r>
          </w:p>
        </w:tc>
        <w:tc>
          <w:tcPr>
            <w:tcW w:w="1478" w:type="dxa"/>
            <w:vMerge w:val="restart"/>
            <w:shd w:val="clear" w:color="auto" w:fill="FFFFFF"/>
            <w:vAlign w:val="center"/>
          </w:tcPr>
          <w:p w14:paraId="7E95EE54">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项目效益　</w:t>
            </w:r>
          </w:p>
        </w:tc>
        <w:tc>
          <w:tcPr>
            <w:tcW w:w="1875" w:type="dxa"/>
            <w:tcBorders>
              <w:right w:val="single" w:color="auto" w:sz="4" w:space="0"/>
            </w:tcBorders>
            <w:shd w:val="clear" w:color="auto" w:fill="FFFFFF"/>
            <w:vAlign w:val="center"/>
          </w:tcPr>
          <w:p w14:paraId="180B46C4">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实施效益</w:t>
            </w:r>
          </w:p>
        </w:tc>
        <w:tc>
          <w:tcPr>
            <w:tcW w:w="3885" w:type="dxa"/>
            <w:tcBorders>
              <w:right w:val="single" w:color="auto" w:sz="4" w:space="0"/>
            </w:tcBorders>
            <w:shd w:val="clear" w:color="auto" w:fill="FFFFFF"/>
            <w:vAlign w:val="center"/>
          </w:tcPr>
          <w:p w14:paraId="12B55D5D">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项目实施所产生的效益。</w:t>
            </w:r>
          </w:p>
        </w:tc>
        <w:tc>
          <w:tcPr>
            <w:tcW w:w="990" w:type="dxa"/>
            <w:tcBorders>
              <w:left w:val="single" w:color="auto" w:sz="4" w:space="0"/>
            </w:tcBorders>
            <w:shd w:val="clear" w:color="auto" w:fill="FFFFFF"/>
          </w:tcPr>
          <w:p w14:paraId="2B6743D1">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15</w:t>
            </w:r>
          </w:p>
        </w:tc>
        <w:tc>
          <w:tcPr>
            <w:tcW w:w="874" w:type="dxa"/>
            <w:shd w:val="clear" w:color="auto" w:fill="FFFFFF"/>
          </w:tcPr>
          <w:p w14:paraId="68FB8D24">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15</w:t>
            </w:r>
          </w:p>
        </w:tc>
      </w:tr>
      <w:tr w14:paraId="76EC96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14:paraId="1F05599E">
            <w:pPr>
              <w:widowControl/>
              <w:spacing w:line="0" w:lineRule="atLeast"/>
              <w:jc w:val="center"/>
              <w:rPr>
                <w:rFonts w:hint="default" w:ascii="Times New Roman" w:hAnsi="Times New Roman" w:cs="Times New Roman"/>
                <w:color w:val="000000"/>
                <w:kern w:val="0"/>
                <w:sz w:val="22"/>
              </w:rPr>
            </w:pPr>
          </w:p>
        </w:tc>
        <w:tc>
          <w:tcPr>
            <w:tcW w:w="1478" w:type="dxa"/>
            <w:vMerge w:val="continue"/>
            <w:shd w:val="clear" w:color="auto" w:fill="FFFFFF"/>
            <w:vAlign w:val="center"/>
          </w:tcPr>
          <w:p w14:paraId="4231F501">
            <w:pPr>
              <w:widowControl/>
              <w:spacing w:line="0" w:lineRule="atLeast"/>
              <w:jc w:val="center"/>
              <w:rPr>
                <w:rFonts w:hint="default" w:ascii="Times New Roman" w:hAnsi="Times New Roman" w:cs="Times New Roman"/>
                <w:color w:val="000000"/>
                <w:kern w:val="0"/>
                <w:sz w:val="22"/>
              </w:rPr>
            </w:pPr>
          </w:p>
        </w:tc>
        <w:tc>
          <w:tcPr>
            <w:tcW w:w="1875" w:type="dxa"/>
            <w:tcBorders>
              <w:right w:val="single" w:color="auto" w:sz="4" w:space="0"/>
            </w:tcBorders>
            <w:shd w:val="clear" w:color="auto" w:fill="FFFFFF"/>
            <w:vAlign w:val="center"/>
          </w:tcPr>
          <w:p w14:paraId="32DCA441">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满意度</w:t>
            </w:r>
          </w:p>
        </w:tc>
        <w:tc>
          <w:tcPr>
            <w:tcW w:w="3885" w:type="dxa"/>
            <w:tcBorders>
              <w:right w:val="single" w:color="auto" w:sz="4" w:space="0"/>
            </w:tcBorders>
            <w:shd w:val="clear" w:color="000000" w:fill="FFFFFF"/>
            <w:vAlign w:val="center"/>
          </w:tcPr>
          <w:p w14:paraId="0D469C54">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社会公众或服务对象对项目实施效果的满意程度。</w:t>
            </w:r>
          </w:p>
        </w:tc>
        <w:tc>
          <w:tcPr>
            <w:tcW w:w="990" w:type="dxa"/>
            <w:tcBorders>
              <w:left w:val="single" w:color="auto" w:sz="4" w:space="0"/>
            </w:tcBorders>
            <w:shd w:val="clear" w:color="000000" w:fill="FFFFFF"/>
          </w:tcPr>
          <w:p w14:paraId="7994FA03">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5</w:t>
            </w:r>
          </w:p>
        </w:tc>
        <w:tc>
          <w:tcPr>
            <w:tcW w:w="874" w:type="dxa"/>
            <w:shd w:val="clear" w:color="000000" w:fill="FFFFFF"/>
          </w:tcPr>
          <w:p w14:paraId="46BE5F00">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5</w:t>
            </w:r>
          </w:p>
        </w:tc>
      </w:tr>
      <w:tr w14:paraId="63CA73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14:paraId="08208097">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b/>
                <w:bCs/>
                <w:color w:val="000000"/>
                <w:kern w:val="0"/>
                <w:sz w:val="22"/>
              </w:rPr>
              <w:t>总分</w:t>
            </w:r>
          </w:p>
        </w:tc>
        <w:tc>
          <w:tcPr>
            <w:tcW w:w="3885" w:type="dxa"/>
            <w:tcBorders>
              <w:right w:val="single" w:color="auto" w:sz="4" w:space="0"/>
            </w:tcBorders>
            <w:shd w:val="clear" w:color="auto" w:fill="FFFFFF"/>
          </w:tcPr>
          <w:p w14:paraId="1AFD006B">
            <w:pPr>
              <w:widowControl/>
              <w:spacing w:line="0" w:lineRule="atLeast"/>
              <w:jc w:val="center"/>
              <w:rPr>
                <w:rFonts w:hint="default" w:ascii="Times New Roman" w:hAnsi="Times New Roman" w:cs="Times New Roman"/>
                <w:color w:val="000000"/>
                <w:kern w:val="0"/>
                <w:sz w:val="22"/>
              </w:rPr>
            </w:pPr>
          </w:p>
        </w:tc>
        <w:tc>
          <w:tcPr>
            <w:tcW w:w="990" w:type="dxa"/>
            <w:tcBorders>
              <w:left w:val="single" w:color="auto" w:sz="4" w:space="0"/>
            </w:tcBorders>
            <w:shd w:val="clear" w:color="auto" w:fill="FFFFFF"/>
            <w:vAlign w:val="center"/>
          </w:tcPr>
          <w:p w14:paraId="1673ED2B">
            <w:pPr>
              <w:widowControl/>
              <w:spacing w:line="0" w:lineRule="atLeast"/>
              <w:jc w:val="center"/>
              <w:rPr>
                <w:rFonts w:hint="default" w:ascii="Times New Roman" w:hAnsi="Times New Roman" w:eastAsia="仿宋_GB2312" w:cs="Times New Roman"/>
                <w:color w:val="000000"/>
                <w:kern w:val="0"/>
                <w:sz w:val="22"/>
                <w:lang w:val="en-US" w:eastAsia="zh-CN"/>
              </w:rPr>
            </w:pPr>
            <w:r>
              <w:rPr>
                <w:rFonts w:hint="default" w:ascii="Times New Roman" w:hAnsi="Times New Roman" w:cs="Times New Roman"/>
                <w:color w:val="000000"/>
                <w:kern w:val="0"/>
                <w:sz w:val="22"/>
                <w:lang w:val="en-US" w:eastAsia="zh-CN"/>
              </w:rPr>
              <w:t>100</w:t>
            </w:r>
          </w:p>
        </w:tc>
        <w:tc>
          <w:tcPr>
            <w:tcW w:w="874" w:type="dxa"/>
            <w:shd w:val="clear" w:color="auto" w:fill="FFFFFF"/>
            <w:vAlign w:val="center"/>
          </w:tcPr>
          <w:p w14:paraId="728E6964">
            <w:pPr>
              <w:widowControl/>
              <w:spacing w:line="0" w:lineRule="atLeast"/>
              <w:jc w:val="center"/>
              <w:rPr>
                <w:rFonts w:hint="default" w:ascii="Times New Roman" w:hAnsi="Times New Roman" w:eastAsia="仿宋_GB2312" w:cs="Times New Roman"/>
                <w:color w:val="000000"/>
                <w:kern w:val="0"/>
                <w:sz w:val="22"/>
                <w:lang w:val="en-US" w:eastAsia="zh-CN"/>
              </w:rPr>
            </w:pPr>
            <w:r>
              <w:rPr>
                <w:rFonts w:hint="default" w:ascii="Times New Roman" w:hAnsi="Times New Roman" w:cs="Times New Roman"/>
                <w:color w:val="000000"/>
                <w:kern w:val="0"/>
                <w:sz w:val="22"/>
                <w:lang w:val="en-US" w:eastAsia="zh-CN"/>
              </w:rPr>
              <w:t>100</w:t>
            </w:r>
          </w:p>
        </w:tc>
      </w:tr>
    </w:tbl>
    <w:p w14:paraId="5BA48AC5">
      <w:pPr>
        <w:spacing w:line="360" w:lineRule="auto"/>
        <w:ind w:firstLine="600" w:firstLineChars="200"/>
        <w:rPr>
          <w:rFonts w:hint="default" w:ascii="Times New Roman" w:hAnsi="Times New Roman" w:cs="Times New Roman"/>
        </w:rPr>
      </w:pPr>
      <w:r>
        <w:rPr>
          <w:rFonts w:hint="default" w:ascii="Times New Roman" w:hAnsi="Times New Roman" w:cs="Times New Roman"/>
          <w:lang w:val="en-US" w:eastAsia="zh-CN"/>
        </w:rPr>
        <w:t>3、</w:t>
      </w:r>
      <w:r>
        <w:rPr>
          <w:rFonts w:hint="default" w:ascii="Times New Roman" w:hAnsi="Times New Roman" w:cs="Times New Roman"/>
        </w:rPr>
        <w:t>评价方法</w:t>
      </w:r>
    </w:p>
    <w:p w14:paraId="773149D8">
      <w:pPr>
        <w:spacing w:line="360" w:lineRule="auto"/>
        <w:ind w:firstLine="600" w:firstLineChars="200"/>
        <w:rPr>
          <w:rFonts w:hint="default" w:ascii="Times New Roman" w:hAnsi="Times New Roman" w:cs="Times New Roman"/>
        </w:rPr>
      </w:pPr>
      <w:r>
        <w:rPr>
          <w:rFonts w:hint="default" w:ascii="Times New Roman" w:hAnsi="Times New Roman" w:cs="Times New Roman"/>
        </w:rPr>
        <w:t>比较法。是指将实施情况与绩效目标、历史情况、不同部门和地区同类支出情况进行比较的方法。</w:t>
      </w:r>
    </w:p>
    <w:p w14:paraId="632CF4F2">
      <w:pPr>
        <w:spacing w:line="360" w:lineRule="auto"/>
        <w:ind w:firstLine="600" w:firstLineChars="200"/>
        <w:rPr>
          <w:rFonts w:hint="default" w:ascii="Times New Roman" w:hAnsi="Times New Roman" w:cs="Times New Roman"/>
        </w:rPr>
      </w:pPr>
      <w:r>
        <w:rPr>
          <w:rFonts w:hint="default" w:ascii="Times New Roman" w:hAnsi="Times New Roman" w:cs="Times New Roman"/>
        </w:rPr>
        <w:t>本次项目支出绩效自评采用比较法，按照财政项目支出绩效自评工作的要求，结合我单位实际情况，组织相关人员根据项目绩效表指标内容，对所有项目内容进行核实和考评。项目评价内容主要围绕：数量指标、质量指标、时效指标、成本指标、社会效益指标、满意度指标等开展。</w:t>
      </w:r>
    </w:p>
    <w:p w14:paraId="3E5B99B8">
      <w:pPr>
        <w:spacing w:line="360" w:lineRule="auto"/>
        <w:ind w:firstLine="600" w:firstLineChars="200"/>
        <w:rPr>
          <w:rFonts w:hint="default" w:ascii="Times New Roman" w:hAnsi="Times New Roman" w:cs="Times New Roman"/>
        </w:rPr>
      </w:pPr>
      <w:r>
        <w:rPr>
          <w:rFonts w:hint="default" w:ascii="Times New Roman" w:hAnsi="Times New Roman" w:cs="Times New Roman"/>
        </w:rPr>
        <w:t>原因是：比较法能通过对年初设置的三级指标内容、历年该项目完成历史情况与当年完成情况进行对比，可以清楚明了体现出项目实施情况，在此基础上进行评价。</w:t>
      </w:r>
    </w:p>
    <w:p w14:paraId="0345DDE2">
      <w:pPr>
        <w:spacing w:line="360" w:lineRule="auto"/>
        <w:ind w:firstLine="600" w:firstLineChars="200"/>
        <w:rPr>
          <w:rFonts w:hint="default" w:ascii="Times New Roman" w:hAnsi="Times New Roman" w:cs="Times New Roman"/>
        </w:rPr>
      </w:pPr>
      <w:r>
        <w:rPr>
          <w:rFonts w:hint="default" w:ascii="Times New Roman" w:hAnsi="Times New Roman" w:cs="Times New Roman"/>
        </w:rPr>
        <w:t>4、评价标准</w:t>
      </w:r>
    </w:p>
    <w:p w14:paraId="710E3226">
      <w:pPr>
        <w:pageBreakBefore w:val="0"/>
        <w:kinsoku/>
        <w:wordWrap/>
        <w:overflowPunct/>
        <w:topLinePunct w:val="0"/>
        <w:autoSpaceDE/>
        <w:autoSpaceDN/>
        <w:bidi w:val="0"/>
        <w:adjustRightInd/>
        <w:spacing w:line="58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计划标准。指以预先制定的目标、计划、预算、定额等作为评价标准。</w:t>
      </w:r>
    </w:p>
    <w:p w14:paraId="3DEED827">
      <w:pPr>
        <w:pageBreakBefore w:val="0"/>
        <w:kinsoku/>
        <w:wordWrap/>
        <w:overflowPunct/>
        <w:topLinePunct w:val="0"/>
        <w:autoSpaceDE/>
        <w:autoSpaceDN/>
        <w:bidi w:val="0"/>
        <w:adjustRightInd/>
        <w:spacing w:line="580" w:lineRule="exact"/>
        <w:ind w:firstLine="640" w:firstLineChars="200"/>
        <w:textAlignment w:val="auto"/>
        <w:rPr>
          <w:rFonts w:hint="default" w:ascii="Times New Roman" w:hAnsi="Times New Roman" w:cs="Times New Roman"/>
          <w:bCs/>
          <w:color w:val="FF0000"/>
          <w:sz w:val="32"/>
          <w:szCs w:val="32"/>
        </w:rPr>
      </w:pPr>
      <w:r>
        <w:rPr>
          <w:rFonts w:hint="default" w:ascii="Times New Roman" w:hAnsi="Times New Roman" w:eastAsia="仿宋" w:cs="Times New Roman"/>
          <w:sz w:val="32"/>
          <w:szCs w:val="32"/>
        </w:rPr>
        <w:t>本次项目支出绩效自评采用计划标准。原因是：该项目设置年初绩效目标申报表时按照自治县下达文件的指标数据制定出实施标准，并根据该项目本年度计划实施情况确定三级指标。采用计划标准，可提高预算编制和预算额度测算准确率，使评价结果更加科学真实。</w:t>
      </w:r>
    </w:p>
    <w:p w14:paraId="3C2996E5">
      <w:pPr>
        <w:pageBreakBefore w:val="0"/>
        <w:numPr>
          <w:ilvl w:val="0"/>
          <w:numId w:val="1"/>
        </w:numPr>
        <w:kinsoku/>
        <w:wordWrap/>
        <w:overflowPunct/>
        <w:topLinePunct w:val="0"/>
        <w:autoSpaceDE/>
        <w:autoSpaceDN/>
        <w:bidi w:val="0"/>
        <w:adjustRightInd/>
        <w:spacing w:line="580" w:lineRule="exact"/>
        <w:textAlignment w:val="auto"/>
        <w:rPr>
          <w:rFonts w:hint="default" w:ascii="Times New Roman" w:hAnsi="Times New Roman" w:eastAsia="仿宋_GB2312" w:cs="Times New Roman"/>
          <w:b w:val="0"/>
          <w:bCs w:val="0"/>
        </w:rPr>
      </w:pPr>
      <w:bookmarkStart w:id="7" w:name="_Toc68703833"/>
      <w:r>
        <w:rPr>
          <w:rFonts w:hint="default" w:ascii="Times New Roman" w:hAnsi="Times New Roman" w:eastAsia="仿宋_GB2312" w:cs="Times New Roman"/>
          <w:b w:val="0"/>
          <w:bCs w:val="0"/>
        </w:rPr>
        <w:t>绩效评价工作过程。</w:t>
      </w:r>
      <w:bookmarkEnd w:id="7"/>
    </w:p>
    <w:p w14:paraId="6D83FB0D">
      <w:pPr>
        <w:pageBreakBefore w:val="0"/>
        <w:kinsoku/>
        <w:wordWrap/>
        <w:overflowPunct/>
        <w:topLinePunct w:val="0"/>
        <w:autoSpaceDE/>
        <w:autoSpaceDN/>
        <w:bidi w:val="0"/>
        <w:adjustRightInd/>
        <w:spacing w:line="58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1、前期准备：</w:t>
      </w:r>
      <w:r>
        <w:rPr>
          <w:rFonts w:hint="default" w:ascii="Times New Roman" w:hAnsi="Times New Roman" w:eastAsia="仿宋" w:cs="Times New Roman"/>
          <w:sz w:val="32"/>
          <w:szCs w:val="32"/>
          <w:lang w:val="zh-CN"/>
        </w:rPr>
        <w:t>评价组通过前期调研</w:t>
      </w:r>
      <w:r>
        <w:rPr>
          <w:rFonts w:hint="default" w:ascii="Times New Roman" w:hAnsi="Times New Roman" w:eastAsia="仿宋" w:cs="Times New Roman"/>
          <w:sz w:val="32"/>
          <w:szCs w:val="32"/>
        </w:rPr>
        <w:t>确定绩效评价对象和范围，</w:t>
      </w:r>
      <w:r>
        <w:rPr>
          <w:rFonts w:hint="default" w:ascii="Times New Roman" w:hAnsi="Times New Roman" w:eastAsia="仿宋" w:cs="Times New Roman"/>
          <w:sz w:val="32"/>
          <w:szCs w:val="32"/>
          <w:lang w:val="zh-CN"/>
        </w:rPr>
        <w:t>确定了评价的目的、方法以及评价的原则，根据项目的内容和特征制定了评价指标体系及评价标准以及评价实施方案，修正并确定所需资料清单，最终确定</w:t>
      </w:r>
      <w:r>
        <w:rPr>
          <w:rFonts w:hint="default" w:ascii="Times New Roman" w:hAnsi="Times New Roman" w:eastAsia="仿宋" w:cs="Times New Roman"/>
          <w:sz w:val="32"/>
          <w:szCs w:val="32"/>
        </w:rPr>
        <w:t>绩效评价工作方案；</w:t>
      </w:r>
    </w:p>
    <w:p w14:paraId="5A8D62BD">
      <w:pPr>
        <w:pageBreakBefore w:val="0"/>
        <w:kinsoku/>
        <w:wordWrap/>
        <w:overflowPunct/>
        <w:topLinePunct w:val="0"/>
        <w:autoSpaceDE/>
        <w:autoSpaceDN/>
        <w:bidi w:val="0"/>
        <w:adjustRightInd/>
        <w:spacing w:line="58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 xml:space="preserve">2、组织实施：评价组收集绩效评价相关数据资料，进行现场调研、座谈；并与项目实施负责人沟通，了解资金的内容、操作流程、管理机制、资金使用方向等情况，分析形成初步结论。 </w:t>
      </w:r>
    </w:p>
    <w:p w14:paraId="3FF1A0B5">
      <w:pPr>
        <w:pageBreakBefore w:val="0"/>
        <w:kinsoku/>
        <w:wordWrap/>
        <w:overflowPunct/>
        <w:topLinePunct w:val="0"/>
        <w:autoSpaceDE/>
        <w:autoSpaceDN/>
        <w:bidi w:val="0"/>
        <w:adjustRightInd/>
        <w:spacing w:line="58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rPr>
        <w:t>3、分析评价：</w:t>
      </w:r>
      <w:r>
        <w:rPr>
          <w:rFonts w:hint="default" w:ascii="Times New Roman" w:hAnsi="Times New Roman" w:eastAsia="仿宋" w:cs="Times New Roman"/>
          <w:sz w:val="32"/>
          <w:szCs w:val="32"/>
          <w:lang w:val="en-US" w:eastAsia="zh-CN"/>
        </w:rPr>
        <w:t>评价组按照绩效评价的原则和规范，对取得的资料进行审查核实，对采集的数据进行分析，按照绩效评价指标评分表逐项进行打分、分析，汇总各方评价结果，综合分析并形成评价结论。</w:t>
      </w:r>
    </w:p>
    <w:p w14:paraId="43AC975D">
      <w:pPr>
        <w:pStyle w:val="9"/>
        <w:rPr>
          <w:rFonts w:hint="default" w:ascii="Times New Roman" w:hAnsi="Times New Roman" w:cs="Times New Roman"/>
        </w:rPr>
      </w:pPr>
    </w:p>
    <w:p w14:paraId="7EEB2C51">
      <w:pPr>
        <w:pStyle w:val="4"/>
        <w:keepNext/>
        <w:keepLines/>
        <w:pageBreakBefore w:val="0"/>
        <w:widowControl w:val="0"/>
        <w:kinsoku/>
        <w:wordWrap/>
        <w:overflowPunct/>
        <w:topLinePunct w:val="0"/>
        <w:autoSpaceDE/>
        <w:autoSpaceDN/>
        <w:bidi w:val="0"/>
        <w:adjustRightInd/>
        <w:snapToGrid/>
        <w:spacing w:before="0" w:after="0" w:line="560" w:lineRule="exact"/>
        <w:textAlignment w:val="auto"/>
        <w:rPr>
          <w:rFonts w:hint="default" w:ascii="Times New Roman" w:hAnsi="Times New Roman" w:eastAsia="仿宋" w:cs="Times New Roman"/>
          <w:sz w:val="32"/>
          <w:szCs w:val="32"/>
        </w:rPr>
      </w:pPr>
      <w:bookmarkStart w:id="8" w:name="_Toc68703834"/>
      <w:r>
        <w:rPr>
          <w:rFonts w:hint="default" w:ascii="Times New Roman" w:hAnsi="Times New Roman" w:eastAsia="仿宋" w:cs="Times New Roman"/>
          <w:sz w:val="32"/>
          <w:szCs w:val="32"/>
        </w:rPr>
        <w:t>三、综合评价情况及评价结论</w:t>
      </w:r>
      <w:bookmarkEnd w:id="8"/>
    </w:p>
    <w:p w14:paraId="3CAEBCA1">
      <w:pPr>
        <w:pStyle w:val="5"/>
        <w:keepNext/>
        <w:keepLines/>
        <w:pageBreakBefore w:val="0"/>
        <w:widowControl w:val="0"/>
        <w:kinsoku/>
        <w:wordWrap/>
        <w:overflowPunct/>
        <w:topLinePunct w:val="0"/>
        <w:autoSpaceDE/>
        <w:autoSpaceDN/>
        <w:bidi w:val="0"/>
        <w:adjustRightInd/>
        <w:snapToGrid/>
        <w:spacing w:before="0" w:after="0" w:line="560" w:lineRule="exact"/>
        <w:textAlignment w:val="auto"/>
        <w:rPr>
          <w:rFonts w:hint="default" w:ascii="Times New Roman" w:hAnsi="Times New Roman" w:eastAsia="仿宋_GB2312" w:cs="Times New Roman"/>
          <w:b w:val="0"/>
          <w:bCs w:val="0"/>
        </w:rPr>
      </w:pPr>
      <w:bookmarkStart w:id="9" w:name="_Toc68703835"/>
      <w:r>
        <w:rPr>
          <w:rFonts w:hint="default" w:ascii="Times New Roman" w:hAnsi="Times New Roman" w:eastAsia="仿宋_GB2312" w:cs="Times New Roman"/>
          <w:b w:val="0"/>
          <w:bCs w:val="0"/>
        </w:rPr>
        <w:t>（一）综合评价情况</w:t>
      </w:r>
      <w:bookmarkEnd w:id="9"/>
    </w:p>
    <w:p w14:paraId="53C0AC80">
      <w:pPr>
        <w:spacing w:line="360" w:lineRule="auto"/>
        <w:ind w:firstLine="600" w:firstLineChars="200"/>
        <w:jc w:val="center"/>
        <w:rPr>
          <w:rFonts w:hint="default" w:ascii="Times New Roman" w:hAnsi="Times New Roman" w:cs="Times New Roman"/>
          <w:color w:val="FF0000"/>
        </w:rPr>
      </w:pPr>
      <w:r>
        <w:rPr>
          <w:rFonts w:hint="default" w:ascii="Times New Roman" w:hAnsi="Times New Roman" w:eastAsia="仿宋" w:cs="Times New Roman"/>
          <w:color w:val="000000" w:themeColor="text1"/>
          <w14:textFill>
            <w14:solidFill>
              <w14:schemeClr w14:val="tx1"/>
            </w14:solidFill>
          </w14:textFill>
        </w:rPr>
        <w:t>本项目严格按照科学公正、统筹兼顾、激励约束、公开透明绩效评价原则，采用比较法评价方法，坚持计划绩效评价标准对本项目的立项、项绩效目标、资金投入、资金管理、组织实施、产出数量、产出质量、产出时效、产出成本、项目效益进行了综合评价。</w:t>
      </w:r>
      <w:r>
        <w:rPr>
          <w:rFonts w:hint="default" w:ascii="Times New Roman" w:hAnsi="Times New Roman" w:eastAsia="仿宋" w:cs="Times New Roman"/>
        </w:rPr>
        <w:t>202</w:t>
      </w:r>
      <w:r>
        <w:rPr>
          <w:rFonts w:hint="default" w:ascii="Times New Roman" w:hAnsi="Times New Roman" w:eastAsia="仿宋" w:cs="Times New Roman"/>
          <w:lang w:val="en-US" w:eastAsia="zh-CN"/>
        </w:rPr>
        <w:t>3</w:t>
      </w:r>
      <w:r>
        <w:rPr>
          <w:rFonts w:hint="default" w:ascii="Times New Roman" w:hAnsi="Times New Roman" w:eastAsia="仿宋" w:cs="Times New Roman"/>
        </w:rPr>
        <w:t>年农产品成本调查经费项目评价得分情况</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14:paraId="1771E5CB">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3D4550E1">
            <w:pPr>
              <w:jc w:val="center"/>
              <w:rPr>
                <w:rFonts w:hint="default" w:ascii="Times New Roman" w:hAnsi="Times New Roman" w:cs="Times New Roman"/>
                <w:b/>
                <w:bCs/>
                <w:color w:val="000000"/>
                <w:sz w:val="22"/>
              </w:rPr>
            </w:pPr>
            <w:r>
              <w:rPr>
                <w:rFonts w:hint="default" w:ascii="Times New Roman" w:hAnsi="Times New Roman" w:cs="Times New Roman"/>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6BFEE5DA">
            <w:pPr>
              <w:jc w:val="center"/>
              <w:rPr>
                <w:rFonts w:hint="default" w:ascii="Times New Roman" w:hAnsi="Times New Roman" w:cs="Times New Roman"/>
                <w:b/>
                <w:bCs/>
                <w:color w:val="000000"/>
                <w:sz w:val="22"/>
              </w:rPr>
            </w:pPr>
            <w:r>
              <w:rPr>
                <w:rFonts w:hint="default" w:ascii="Times New Roman" w:hAnsi="Times New Roman" w:cs="Times New Roman"/>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61C8FB7B">
            <w:pPr>
              <w:jc w:val="center"/>
              <w:rPr>
                <w:rFonts w:hint="default" w:ascii="Times New Roman" w:hAnsi="Times New Roman" w:cs="Times New Roman"/>
                <w:b/>
                <w:bCs/>
                <w:color w:val="000000"/>
                <w:sz w:val="22"/>
              </w:rPr>
            </w:pPr>
            <w:r>
              <w:rPr>
                <w:rFonts w:hint="default" w:ascii="Times New Roman" w:hAnsi="Times New Roman" w:cs="Times New Roman"/>
                <w:b/>
                <w:bCs/>
                <w:color w:val="000000"/>
                <w:sz w:val="22"/>
              </w:rPr>
              <w:t>得分</w:t>
            </w:r>
          </w:p>
        </w:tc>
      </w:tr>
      <w:tr w14:paraId="562F15F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099CB2E">
            <w:pPr>
              <w:jc w:val="center"/>
              <w:rPr>
                <w:rFonts w:hint="default" w:ascii="Times New Roman" w:hAnsi="Times New Roman" w:cs="Times New Roman"/>
                <w:color w:val="000000"/>
                <w:sz w:val="22"/>
              </w:rPr>
            </w:pPr>
            <w:r>
              <w:rPr>
                <w:rFonts w:hint="default" w:ascii="Times New Roman" w:hAnsi="Times New Roman" w:cs="Times New Roman"/>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614978B9">
            <w:pPr>
              <w:jc w:val="center"/>
              <w:rPr>
                <w:rFonts w:hint="default" w:ascii="Times New Roman" w:hAnsi="Times New Roman" w:eastAsia="仿宋_GB2312"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4C000EC">
            <w:pPr>
              <w:jc w:val="center"/>
              <w:rPr>
                <w:rFonts w:hint="default" w:ascii="Times New Roman" w:hAnsi="Times New Roman" w:eastAsia="仿宋_GB2312" w:cs="Times New Roman"/>
                <w:color w:val="000000"/>
                <w:sz w:val="22"/>
                <w:lang w:val="en-US" w:eastAsia="zh-CN"/>
              </w:rPr>
            </w:pPr>
            <w:r>
              <w:rPr>
                <w:rFonts w:hint="default" w:ascii="Times New Roman" w:hAnsi="Times New Roman" w:cs="Times New Roman"/>
                <w:color w:val="000000"/>
                <w:sz w:val="22"/>
                <w:lang w:val="en-US" w:eastAsia="zh-CN"/>
              </w:rPr>
              <w:t>20</w:t>
            </w:r>
          </w:p>
        </w:tc>
      </w:tr>
      <w:tr w14:paraId="741E43E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36DBA57">
            <w:pPr>
              <w:jc w:val="center"/>
              <w:rPr>
                <w:rFonts w:hint="default" w:ascii="Times New Roman" w:hAnsi="Times New Roman" w:cs="Times New Roman"/>
                <w:color w:val="000000"/>
                <w:sz w:val="22"/>
              </w:rPr>
            </w:pPr>
            <w:r>
              <w:rPr>
                <w:rFonts w:hint="default" w:ascii="Times New Roman" w:hAnsi="Times New Roman" w:cs="Times New Roman"/>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215E784C">
            <w:pPr>
              <w:jc w:val="center"/>
              <w:rPr>
                <w:rFonts w:hint="default" w:ascii="Times New Roman" w:hAnsi="Times New Roman" w:eastAsia="仿宋_GB2312"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E71591C">
            <w:pPr>
              <w:jc w:val="center"/>
              <w:rPr>
                <w:rFonts w:hint="default" w:ascii="Times New Roman" w:hAnsi="Times New Roman" w:eastAsia="仿宋_GB2312" w:cs="Times New Roman"/>
                <w:color w:val="000000"/>
                <w:sz w:val="22"/>
                <w:lang w:val="en-US" w:eastAsia="zh-CN"/>
              </w:rPr>
            </w:pPr>
            <w:r>
              <w:rPr>
                <w:rFonts w:hint="default" w:ascii="Times New Roman" w:hAnsi="Times New Roman" w:cs="Times New Roman"/>
                <w:color w:val="000000"/>
                <w:sz w:val="22"/>
                <w:lang w:val="en-US" w:eastAsia="zh-CN"/>
              </w:rPr>
              <w:t>20</w:t>
            </w:r>
          </w:p>
        </w:tc>
      </w:tr>
      <w:tr w14:paraId="3AC3FD7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9F6DA91">
            <w:pPr>
              <w:jc w:val="center"/>
              <w:rPr>
                <w:rFonts w:hint="default" w:ascii="Times New Roman" w:hAnsi="Times New Roman" w:cs="Times New Roman"/>
                <w:color w:val="000000"/>
                <w:sz w:val="22"/>
              </w:rPr>
            </w:pPr>
            <w:r>
              <w:rPr>
                <w:rFonts w:hint="default" w:ascii="Times New Roman" w:hAnsi="Times New Roman" w:cs="Times New Roman"/>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3AC0870F">
            <w:pPr>
              <w:jc w:val="center"/>
              <w:rPr>
                <w:rFonts w:hint="default" w:ascii="Times New Roman" w:hAnsi="Times New Roman" w:eastAsia="仿宋_GB2312" w:cs="Times New Roman"/>
                <w:color w:val="000000"/>
                <w:sz w:val="22"/>
                <w:lang w:val="en-US" w:eastAsia="zh-CN"/>
              </w:rPr>
            </w:pPr>
            <w:r>
              <w:rPr>
                <w:rFonts w:hint="default" w:ascii="Times New Roman" w:hAnsi="Times New Roman" w:cs="Times New Roman"/>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547944AB">
            <w:pPr>
              <w:jc w:val="center"/>
              <w:rPr>
                <w:rFonts w:hint="default" w:ascii="Times New Roman" w:hAnsi="Times New Roman" w:eastAsia="仿宋_GB2312" w:cs="Times New Roman"/>
                <w:color w:val="000000"/>
                <w:sz w:val="22"/>
                <w:lang w:val="en-US" w:eastAsia="zh-CN"/>
              </w:rPr>
            </w:pPr>
            <w:r>
              <w:rPr>
                <w:rFonts w:hint="default" w:ascii="Times New Roman" w:hAnsi="Times New Roman" w:cs="Times New Roman"/>
                <w:color w:val="000000"/>
                <w:sz w:val="22"/>
                <w:lang w:val="en-US" w:eastAsia="zh-CN"/>
              </w:rPr>
              <w:t>40</w:t>
            </w:r>
          </w:p>
        </w:tc>
      </w:tr>
      <w:tr w14:paraId="1B1C457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5577FB1">
            <w:pPr>
              <w:jc w:val="center"/>
              <w:rPr>
                <w:rFonts w:hint="default" w:ascii="Times New Roman" w:hAnsi="Times New Roman" w:cs="Times New Roman"/>
                <w:color w:val="000000"/>
                <w:sz w:val="22"/>
              </w:rPr>
            </w:pPr>
            <w:r>
              <w:rPr>
                <w:rFonts w:hint="default" w:ascii="Times New Roman" w:hAnsi="Times New Roman" w:cs="Times New Roman"/>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14935B43">
            <w:pPr>
              <w:jc w:val="center"/>
              <w:rPr>
                <w:rFonts w:hint="default" w:ascii="Times New Roman" w:hAnsi="Times New Roman" w:eastAsia="仿宋_GB2312"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036F270F">
            <w:pPr>
              <w:jc w:val="center"/>
              <w:rPr>
                <w:rFonts w:hint="default" w:ascii="Times New Roman" w:hAnsi="Times New Roman" w:eastAsia="仿宋_GB2312" w:cs="Times New Roman"/>
                <w:color w:val="000000"/>
                <w:sz w:val="22"/>
                <w:lang w:val="en-US" w:eastAsia="zh-CN"/>
              </w:rPr>
            </w:pPr>
            <w:r>
              <w:rPr>
                <w:rFonts w:hint="default" w:ascii="Times New Roman" w:hAnsi="Times New Roman" w:cs="Times New Roman"/>
                <w:color w:val="000000"/>
                <w:sz w:val="22"/>
                <w:lang w:val="en-US" w:eastAsia="zh-CN"/>
              </w:rPr>
              <w:t>20</w:t>
            </w:r>
          </w:p>
        </w:tc>
      </w:tr>
      <w:tr w14:paraId="433B972A">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0C37F25">
            <w:pPr>
              <w:jc w:val="center"/>
              <w:rPr>
                <w:rFonts w:hint="default" w:ascii="Times New Roman" w:hAnsi="Times New Roman" w:cs="Times New Roman"/>
                <w:b/>
                <w:bCs/>
                <w:color w:val="000000"/>
                <w:sz w:val="22"/>
              </w:rPr>
            </w:pPr>
            <w:r>
              <w:rPr>
                <w:rFonts w:hint="default" w:ascii="Times New Roman" w:hAnsi="Times New Roman" w:cs="Times New Roman"/>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3A676D2D">
            <w:pPr>
              <w:jc w:val="center"/>
              <w:rPr>
                <w:rFonts w:hint="default" w:ascii="Times New Roman" w:hAnsi="Times New Roman" w:eastAsia="仿宋_GB2312" w:cs="Times New Roman"/>
                <w:b/>
                <w:bCs/>
                <w:color w:val="000000"/>
                <w:sz w:val="22"/>
                <w:lang w:val="en-US" w:eastAsia="zh-CN"/>
              </w:rPr>
            </w:pPr>
            <w:r>
              <w:rPr>
                <w:rFonts w:hint="default" w:ascii="Times New Roman" w:hAnsi="Times New Roman" w:cs="Times New Roman"/>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2DEAB0E7">
            <w:pPr>
              <w:jc w:val="center"/>
              <w:rPr>
                <w:rFonts w:hint="default" w:ascii="Times New Roman" w:hAnsi="Times New Roman" w:eastAsia="仿宋_GB2312" w:cs="Times New Roman"/>
                <w:b/>
                <w:bCs/>
                <w:color w:val="000000"/>
                <w:sz w:val="22"/>
                <w:lang w:val="en-US" w:eastAsia="zh-CN"/>
              </w:rPr>
            </w:pPr>
            <w:r>
              <w:rPr>
                <w:rFonts w:hint="default" w:ascii="Times New Roman" w:hAnsi="Times New Roman" w:cs="Times New Roman"/>
                <w:b/>
                <w:bCs/>
                <w:color w:val="000000"/>
                <w:sz w:val="22"/>
                <w:lang w:val="en-US" w:eastAsia="zh-CN"/>
              </w:rPr>
              <w:t>100</w:t>
            </w:r>
          </w:p>
        </w:tc>
      </w:tr>
    </w:tbl>
    <w:p w14:paraId="735717C0">
      <w:pPr>
        <w:pStyle w:val="5"/>
        <w:keepNext/>
        <w:keepLines/>
        <w:pageBreakBefore w:val="0"/>
        <w:widowControl w:val="0"/>
        <w:kinsoku/>
        <w:wordWrap/>
        <w:overflowPunct/>
        <w:topLinePunct w:val="0"/>
        <w:autoSpaceDE/>
        <w:autoSpaceDN/>
        <w:bidi w:val="0"/>
        <w:adjustRightInd/>
        <w:snapToGrid/>
        <w:spacing w:before="0" w:after="0" w:line="560" w:lineRule="exact"/>
        <w:textAlignment w:val="auto"/>
        <w:rPr>
          <w:rFonts w:hint="default" w:ascii="Times New Roman" w:hAnsi="Times New Roman" w:eastAsia="仿宋_GB2312" w:cs="Times New Roman"/>
          <w:b w:val="0"/>
          <w:bCs w:val="0"/>
        </w:rPr>
      </w:pPr>
      <w:bookmarkStart w:id="10" w:name="_Toc68703836"/>
      <w:r>
        <w:rPr>
          <w:rFonts w:hint="default" w:ascii="Times New Roman" w:hAnsi="Times New Roman" w:eastAsia="仿宋_GB2312" w:cs="Times New Roman"/>
          <w:b w:val="0"/>
          <w:bCs w:val="0"/>
        </w:rPr>
        <w:t>（二）评价结论</w:t>
      </w:r>
      <w:bookmarkEnd w:id="10"/>
    </w:p>
    <w:p w14:paraId="66E21A6A">
      <w:pPr>
        <w:spacing w:line="360" w:lineRule="auto"/>
        <w:ind w:firstLine="600" w:firstLineChars="200"/>
        <w:jc w:val="left"/>
        <w:rPr>
          <w:rFonts w:hint="default" w:ascii="Times New Roman" w:hAnsi="Times New Roman" w:eastAsia="仿宋" w:cs="Times New Roman"/>
          <w:color w:val="000000" w:themeColor="text1"/>
          <w14:textFill>
            <w14:solidFill>
              <w14:schemeClr w14:val="tx1"/>
            </w14:solidFill>
          </w14:textFill>
        </w:rPr>
      </w:pPr>
      <w:r>
        <w:rPr>
          <w:rFonts w:hint="default" w:ascii="Times New Roman" w:hAnsi="Times New Roman" w:eastAsia="仿宋" w:cs="Times New Roman"/>
          <w:color w:val="000000" w:themeColor="text1"/>
          <w14:textFill>
            <w14:solidFill>
              <w14:schemeClr w14:val="tx1"/>
            </w14:solidFill>
          </w14:textFill>
        </w:rPr>
        <w:t>本项目的项目决策、项目过程、项目产出、项目效益均达到了预期要求，最终得分为100分，项目达成年度指标。</w:t>
      </w:r>
    </w:p>
    <w:p w14:paraId="77A57EE6">
      <w:pPr>
        <w:pStyle w:val="4"/>
        <w:pageBreakBefore w:val="0"/>
        <w:widowControl w:val="0"/>
        <w:kinsoku/>
        <w:wordWrap/>
        <w:overflowPunct/>
        <w:topLinePunct w:val="0"/>
        <w:autoSpaceDE/>
        <w:autoSpaceDN/>
        <w:bidi w:val="0"/>
        <w:adjustRightInd/>
        <w:snapToGrid/>
        <w:spacing w:before="0" w:after="0" w:line="560" w:lineRule="exact"/>
        <w:textAlignment w:val="auto"/>
        <w:rPr>
          <w:rFonts w:hint="default" w:ascii="Times New Roman" w:hAnsi="Times New Roman" w:eastAsia="仿宋" w:cs="Times New Roman"/>
          <w:sz w:val="32"/>
          <w:szCs w:val="32"/>
        </w:rPr>
      </w:pPr>
      <w:bookmarkStart w:id="11" w:name="_Toc68703837"/>
      <w:r>
        <w:rPr>
          <w:rFonts w:hint="default" w:ascii="Times New Roman" w:hAnsi="Times New Roman" w:eastAsia="仿宋" w:cs="Times New Roman"/>
          <w:sz w:val="32"/>
          <w:szCs w:val="32"/>
        </w:rPr>
        <w:t>四、绩效评价指标分析</w:t>
      </w:r>
      <w:bookmarkEnd w:id="11"/>
    </w:p>
    <w:p w14:paraId="18899E71">
      <w:pPr>
        <w:pStyle w:val="5"/>
        <w:pageBreakBefore w:val="0"/>
        <w:widowControl w:val="0"/>
        <w:kinsoku/>
        <w:wordWrap/>
        <w:overflowPunct/>
        <w:topLinePunct w:val="0"/>
        <w:autoSpaceDE/>
        <w:autoSpaceDN/>
        <w:bidi w:val="0"/>
        <w:adjustRightInd/>
        <w:snapToGrid/>
        <w:spacing w:before="0" w:after="0" w:line="560" w:lineRule="exact"/>
        <w:textAlignment w:val="auto"/>
        <w:rPr>
          <w:rFonts w:hint="default" w:ascii="Times New Roman" w:hAnsi="Times New Roman" w:eastAsia="仿宋_GB2312" w:cs="Times New Roman"/>
          <w:b w:val="0"/>
          <w:bCs w:val="0"/>
        </w:rPr>
      </w:pPr>
      <w:bookmarkStart w:id="12" w:name="_Toc68703838"/>
      <w:r>
        <w:rPr>
          <w:rFonts w:hint="default" w:ascii="Times New Roman" w:hAnsi="Times New Roman" w:eastAsia="仿宋_GB2312" w:cs="Times New Roman"/>
          <w:b w:val="0"/>
          <w:bCs w:val="0"/>
        </w:rPr>
        <w:t>（一）项目决策情况。</w:t>
      </w:r>
      <w:bookmarkEnd w:id="12"/>
    </w:p>
    <w:p w14:paraId="48E0F491">
      <w:pPr>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cs="Times New Roman"/>
        </w:rPr>
      </w:pPr>
      <w:r>
        <w:rPr>
          <w:rFonts w:hint="default" w:ascii="Times New Roman" w:hAnsi="Times New Roman" w:cs="Times New Roman"/>
        </w:rPr>
        <w:t>1、立项依据充分性</w:t>
      </w:r>
    </w:p>
    <w:p w14:paraId="57A6EBE9">
      <w:pPr>
        <w:pageBreakBefore w:val="0"/>
        <w:kinsoku/>
        <w:wordWrap/>
        <w:overflowPunct/>
        <w:topLinePunct w:val="0"/>
        <w:autoSpaceDE/>
        <w:autoSpaceDN/>
        <w:bidi w:val="0"/>
        <w:adjustRightInd/>
        <w:spacing w:line="580" w:lineRule="exact"/>
        <w:ind w:firstLine="600" w:firstLineChars="200"/>
        <w:textAlignment w:val="auto"/>
        <w:rPr>
          <w:rFonts w:hint="default" w:ascii="Times New Roman" w:hAnsi="Times New Roman" w:cs="Times New Roman"/>
        </w:rPr>
      </w:pPr>
      <w:r>
        <w:rPr>
          <w:rFonts w:hint="default" w:ascii="Times New Roman" w:hAnsi="Times New Roman" w:eastAsia="仿宋" w:cs="Times New Roman"/>
        </w:rPr>
        <w:t>国家发展和改革委《关于印发&lt;农产品成本调查管理办法&gt;（修订版）的通知》（发改价格规[2017]1454号），自治区财政厅《关于提前下达</w:t>
      </w:r>
      <w:bookmarkStart w:id="13" w:name="_Hlk69404930"/>
      <w:r>
        <w:rPr>
          <w:rFonts w:hint="default" w:ascii="Times New Roman" w:hAnsi="Times New Roman" w:eastAsia="仿宋" w:cs="Times New Roman"/>
        </w:rPr>
        <w:t>202</w:t>
      </w:r>
      <w:r>
        <w:rPr>
          <w:rFonts w:hint="default" w:ascii="Times New Roman" w:hAnsi="Times New Roman" w:eastAsia="仿宋" w:cs="Times New Roman"/>
          <w:lang w:val="en-US" w:eastAsia="zh-CN"/>
        </w:rPr>
        <w:t>3</w:t>
      </w:r>
      <w:r>
        <w:rPr>
          <w:rFonts w:hint="default" w:ascii="Times New Roman" w:hAnsi="Times New Roman" w:eastAsia="仿宋" w:cs="Times New Roman"/>
        </w:rPr>
        <w:t>年度产品成本调查经费</w:t>
      </w:r>
      <w:bookmarkEnd w:id="13"/>
      <w:r>
        <w:rPr>
          <w:rFonts w:hint="default" w:ascii="Times New Roman" w:hAnsi="Times New Roman" w:eastAsia="仿宋" w:cs="Times New Roman"/>
        </w:rPr>
        <w:t>的通知》（新财建【2019】492号）、巴州发改委《关于202</w:t>
      </w:r>
      <w:r>
        <w:rPr>
          <w:rFonts w:hint="default" w:ascii="Times New Roman" w:hAnsi="Times New Roman" w:eastAsia="仿宋" w:cs="Times New Roman"/>
          <w:lang w:val="en-US" w:eastAsia="zh-CN"/>
        </w:rPr>
        <w:t>3</w:t>
      </w:r>
      <w:r>
        <w:rPr>
          <w:rFonts w:hint="default" w:ascii="Times New Roman" w:hAnsi="Times New Roman" w:eastAsia="仿宋" w:cs="Times New Roman"/>
        </w:rPr>
        <w:t>年农产品成本调查经费分配方案（意见）》，符合国家法律法规、国民经济发展规划和相关政策；与部门职责范围相符，属于部门履职所需；属于公共财政支持范围，符合中央、地方事权支出责任划分原则；与相关部门无同类项目。</w:t>
      </w:r>
    </w:p>
    <w:p w14:paraId="25036C81">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cs="Times New Roman"/>
        </w:rPr>
      </w:pPr>
      <w:r>
        <w:rPr>
          <w:rFonts w:hint="default" w:ascii="Times New Roman" w:hAnsi="Times New Roman" w:cs="Times New Roman"/>
        </w:rPr>
        <w:t>2、立项程序规范性</w:t>
      </w:r>
    </w:p>
    <w:p w14:paraId="70AACB39">
      <w:pPr>
        <w:pageBreakBefore w:val="0"/>
        <w:kinsoku/>
        <w:wordWrap/>
        <w:overflowPunct/>
        <w:topLinePunct w:val="0"/>
        <w:autoSpaceDE/>
        <w:autoSpaceDN/>
        <w:bidi w:val="0"/>
        <w:adjustRightInd/>
        <w:spacing w:line="580" w:lineRule="exact"/>
        <w:ind w:firstLine="600" w:firstLineChars="200"/>
        <w:textAlignment w:val="auto"/>
        <w:rPr>
          <w:rFonts w:hint="default" w:ascii="Times New Roman" w:hAnsi="Times New Roman" w:eastAsia="仿宋" w:cs="Times New Roman"/>
        </w:rPr>
      </w:pPr>
      <w:r>
        <w:rPr>
          <w:rFonts w:hint="default" w:ascii="Times New Roman" w:hAnsi="Times New Roman" w:eastAsia="仿宋" w:cs="Times New Roman"/>
        </w:rPr>
        <w:t>该项目按照规定的程序申请设立，具有完整的审批文件、材料。</w:t>
      </w:r>
    </w:p>
    <w:p w14:paraId="50524EEE">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cs="Times New Roman"/>
        </w:rPr>
      </w:pPr>
      <w:r>
        <w:rPr>
          <w:rFonts w:hint="default" w:ascii="Times New Roman" w:hAnsi="Times New Roman" w:cs="Times New Roman"/>
        </w:rPr>
        <w:t>3、绩效目标合理性</w:t>
      </w:r>
    </w:p>
    <w:p w14:paraId="27299131">
      <w:pPr>
        <w:pageBreakBefore w:val="0"/>
        <w:kinsoku/>
        <w:wordWrap/>
        <w:overflowPunct/>
        <w:topLinePunct w:val="0"/>
        <w:autoSpaceDE/>
        <w:autoSpaceDN/>
        <w:bidi w:val="0"/>
        <w:adjustRightInd/>
        <w:spacing w:line="580" w:lineRule="exact"/>
        <w:ind w:firstLine="600" w:firstLineChars="200"/>
        <w:textAlignment w:val="auto"/>
        <w:rPr>
          <w:rFonts w:hint="default" w:ascii="Times New Roman" w:hAnsi="Times New Roman" w:eastAsia="仿宋" w:cs="Times New Roman"/>
        </w:rPr>
      </w:pPr>
      <w:r>
        <w:rPr>
          <w:rFonts w:hint="default" w:ascii="Times New Roman" w:hAnsi="Times New Roman" w:eastAsia="仿宋" w:cs="Times New Roman"/>
        </w:rPr>
        <w:t>202</w:t>
      </w:r>
      <w:r>
        <w:rPr>
          <w:rFonts w:hint="default" w:ascii="Times New Roman" w:hAnsi="Times New Roman" w:eastAsia="仿宋" w:cs="Times New Roman"/>
          <w:lang w:val="en-US" w:eastAsia="zh-CN"/>
        </w:rPr>
        <w:t>3</w:t>
      </w:r>
      <w:r>
        <w:rPr>
          <w:rFonts w:hint="default" w:ascii="Times New Roman" w:hAnsi="Times New Roman" w:eastAsia="仿宋" w:cs="Times New Roman"/>
        </w:rPr>
        <w:t>年度产品成本调查经费项目设立了项目绩效目标，与202</w:t>
      </w:r>
      <w:r>
        <w:rPr>
          <w:rFonts w:hint="default" w:ascii="Times New Roman" w:hAnsi="Times New Roman" w:eastAsia="仿宋" w:cs="Times New Roman"/>
          <w:lang w:val="en-US" w:eastAsia="zh-CN"/>
        </w:rPr>
        <w:t>3</w:t>
      </w:r>
      <w:r>
        <w:rPr>
          <w:rFonts w:hint="default" w:ascii="Times New Roman" w:hAnsi="Times New Roman" w:eastAsia="仿宋" w:cs="Times New Roman"/>
        </w:rPr>
        <w:t>年度产品成本调查工作具有相关性，项目的预期产出效益和效果也均能符合正常的业绩水平，并且与预算确定的项目投资额或资金量相匹配。</w:t>
      </w:r>
    </w:p>
    <w:p w14:paraId="414FC8E1">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cs="Times New Roman"/>
        </w:rPr>
      </w:pPr>
      <w:r>
        <w:rPr>
          <w:rFonts w:hint="default" w:ascii="Times New Roman" w:hAnsi="Times New Roman" w:cs="Times New Roman"/>
        </w:rPr>
        <w:t>4、绩效指标明确性</w:t>
      </w:r>
    </w:p>
    <w:p w14:paraId="2188F4F7">
      <w:pPr>
        <w:pageBreakBefore w:val="0"/>
        <w:kinsoku/>
        <w:wordWrap/>
        <w:overflowPunct/>
        <w:topLinePunct w:val="0"/>
        <w:autoSpaceDE/>
        <w:autoSpaceDN/>
        <w:bidi w:val="0"/>
        <w:adjustRightInd/>
        <w:spacing w:line="580" w:lineRule="exact"/>
        <w:ind w:firstLine="600" w:firstLineChars="200"/>
        <w:textAlignment w:val="auto"/>
        <w:rPr>
          <w:rFonts w:hint="default" w:ascii="Times New Roman" w:hAnsi="Times New Roman" w:eastAsia="仿宋" w:cs="Times New Roman"/>
        </w:rPr>
      </w:pPr>
      <w:bookmarkStart w:id="14" w:name="_Hlk68699917"/>
      <w:r>
        <w:rPr>
          <w:rFonts w:hint="default" w:ascii="Times New Roman" w:hAnsi="Times New Roman" w:eastAsia="仿宋" w:cs="Times New Roman"/>
        </w:rPr>
        <w:t>202</w:t>
      </w:r>
      <w:r>
        <w:rPr>
          <w:rFonts w:hint="default" w:ascii="Times New Roman" w:hAnsi="Times New Roman" w:eastAsia="仿宋" w:cs="Times New Roman"/>
          <w:lang w:val="en-US" w:eastAsia="zh-CN"/>
        </w:rPr>
        <w:t>3</w:t>
      </w:r>
      <w:r>
        <w:rPr>
          <w:rFonts w:hint="default" w:ascii="Times New Roman" w:hAnsi="Times New Roman" w:eastAsia="仿宋" w:cs="Times New Roman"/>
        </w:rPr>
        <w:t>年度产品成本项目将项目绩效目标细化分解为具体的绩效指标，一级指标共3条，二级指标共7条，三级指标共8条，其中量化指标条数共6条，所有绩效指标均通过清晰、可衡量的指标值予以体现，并且做到了与项目目标任务数或计划数相对应。</w:t>
      </w:r>
      <w:bookmarkEnd w:id="14"/>
    </w:p>
    <w:p w14:paraId="13C78BB2">
      <w:pPr>
        <w:spacing w:line="360" w:lineRule="auto"/>
        <w:rPr>
          <w:rFonts w:hint="default" w:ascii="Times New Roman" w:hAnsi="Times New Roman" w:cs="Times New Roman"/>
        </w:rPr>
      </w:pPr>
      <w:r>
        <w:rPr>
          <w:rFonts w:hint="default" w:ascii="Times New Roman" w:hAnsi="Times New Roman" w:cs="Times New Roman"/>
        </w:rPr>
        <w:t>5、预算编制科学性</w:t>
      </w:r>
    </w:p>
    <w:p w14:paraId="16B7CC10">
      <w:pPr>
        <w:pageBreakBefore w:val="0"/>
        <w:kinsoku/>
        <w:wordWrap/>
        <w:overflowPunct/>
        <w:topLinePunct w:val="0"/>
        <w:autoSpaceDE/>
        <w:autoSpaceDN/>
        <w:bidi w:val="0"/>
        <w:adjustRightInd/>
        <w:spacing w:line="580" w:lineRule="exact"/>
        <w:ind w:firstLine="600" w:firstLineChars="200"/>
        <w:textAlignment w:val="auto"/>
        <w:rPr>
          <w:rFonts w:hint="default" w:ascii="Times New Roman" w:hAnsi="Times New Roman" w:eastAsia="仿宋" w:cs="Times New Roman"/>
        </w:rPr>
      </w:pPr>
      <w:r>
        <w:rPr>
          <w:rFonts w:hint="default" w:ascii="Times New Roman" w:hAnsi="Times New Roman" w:eastAsia="仿宋" w:cs="Times New Roman"/>
        </w:rPr>
        <w:t>该项目预算编制经过科学论证；预算内容与项目内容匹配；预算额度测算依据充分，符合标准编制；预算确定的项目投资额或资金量与工作任务相匹配。</w:t>
      </w:r>
    </w:p>
    <w:p w14:paraId="5AD37571">
      <w:pPr>
        <w:spacing w:line="360" w:lineRule="auto"/>
        <w:rPr>
          <w:rFonts w:hint="default" w:ascii="Times New Roman" w:hAnsi="Times New Roman" w:cs="Times New Roman"/>
        </w:rPr>
      </w:pPr>
      <w:r>
        <w:rPr>
          <w:rFonts w:hint="default" w:ascii="Times New Roman" w:hAnsi="Times New Roman" w:cs="Times New Roman"/>
        </w:rPr>
        <w:t>6、资金分配合理性</w:t>
      </w:r>
    </w:p>
    <w:p w14:paraId="7856D604">
      <w:pPr>
        <w:pageBreakBefore w:val="0"/>
        <w:kinsoku/>
        <w:wordWrap/>
        <w:overflowPunct/>
        <w:topLinePunct w:val="0"/>
        <w:autoSpaceDE/>
        <w:autoSpaceDN/>
        <w:bidi w:val="0"/>
        <w:adjustRightInd/>
        <w:spacing w:line="580" w:lineRule="exact"/>
        <w:ind w:firstLine="600" w:firstLineChars="200"/>
        <w:textAlignment w:val="auto"/>
        <w:rPr>
          <w:rFonts w:hint="default" w:ascii="Times New Roman" w:hAnsi="Times New Roman" w:eastAsia="仿宋" w:cs="Times New Roman"/>
        </w:rPr>
      </w:pPr>
      <w:bookmarkStart w:id="15" w:name="_Toc68703839"/>
      <w:r>
        <w:rPr>
          <w:rFonts w:hint="default" w:ascii="Times New Roman" w:hAnsi="Times New Roman" w:eastAsia="仿宋" w:cs="Times New Roman"/>
        </w:rPr>
        <w:t>该项目预算资金分配依据充分；资金分配额度合理，与项目单位或地方实际相适应。年初预算数</w:t>
      </w:r>
      <w:r>
        <w:rPr>
          <w:rFonts w:hint="default" w:ascii="Times New Roman" w:hAnsi="Times New Roman" w:eastAsia="仿宋" w:cs="Times New Roman"/>
          <w:lang w:val="en-US" w:eastAsia="zh-CN"/>
        </w:rPr>
        <w:t>2.5</w:t>
      </w:r>
      <w:r>
        <w:rPr>
          <w:rFonts w:hint="default" w:ascii="Times New Roman" w:hAnsi="Times New Roman" w:eastAsia="仿宋" w:cs="Times New Roman"/>
        </w:rPr>
        <w:t>万元，全年预算数</w:t>
      </w:r>
      <w:r>
        <w:rPr>
          <w:rFonts w:hint="default" w:ascii="Times New Roman" w:hAnsi="Times New Roman" w:eastAsia="仿宋" w:cs="Times New Roman"/>
          <w:lang w:val="en-US" w:eastAsia="zh-CN"/>
        </w:rPr>
        <w:t>2.5</w:t>
      </w:r>
      <w:r>
        <w:rPr>
          <w:rFonts w:hint="default" w:ascii="Times New Roman" w:hAnsi="Times New Roman" w:eastAsia="仿宋" w:cs="Times New Roman"/>
        </w:rPr>
        <w:t>万元，全年执行数</w:t>
      </w:r>
      <w:r>
        <w:rPr>
          <w:rFonts w:hint="default" w:ascii="Times New Roman" w:hAnsi="Times New Roman" w:eastAsia="仿宋" w:cs="Times New Roman"/>
          <w:lang w:val="en-US" w:eastAsia="zh-CN"/>
        </w:rPr>
        <w:t>2.5</w:t>
      </w:r>
      <w:r>
        <w:rPr>
          <w:rFonts w:hint="default" w:ascii="Times New Roman" w:hAnsi="Times New Roman" w:eastAsia="仿宋" w:cs="Times New Roman"/>
        </w:rPr>
        <w:t>万元。</w:t>
      </w:r>
    </w:p>
    <w:p w14:paraId="2115F85F">
      <w:pPr>
        <w:pStyle w:val="5"/>
        <w:keepNext/>
        <w:keepLines/>
        <w:pageBreakBefore w:val="0"/>
        <w:widowControl w:val="0"/>
        <w:kinsoku/>
        <w:wordWrap/>
        <w:overflowPunct/>
        <w:topLinePunct w:val="0"/>
        <w:autoSpaceDE/>
        <w:autoSpaceDN/>
        <w:bidi w:val="0"/>
        <w:adjustRightInd/>
        <w:snapToGrid/>
        <w:spacing w:before="0" w:after="0" w:line="560" w:lineRule="exact"/>
        <w:textAlignment w:val="auto"/>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（二）项目过程情况。</w:t>
      </w:r>
      <w:bookmarkEnd w:id="15"/>
    </w:p>
    <w:p w14:paraId="12B04126">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cs="Times New Roman"/>
        </w:rPr>
      </w:pPr>
      <w:r>
        <w:rPr>
          <w:rFonts w:hint="default" w:ascii="Times New Roman" w:hAnsi="Times New Roman" w:cs="Times New Roman"/>
        </w:rPr>
        <w:t>1、资金到位率：</w:t>
      </w:r>
    </w:p>
    <w:p w14:paraId="7575FF87">
      <w:pPr>
        <w:pageBreakBefore w:val="0"/>
        <w:kinsoku/>
        <w:wordWrap/>
        <w:overflowPunct/>
        <w:topLinePunct w:val="0"/>
        <w:autoSpaceDE/>
        <w:autoSpaceDN/>
        <w:bidi w:val="0"/>
        <w:adjustRightInd/>
        <w:spacing w:line="580" w:lineRule="exact"/>
        <w:ind w:firstLine="600" w:firstLineChars="200"/>
        <w:textAlignment w:val="auto"/>
        <w:rPr>
          <w:rFonts w:hint="default" w:ascii="Times New Roman" w:hAnsi="Times New Roman" w:eastAsia="仿宋" w:cs="Times New Roman"/>
        </w:rPr>
      </w:pPr>
      <w:r>
        <w:rPr>
          <w:rFonts w:hint="default" w:ascii="Times New Roman" w:hAnsi="Times New Roman" w:eastAsia="仿宋" w:cs="Times New Roman"/>
        </w:rPr>
        <w:t>实际到位资金</w:t>
      </w:r>
      <w:r>
        <w:rPr>
          <w:rFonts w:hint="default" w:ascii="Times New Roman" w:hAnsi="Times New Roman" w:eastAsia="仿宋" w:cs="Times New Roman"/>
          <w:lang w:val="en-US" w:eastAsia="zh-CN"/>
        </w:rPr>
        <w:t>2.5</w:t>
      </w:r>
      <w:r>
        <w:rPr>
          <w:rFonts w:hint="default" w:ascii="Times New Roman" w:hAnsi="Times New Roman" w:eastAsia="仿宋" w:cs="Times New Roman"/>
        </w:rPr>
        <w:t>万元，预算资金</w:t>
      </w:r>
      <w:r>
        <w:rPr>
          <w:rFonts w:hint="default" w:ascii="Times New Roman" w:hAnsi="Times New Roman" w:eastAsia="仿宋" w:cs="Times New Roman"/>
          <w:lang w:val="en-US" w:eastAsia="zh-CN"/>
        </w:rPr>
        <w:t>2.5</w:t>
      </w:r>
      <w:r>
        <w:rPr>
          <w:rFonts w:hint="default" w:ascii="Times New Roman" w:hAnsi="Times New Roman" w:eastAsia="仿宋" w:cs="Times New Roman"/>
        </w:rPr>
        <w:t>万元，资金到位率100.00%</w:t>
      </w:r>
    </w:p>
    <w:p w14:paraId="7D140D59">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cs="Times New Roman"/>
        </w:rPr>
      </w:pPr>
      <w:r>
        <w:rPr>
          <w:rFonts w:hint="default" w:ascii="Times New Roman" w:hAnsi="Times New Roman" w:cs="Times New Roman"/>
        </w:rPr>
        <w:t>2、预算执行率</w:t>
      </w:r>
    </w:p>
    <w:p w14:paraId="4F12EBF4">
      <w:pPr>
        <w:spacing w:line="560" w:lineRule="exact"/>
        <w:ind w:firstLine="640" w:firstLineChars="200"/>
        <w:jc w:val="left"/>
        <w:rPr>
          <w:rFonts w:hint="default" w:ascii="Times New Roman" w:hAnsi="Times New Roman" w:eastAsia="仿宋_GB2312" w:cs="Times New Roman"/>
          <w:color w:val="333333"/>
          <w:sz w:val="32"/>
          <w:szCs w:val="32"/>
          <w:highlight w:val="none"/>
        </w:rPr>
      </w:pPr>
      <w:r>
        <w:rPr>
          <w:rFonts w:hint="default" w:ascii="Times New Roman" w:hAnsi="Times New Roman" w:eastAsia="仿宋_GB2312" w:cs="Times New Roman"/>
          <w:color w:val="333333"/>
          <w:sz w:val="32"/>
          <w:szCs w:val="32"/>
          <w:highlight w:val="none"/>
        </w:rPr>
        <w:t>年初预算数</w:t>
      </w:r>
      <w:r>
        <w:rPr>
          <w:rFonts w:hint="eastAsia" w:cs="Times New Roman"/>
          <w:color w:val="333333"/>
          <w:sz w:val="32"/>
          <w:szCs w:val="32"/>
          <w:highlight w:val="none"/>
          <w:lang w:val="en-US" w:eastAsia="zh-CN"/>
        </w:rPr>
        <w:t>2.5</w:t>
      </w:r>
      <w:r>
        <w:rPr>
          <w:rFonts w:hint="default" w:ascii="Times New Roman" w:hAnsi="Times New Roman" w:eastAsia="仿宋_GB2312" w:cs="Times New Roman"/>
          <w:color w:val="333333"/>
          <w:sz w:val="32"/>
          <w:szCs w:val="32"/>
          <w:highlight w:val="none"/>
        </w:rPr>
        <w:t>万元，全年预算数</w:t>
      </w:r>
      <w:r>
        <w:rPr>
          <w:rFonts w:hint="default" w:ascii="Times New Roman" w:hAnsi="Times New Roman" w:eastAsia="仿宋_GB2312" w:cs="Times New Roman"/>
          <w:color w:val="333333"/>
          <w:sz w:val="32"/>
          <w:szCs w:val="32"/>
          <w:highlight w:val="none"/>
          <w:lang w:val="en-US" w:eastAsia="zh-CN"/>
        </w:rPr>
        <w:t>2.5</w:t>
      </w:r>
      <w:r>
        <w:rPr>
          <w:rFonts w:hint="default" w:ascii="Times New Roman" w:hAnsi="Times New Roman" w:eastAsia="仿宋_GB2312" w:cs="Times New Roman"/>
          <w:color w:val="333333"/>
          <w:sz w:val="32"/>
          <w:szCs w:val="32"/>
          <w:highlight w:val="none"/>
        </w:rPr>
        <w:t>万元，全年执行数</w:t>
      </w:r>
      <w:r>
        <w:rPr>
          <w:rFonts w:hint="default" w:ascii="Times New Roman" w:hAnsi="Times New Roman" w:eastAsia="仿宋_GB2312" w:cs="Times New Roman"/>
          <w:color w:val="333333"/>
          <w:sz w:val="32"/>
          <w:szCs w:val="32"/>
          <w:highlight w:val="none"/>
          <w:lang w:val="en-US" w:eastAsia="zh-CN"/>
        </w:rPr>
        <w:t>2.5</w:t>
      </w:r>
      <w:r>
        <w:rPr>
          <w:rFonts w:hint="default" w:ascii="Times New Roman" w:hAnsi="Times New Roman" w:eastAsia="仿宋_GB2312" w:cs="Times New Roman"/>
          <w:color w:val="333333"/>
          <w:sz w:val="32"/>
          <w:szCs w:val="32"/>
          <w:highlight w:val="none"/>
        </w:rPr>
        <w:t>万元，预算执行率为100.00%。</w:t>
      </w:r>
    </w:p>
    <w:p w14:paraId="2D37308F">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cs="Times New Roman"/>
          <w:highlight w:val="none"/>
        </w:rPr>
      </w:pPr>
      <w:r>
        <w:rPr>
          <w:rFonts w:hint="default" w:ascii="Times New Roman" w:hAnsi="Times New Roman" w:cs="Times New Roman"/>
          <w:highlight w:val="none"/>
        </w:rPr>
        <w:t>3、资金使用合规性</w:t>
      </w:r>
    </w:p>
    <w:p w14:paraId="5A1C635B">
      <w:pPr>
        <w:spacing w:line="560" w:lineRule="exact"/>
        <w:ind w:firstLine="640" w:firstLineChars="200"/>
        <w:jc w:val="left"/>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color w:val="333333"/>
          <w:sz w:val="32"/>
          <w:szCs w:val="32"/>
        </w:rPr>
        <w:t>该项目资金使用符合国家财经法规和财务管理制度以及有关专项资金管理办法的规定；资金的拨付具有完整的审批程序和手续；资金使用符合项目预算批复或合同规定的用途；该项目资金不存在截留、挤占、挪用、虚列支出等问题情况。</w:t>
      </w:r>
    </w:p>
    <w:p w14:paraId="170DCA95">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cs="Times New Roman"/>
        </w:rPr>
      </w:pPr>
      <w:r>
        <w:rPr>
          <w:rFonts w:hint="default" w:ascii="Times New Roman" w:hAnsi="Times New Roman" w:cs="Times New Roman"/>
        </w:rPr>
        <w:t>4、管理制度健全性</w:t>
      </w:r>
    </w:p>
    <w:p w14:paraId="66C5F588">
      <w:pPr>
        <w:spacing w:line="560" w:lineRule="exact"/>
        <w:ind w:firstLine="640" w:firstLineChars="200"/>
        <w:jc w:val="left"/>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color w:val="333333"/>
          <w:sz w:val="32"/>
          <w:szCs w:val="32"/>
        </w:rPr>
        <w:t>该项目具有相应的财务和业务管理制度，《焉耆县纪委监委财务管理制度》，本单位财务和业务管理制度合法、合规、完整。</w:t>
      </w:r>
    </w:p>
    <w:p w14:paraId="77AEDF22">
      <w:pPr>
        <w:keepNext w:val="0"/>
        <w:keepLines w:val="0"/>
        <w:pageBreakBefore w:val="0"/>
        <w:widowControl w:val="0"/>
        <w:numPr>
          <w:ilvl w:val="0"/>
          <w:numId w:val="2"/>
        </w:numPr>
        <w:kinsoku/>
        <w:wordWrap/>
        <w:overflowPunct/>
        <w:topLinePunct w:val="0"/>
        <w:autoSpaceDE/>
        <w:autoSpaceDN/>
        <w:bidi w:val="0"/>
        <w:adjustRightInd/>
        <w:snapToGrid/>
        <w:spacing w:line="560" w:lineRule="exact"/>
        <w:textAlignment w:val="auto"/>
        <w:rPr>
          <w:rFonts w:hint="default" w:ascii="Times New Roman" w:hAnsi="Times New Roman" w:cs="Times New Roman"/>
        </w:rPr>
      </w:pPr>
      <w:r>
        <w:rPr>
          <w:rFonts w:hint="default" w:ascii="Times New Roman" w:hAnsi="Times New Roman" w:cs="Times New Roman"/>
        </w:rPr>
        <w:t>制度执行有效性</w:t>
      </w:r>
    </w:p>
    <w:p w14:paraId="17112715">
      <w:pPr>
        <w:spacing w:line="560" w:lineRule="exact"/>
        <w:ind w:firstLine="640" w:firstLineChars="200"/>
        <w:jc w:val="left"/>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color w:val="333333"/>
          <w:sz w:val="32"/>
          <w:szCs w:val="32"/>
        </w:rPr>
        <w:t>该项目执行严格遵守相关法律法规和相关管理规定；项目调整及支出调整手续完备；项目采购合同、验收单等资料齐全并及时归档；项目实施的人员条件、场地设备、信息支撑等完全落实到位。</w:t>
      </w:r>
    </w:p>
    <w:p w14:paraId="078D932D">
      <w:pPr>
        <w:pStyle w:val="5"/>
        <w:keepNext/>
        <w:keepLines/>
        <w:pageBreakBefore w:val="0"/>
        <w:widowControl w:val="0"/>
        <w:kinsoku/>
        <w:wordWrap/>
        <w:overflowPunct/>
        <w:topLinePunct w:val="0"/>
        <w:autoSpaceDE/>
        <w:autoSpaceDN/>
        <w:bidi w:val="0"/>
        <w:adjustRightInd/>
        <w:snapToGrid/>
        <w:spacing w:before="0" w:after="0" w:line="560" w:lineRule="exact"/>
        <w:textAlignment w:val="auto"/>
        <w:rPr>
          <w:rFonts w:hint="default" w:ascii="Times New Roman" w:hAnsi="Times New Roman" w:eastAsia="仿宋_GB2312" w:cs="Times New Roman"/>
          <w:b w:val="0"/>
          <w:bCs w:val="0"/>
        </w:rPr>
      </w:pPr>
      <w:bookmarkStart w:id="16" w:name="_Toc68703840"/>
      <w:r>
        <w:rPr>
          <w:rFonts w:hint="default" w:ascii="Times New Roman" w:hAnsi="Times New Roman" w:eastAsia="仿宋_GB2312" w:cs="Times New Roman"/>
          <w:b w:val="0"/>
          <w:bCs w:val="0"/>
        </w:rPr>
        <w:t>（三）项目产出情况。</w:t>
      </w:r>
      <w:bookmarkEnd w:id="16"/>
    </w:p>
    <w:p w14:paraId="78C001C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cs="Times New Roman"/>
          <w:color w:val="333333"/>
          <w:sz w:val="32"/>
          <w:szCs w:val="32"/>
          <w:lang w:val="en-US" w:eastAsia="zh-CN"/>
        </w:rPr>
      </w:pPr>
      <w:bookmarkStart w:id="17" w:name="_Toc68703841"/>
      <w:r>
        <w:rPr>
          <w:rFonts w:hint="default" w:ascii="Times New Roman" w:hAnsi="Times New Roman" w:eastAsia="仿宋_GB2312" w:cs="Times New Roman"/>
          <w:color w:val="333333"/>
          <w:sz w:val="32"/>
          <w:szCs w:val="32"/>
        </w:rPr>
        <w:t xml:space="preserve">1、数量指标：指标1：农产品成本调查品种数，指标值： </w:t>
      </w:r>
      <w:r>
        <w:rPr>
          <w:rFonts w:hint="eastAsia" w:cs="Times New Roman"/>
          <w:color w:val="333333"/>
          <w:sz w:val="32"/>
          <w:szCs w:val="32"/>
          <w:lang w:val="en-US" w:eastAsia="zh-CN"/>
        </w:rPr>
        <w:t>=16类</w:t>
      </w:r>
      <w:r>
        <w:rPr>
          <w:rFonts w:hint="default" w:ascii="Times New Roman" w:hAnsi="Times New Roman" w:eastAsia="仿宋_GB2312" w:cs="Times New Roman"/>
          <w:color w:val="333333"/>
          <w:sz w:val="32"/>
          <w:szCs w:val="32"/>
        </w:rPr>
        <w:t>，实际完成值</w:t>
      </w:r>
      <w:r>
        <w:rPr>
          <w:rFonts w:hint="eastAsia" w:cs="Times New Roman"/>
          <w:color w:val="333333"/>
          <w:sz w:val="32"/>
          <w:szCs w:val="32"/>
          <w:lang w:val="en-US" w:eastAsia="zh-CN"/>
        </w:rPr>
        <w:t>=16</w:t>
      </w:r>
      <w:r>
        <w:rPr>
          <w:rFonts w:hint="eastAsia" w:cs="Times New Roman"/>
          <w:color w:val="333333"/>
          <w:sz w:val="32"/>
          <w:szCs w:val="32"/>
          <w:lang w:eastAsia="zh-CN"/>
        </w:rPr>
        <w:t>类</w:t>
      </w:r>
      <w:r>
        <w:rPr>
          <w:rFonts w:hint="default" w:ascii="Times New Roman" w:hAnsi="Times New Roman" w:eastAsia="仿宋_GB2312" w:cs="Times New Roman"/>
          <w:color w:val="333333"/>
          <w:sz w:val="32"/>
          <w:szCs w:val="32"/>
        </w:rPr>
        <w:t xml:space="preserve">，指标完成率 100 %，偏差原因：无偏差。 </w:t>
      </w:r>
      <w:r>
        <w:rPr>
          <w:rFonts w:hint="eastAsia" w:cs="Times New Roman"/>
          <w:color w:val="333333"/>
          <w:sz w:val="32"/>
          <w:szCs w:val="32"/>
          <w:lang w:val="en-US" w:eastAsia="zh-CN"/>
        </w:rPr>
        <w:t xml:space="preserve">   </w:t>
      </w:r>
    </w:p>
    <w:p w14:paraId="479F127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color w:val="333333"/>
          <w:sz w:val="32"/>
          <w:szCs w:val="32"/>
        </w:rPr>
        <w:t>1、数量指标：指标</w:t>
      </w:r>
      <w:r>
        <w:rPr>
          <w:rFonts w:hint="eastAsia" w:cs="Times New Roman"/>
          <w:color w:val="333333"/>
          <w:sz w:val="32"/>
          <w:szCs w:val="32"/>
          <w:lang w:val="en-US" w:eastAsia="zh-CN"/>
        </w:rPr>
        <w:t>2</w:t>
      </w:r>
      <w:r>
        <w:rPr>
          <w:rFonts w:hint="default" w:ascii="Times New Roman" w:hAnsi="Times New Roman" w:eastAsia="仿宋_GB2312" w:cs="Times New Roman"/>
          <w:color w:val="333333"/>
          <w:sz w:val="32"/>
          <w:szCs w:val="32"/>
        </w:rPr>
        <w:t xml:space="preserve">：开展实地调查次数，指标值： </w:t>
      </w:r>
      <w:r>
        <w:rPr>
          <w:rFonts w:hint="eastAsia" w:cs="Times New Roman"/>
          <w:color w:val="333333"/>
          <w:sz w:val="32"/>
          <w:szCs w:val="32"/>
          <w:lang w:val="en-US" w:eastAsia="zh-CN"/>
        </w:rPr>
        <w:t>=2</w:t>
      </w:r>
      <w:r>
        <w:rPr>
          <w:rFonts w:hint="default" w:ascii="Times New Roman" w:hAnsi="Times New Roman" w:eastAsia="仿宋_GB2312" w:cs="Times New Roman"/>
          <w:color w:val="333333"/>
          <w:sz w:val="32"/>
          <w:szCs w:val="32"/>
        </w:rPr>
        <w:t>次，实际完成值</w:t>
      </w:r>
      <w:r>
        <w:rPr>
          <w:rFonts w:hint="eastAsia" w:cs="Times New Roman"/>
          <w:color w:val="333333"/>
          <w:sz w:val="32"/>
          <w:szCs w:val="32"/>
          <w:lang w:val="en-US" w:eastAsia="zh-CN"/>
        </w:rPr>
        <w:t>2</w:t>
      </w:r>
      <w:r>
        <w:rPr>
          <w:rFonts w:hint="default" w:ascii="Times New Roman" w:hAnsi="Times New Roman" w:eastAsia="仿宋_GB2312" w:cs="Times New Roman"/>
          <w:color w:val="333333"/>
          <w:sz w:val="32"/>
          <w:szCs w:val="32"/>
        </w:rPr>
        <w:t xml:space="preserve">次，指标完成率 100 %，偏差原因：无偏差。 </w:t>
      </w:r>
    </w:p>
    <w:p w14:paraId="2E6FCFA5">
      <w:pPr>
        <w:spacing w:line="560" w:lineRule="exact"/>
        <w:ind w:firstLine="640" w:firstLineChars="200"/>
        <w:jc w:val="left"/>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color w:val="333333"/>
          <w:sz w:val="32"/>
          <w:szCs w:val="32"/>
        </w:rPr>
        <w:t>1、数量指标：指标</w:t>
      </w:r>
      <w:r>
        <w:rPr>
          <w:rFonts w:hint="eastAsia" w:cs="Times New Roman"/>
          <w:color w:val="333333"/>
          <w:sz w:val="32"/>
          <w:szCs w:val="32"/>
          <w:lang w:val="en-US" w:eastAsia="zh-CN"/>
        </w:rPr>
        <w:t>3</w:t>
      </w:r>
      <w:r>
        <w:rPr>
          <w:rFonts w:hint="default" w:ascii="Times New Roman" w:hAnsi="Times New Roman" w:eastAsia="仿宋_GB2312" w:cs="Times New Roman"/>
          <w:color w:val="333333"/>
          <w:sz w:val="32"/>
          <w:szCs w:val="32"/>
        </w:rPr>
        <w:t>：开展对农本调查人员的业务培训次数</w:t>
      </w:r>
      <w:r>
        <w:rPr>
          <w:rFonts w:hint="default" w:ascii="Times New Roman" w:hAnsi="Times New Roman" w:eastAsia="仿宋_GB2312" w:cs="Times New Roman"/>
          <w:color w:val="333333"/>
          <w:sz w:val="32"/>
          <w:szCs w:val="32"/>
        </w:rPr>
        <w:tab/>
      </w:r>
      <w:r>
        <w:rPr>
          <w:rFonts w:hint="default" w:ascii="Times New Roman" w:hAnsi="Times New Roman" w:eastAsia="仿宋_GB2312" w:cs="Times New Roman"/>
          <w:color w:val="333333"/>
          <w:sz w:val="32"/>
          <w:szCs w:val="32"/>
        </w:rPr>
        <w:t xml:space="preserve">，指标值： </w:t>
      </w:r>
      <w:r>
        <w:rPr>
          <w:rFonts w:hint="eastAsia" w:cs="Times New Roman"/>
          <w:color w:val="333333"/>
          <w:sz w:val="32"/>
          <w:szCs w:val="32"/>
          <w:lang w:val="en-US" w:eastAsia="zh-CN"/>
        </w:rPr>
        <w:t>=2</w:t>
      </w:r>
      <w:r>
        <w:rPr>
          <w:rFonts w:hint="default" w:ascii="Times New Roman" w:hAnsi="Times New Roman" w:eastAsia="仿宋_GB2312" w:cs="Times New Roman"/>
          <w:color w:val="333333"/>
          <w:sz w:val="32"/>
          <w:szCs w:val="32"/>
        </w:rPr>
        <w:t>次，实际完成值</w:t>
      </w:r>
      <w:r>
        <w:rPr>
          <w:rFonts w:hint="eastAsia" w:cs="Times New Roman"/>
          <w:color w:val="333333"/>
          <w:sz w:val="32"/>
          <w:szCs w:val="32"/>
          <w:lang w:val="en-US" w:eastAsia="zh-CN"/>
        </w:rPr>
        <w:t>2</w:t>
      </w:r>
      <w:r>
        <w:rPr>
          <w:rFonts w:hint="default" w:ascii="Times New Roman" w:hAnsi="Times New Roman" w:eastAsia="仿宋_GB2312" w:cs="Times New Roman"/>
          <w:color w:val="333333"/>
          <w:sz w:val="32"/>
          <w:szCs w:val="32"/>
        </w:rPr>
        <w:t xml:space="preserve">次，指标完成率 100 %，偏差原因：无偏差。 </w:t>
      </w:r>
    </w:p>
    <w:p w14:paraId="7F103945">
      <w:pPr>
        <w:spacing w:line="560" w:lineRule="exact"/>
        <w:ind w:firstLine="640" w:firstLineChars="200"/>
        <w:jc w:val="left"/>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color w:val="333333"/>
          <w:sz w:val="32"/>
          <w:szCs w:val="32"/>
        </w:rPr>
        <w:t xml:space="preserve">2、质量指标：指标1：制定调查项目符合农产品调查目录规定的权限和范围比率，指标值 </w:t>
      </w:r>
      <w:r>
        <w:rPr>
          <w:rFonts w:hint="eastAsia" w:cs="Times New Roman"/>
          <w:color w:val="333333"/>
          <w:sz w:val="32"/>
          <w:szCs w:val="32"/>
          <w:lang w:val="en-US" w:eastAsia="zh-CN"/>
        </w:rPr>
        <w:t>=100</w:t>
      </w:r>
      <w:r>
        <w:rPr>
          <w:rFonts w:hint="default" w:ascii="Times New Roman" w:hAnsi="Times New Roman" w:eastAsia="仿宋_GB2312" w:cs="Times New Roman"/>
          <w:color w:val="333333"/>
          <w:sz w:val="32"/>
          <w:szCs w:val="32"/>
        </w:rPr>
        <w:t>% ，实际完成值</w:t>
      </w:r>
      <w:r>
        <w:rPr>
          <w:rFonts w:hint="eastAsia" w:cs="Times New Roman"/>
          <w:color w:val="333333"/>
          <w:sz w:val="32"/>
          <w:szCs w:val="32"/>
          <w:lang w:val="en-US" w:eastAsia="zh-CN"/>
        </w:rPr>
        <w:t>=100</w:t>
      </w:r>
      <w:r>
        <w:rPr>
          <w:rFonts w:hint="default" w:ascii="Times New Roman" w:hAnsi="Times New Roman" w:eastAsia="仿宋_GB2312" w:cs="Times New Roman"/>
          <w:color w:val="333333"/>
          <w:sz w:val="32"/>
          <w:szCs w:val="32"/>
        </w:rPr>
        <w:t>%，指标完成率</w:t>
      </w:r>
      <w:r>
        <w:rPr>
          <w:rFonts w:hint="default" w:ascii="Times New Roman" w:hAnsi="Times New Roman" w:eastAsia="仿宋_GB2312" w:cs="Times New Roman"/>
          <w:color w:val="333333"/>
          <w:sz w:val="32"/>
          <w:szCs w:val="32"/>
          <w:lang w:val="en-US" w:eastAsia="zh-CN"/>
        </w:rPr>
        <w:t>100</w:t>
      </w:r>
      <w:r>
        <w:rPr>
          <w:rFonts w:hint="default" w:ascii="Times New Roman" w:hAnsi="Times New Roman" w:eastAsia="仿宋_GB2312" w:cs="Times New Roman"/>
          <w:color w:val="333333"/>
          <w:sz w:val="32"/>
          <w:szCs w:val="32"/>
        </w:rPr>
        <w:t xml:space="preserve">%。  </w:t>
      </w:r>
    </w:p>
    <w:p w14:paraId="3484A6AB">
      <w:pPr>
        <w:spacing w:line="560" w:lineRule="exact"/>
        <w:ind w:firstLine="640" w:firstLineChars="200"/>
        <w:jc w:val="left"/>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color w:val="333333"/>
          <w:sz w:val="32"/>
          <w:szCs w:val="32"/>
        </w:rPr>
        <w:t>3、时效指标：指标1：调查培训完成及时率，指标值： ≥95% ，实际完成值</w:t>
      </w:r>
      <w:r>
        <w:rPr>
          <w:rFonts w:hint="default" w:ascii="Times New Roman" w:hAnsi="Times New Roman" w:eastAsia="仿宋_GB2312" w:cs="Times New Roman"/>
          <w:color w:val="333333"/>
          <w:sz w:val="32"/>
          <w:szCs w:val="32"/>
          <w:lang w:val="en-US" w:eastAsia="zh-CN"/>
        </w:rPr>
        <w:t>95</w:t>
      </w:r>
      <w:r>
        <w:rPr>
          <w:rFonts w:hint="default" w:ascii="Times New Roman" w:hAnsi="Times New Roman" w:eastAsia="仿宋_GB2312" w:cs="Times New Roman"/>
          <w:color w:val="333333"/>
          <w:sz w:val="32"/>
          <w:szCs w:val="32"/>
        </w:rPr>
        <w:t>%，指标完成率10</w:t>
      </w:r>
      <w:r>
        <w:rPr>
          <w:rFonts w:hint="default" w:ascii="Times New Roman" w:hAnsi="Times New Roman" w:eastAsia="仿宋_GB2312" w:cs="Times New Roman"/>
          <w:color w:val="333333"/>
          <w:sz w:val="32"/>
          <w:szCs w:val="32"/>
          <w:lang w:val="en-US" w:eastAsia="zh-CN"/>
        </w:rPr>
        <w:t>0</w:t>
      </w:r>
      <w:r>
        <w:rPr>
          <w:rFonts w:hint="default" w:ascii="Times New Roman" w:hAnsi="Times New Roman" w:eastAsia="仿宋_GB2312" w:cs="Times New Roman"/>
          <w:color w:val="333333"/>
          <w:sz w:val="32"/>
          <w:szCs w:val="32"/>
        </w:rPr>
        <w:t xml:space="preserve">%。  </w:t>
      </w:r>
    </w:p>
    <w:p w14:paraId="366B564B">
      <w:pPr>
        <w:spacing w:line="560" w:lineRule="exact"/>
        <w:ind w:firstLine="640" w:firstLineChars="200"/>
        <w:jc w:val="left"/>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color w:val="333333"/>
          <w:sz w:val="32"/>
          <w:szCs w:val="32"/>
        </w:rPr>
        <w:t>4、成本指标：指标1：培训及实地调查成本，指标值：≤</w:t>
      </w:r>
      <w:r>
        <w:rPr>
          <w:rFonts w:hint="eastAsia" w:ascii="Times New Roman" w:hAnsi="Times New Roman" w:eastAsia="仿宋_GB2312" w:cs="Times New Roman"/>
          <w:color w:val="333333"/>
          <w:sz w:val="32"/>
          <w:szCs w:val="32"/>
          <w:lang w:val="en-US" w:eastAsia="zh-CN"/>
        </w:rPr>
        <w:t>2</w:t>
      </w:r>
      <w:r>
        <w:rPr>
          <w:rFonts w:hint="default" w:ascii="Times New Roman" w:hAnsi="Times New Roman" w:eastAsia="仿宋_GB2312" w:cs="Times New Roman"/>
          <w:color w:val="333333"/>
          <w:sz w:val="32"/>
          <w:szCs w:val="32"/>
        </w:rPr>
        <w:t>.5万元 ，实际完成值</w:t>
      </w:r>
      <w:r>
        <w:rPr>
          <w:rFonts w:hint="eastAsia" w:ascii="Times New Roman" w:hAnsi="Times New Roman" w:eastAsia="仿宋_GB2312" w:cs="Times New Roman"/>
          <w:color w:val="333333"/>
          <w:sz w:val="32"/>
          <w:szCs w:val="32"/>
          <w:lang w:val="en-US" w:eastAsia="zh-CN"/>
        </w:rPr>
        <w:t>=2</w:t>
      </w:r>
      <w:r>
        <w:rPr>
          <w:rFonts w:hint="default" w:ascii="Times New Roman" w:hAnsi="Times New Roman" w:eastAsia="仿宋_GB2312" w:cs="Times New Roman"/>
          <w:color w:val="333333"/>
          <w:sz w:val="32"/>
          <w:szCs w:val="32"/>
        </w:rPr>
        <w:t>.5万元 ，指标完成率100 %，偏差原因： 无偏差。</w:t>
      </w:r>
    </w:p>
    <w:p w14:paraId="4DDE9218">
      <w:pPr>
        <w:pStyle w:val="5"/>
        <w:keepNext/>
        <w:keepLines/>
        <w:pageBreakBefore w:val="0"/>
        <w:widowControl w:val="0"/>
        <w:kinsoku/>
        <w:wordWrap/>
        <w:overflowPunct/>
        <w:topLinePunct w:val="0"/>
        <w:autoSpaceDE/>
        <w:autoSpaceDN/>
        <w:bidi w:val="0"/>
        <w:adjustRightInd/>
        <w:snapToGrid/>
        <w:spacing w:before="0" w:after="0" w:line="560" w:lineRule="exact"/>
        <w:textAlignment w:val="auto"/>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（四）项目效益情况。</w:t>
      </w:r>
      <w:bookmarkEnd w:id="17"/>
    </w:p>
    <w:p w14:paraId="40BB648B">
      <w:pPr>
        <w:spacing w:line="560" w:lineRule="exact"/>
        <w:ind w:firstLine="640" w:firstLineChars="200"/>
        <w:jc w:val="left"/>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color w:val="333333"/>
          <w:sz w:val="32"/>
          <w:szCs w:val="32"/>
        </w:rPr>
        <w:t>1、社会效益指标：指标1：为各级政府研究和制定农产品价格与流通政策提供决策依据</w:t>
      </w:r>
      <w:r>
        <w:rPr>
          <w:rFonts w:hint="default" w:ascii="Times New Roman" w:hAnsi="Times New Roman" w:eastAsia="仿宋_GB2312" w:cs="Times New Roman"/>
          <w:color w:val="333333"/>
          <w:sz w:val="32"/>
          <w:szCs w:val="32"/>
        </w:rPr>
        <w:tab/>
      </w:r>
      <w:r>
        <w:rPr>
          <w:rFonts w:hint="default" w:ascii="Times New Roman" w:hAnsi="Times New Roman" w:eastAsia="仿宋_GB2312" w:cs="Times New Roman"/>
          <w:color w:val="333333"/>
          <w:sz w:val="32"/>
          <w:szCs w:val="32"/>
        </w:rPr>
        <w:t>，指标</w:t>
      </w:r>
      <w:bookmarkStart w:id="23" w:name="_GoBack"/>
      <w:r>
        <w:rPr>
          <w:rFonts w:hint="default" w:ascii="Times New Roman" w:hAnsi="Times New Roman" w:eastAsia="仿宋_GB2312" w:cs="Times New Roman"/>
          <w:color w:val="333333"/>
          <w:sz w:val="32"/>
          <w:szCs w:val="32"/>
        </w:rPr>
        <w:t>值：</w:t>
      </w:r>
      <w:r>
        <w:rPr>
          <w:rFonts w:hint="eastAsia" w:ascii="Times New Roman" w:hAnsi="Times New Roman" w:eastAsia="仿宋_GB2312" w:cs="Times New Roman"/>
          <w:color w:val="333333"/>
          <w:sz w:val="32"/>
          <w:szCs w:val="32"/>
          <w:lang w:eastAsia="zh-CN"/>
        </w:rPr>
        <w:t>有效提供</w:t>
      </w:r>
      <w:r>
        <w:rPr>
          <w:rFonts w:hint="default" w:ascii="Times New Roman" w:hAnsi="Times New Roman" w:eastAsia="仿宋_GB2312" w:cs="Times New Roman"/>
          <w:color w:val="333333"/>
          <w:sz w:val="32"/>
          <w:szCs w:val="32"/>
        </w:rPr>
        <w:t>，实际完成值</w:t>
      </w:r>
      <w:r>
        <w:rPr>
          <w:rFonts w:hint="eastAsia" w:ascii="Times New Roman" w:hAnsi="Times New Roman" w:eastAsia="仿宋_GB2312" w:cs="Times New Roman"/>
          <w:color w:val="333333"/>
          <w:sz w:val="32"/>
          <w:szCs w:val="32"/>
          <w:lang w:eastAsia="zh-CN"/>
        </w:rPr>
        <w:t>达成目标</w:t>
      </w:r>
      <w:r>
        <w:rPr>
          <w:rFonts w:hint="default" w:ascii="Times New Roman" w:hAnsi="Times New Roman" w:eastAsia="仿宋_GB2312" w:cs="Times New Roman"/>
          <w:color w:val="333333"/>
          <w:sz w:val="32"/>
          <w:szCs w:val="32"/>
        </w:rPr>
        <w:t xml:space="preserve"> </w:t>
      </w:r>
      <w:r>
        <w:rPr>
          <w:rFonts w:hint="default" w:ascii="Times New Roman" w:hAnsi="Times New Roman" w:eastAsia="仿宋_GB2312" w:cs="Times New Roman"/>
          <w:color w:val="333333"/>
          <w:sz w:val="32"/>
          <w:szCs w:val="32"/>
        </w:rPr>
        <w:t xml:space="preserve">，指标完成率100 %。 </w:t>
      </w:r>
    </w:p>
    <w:bookmarkEnd w:id="23"/>
    <w:p w14:paraId="32D454C4">
      <w:pPr>
        <w:spacing w:line="560" w:lineRule="exact"/>
        <w:ind w:firstLine="640" w:firstLineChars="200"/>
        <w:jc w:val="left"/>
        <w:rPr>
          <w:rFonts w:hint="default" w:ascii="Times New Roman" w:hAnsi="Times New Roman" w:eastAsia="仿宋_GB2312" w:cs="Times New Roman"/>
          <w:color w:val="333333"/>
          <w:sz w:val="32"/>
          <w:szCs w:val="32"/>
        </w:rPr>
      </w:pPr>
      <w:r>
        <w:rPr>
          <w:rFonts w:hint="eastAsia" w:cs="Times New Roman"/>
          <w:color w:val="333333"/>
          <w:sz w:val="32"/>
          <w:szCs w:val="32"/>
          <w:lang w:val="en-US" w:eastAsia="zh-CN"/>
        </w:rPr>
        <w:t>2</w:t>
      </w:r>
      <w:r>
        <w:rPr>
          <w:rFonts w:hint="default" w:ascii="Times New Roman" w:hAnsi="Times New Roman" w:eastAsia="仿宋_GB2312" w:cs="Times New Roman"/>
          <w:color w:val="333333"/>
          <w:sz w:val="32"/>
          <w:szCs w:val="32"/>
        </w:rPr>
        <w:t>、服务对象满意度指标：指标1：农产品成本调查人员满意度，实际完成值 ≥9</w:t>
      </w:r>
      <w:r>
        <w:rPr>
          <w:rFonts w:hint="eastAsia" w:cs="Times New Roman"/>
          <w:color w:val="333333"/>
          <w:sz w:val="32"/>
          <w:szCs w:val="32"/>
          <w:lang w:val="en-US" w:eastAsia="zh-CN"/>
        </w:rPr>
        <w:t>0</w:t>
      </w:r>
      <w:r>
        <w:rPr>
          <w:rFonts w:hint="default" w:ascii="Times New Roman" w:hAnsi="Times New Roman" w:eastAsia="仿宋_GB2312" w:cs="Times New Roman"/>
          <w:color w:val="333333"/>
          <w:sz w:val="32"/>
          <w:szCs w:val="32"/>
        </w:rPr>
        <w:t>%，指标完成率</w:t>
      </w:r>
      <w:r>
        <w:rPr>
          <w:rFonts w:hint="eastAsia" w:cs="Times New Roman"/>
          <w:color w:val="333333"/>
          <w:sz w:val="32"/>
          <w:szCs w:val="32"/>
          <w:lang w:val="en-US" w:eastAsia="zh-CN"/>
        </w:rPr>
        <w:t>=100</w:t>
      </w:r>
      <w:r>
        <w:rPr>
          <w:rFonts w:hint="default" w:ascii="Times New Roman" w:hAnsi="Times New Roman" w:eastAsia="仿宋_GB2312" w:cs="Times New Roman"/>
          <w:color w:val="333333"/>
          <w:sz w:val="32"/>
          <w:szCs w:val="32"/>
        </w:rPr>
        <w:t>%,偏差原因:调查问卷填写人员满意度均为100%。</w:t>
      </w:r>
    </w:p>
    <w:p w14:paraId="341A4338">
      <w:pPr>
        <w:pStyle w:val="4"/>
        <w:keepNext/>
        <w:keepLines/>
        <w:pageBreakBefore w:val="0"/>
        <w:widowControl w:val="0"/>
        <w:kinsoku/>
        <w:wordWrap/>
        <w:overflowPunct/>
        <w:topLinePunct w:val="0"/>
        <w:autoSpaceDE/>
        <w:autoSpaceDN/>
        <w:bidi w:val="0"/>
        <w:adjustRightInd/>
        <w:snapToGrid/>
        <w:spacing w:before="0" w:after="0" w:line="560" w:lineRule="atLeast"/>
        <w:textAlignment w:val="auto"/>
        <w:rPr>
          <w:rFonts w:hint="default" w:ascii="Times New Roman" w:hAnsi="Times New Roman" w:eastAsia="宋体" w:cs="Times New Roman"/>
          <w:sz w:val="32"/>
          <w:szCs w:val="32"/>
        </w:rPr>
      </w:pPr>
      <w:bookmarkStart w:id="18" w:name="_Toc68703842"/>
      <w:r>
        <w:rPr>
          <w:rFonts w:hint="default" w:ascii="Times New Roman" w:hAnsi="Times New Roman" w:eastAsia="宋体" w:cs="Times New Roman"/>
          <w:sz w:val="32"/>
          <w:szCs w:val="32"/>
        </w:rPr>
        <w:t>五、主要经验及做法、存在的问题及原因分析</w:t>
      </w:r>
      <w:bookmarkEnd w:id="18"/>
    </w:p>
    <w:p w14:paraId="12D64859">
      <w:pPr>
        <w:pStyle w:val="5"/>
        <w:keepNext/>
        <w:keepLines/>
        <w:pageBreakBefore w:val="0"/>
        <w:widowControl w:val="0"/>
        <w:kinsoku/>
        <w:wordWrap/>
        <w:overflowPunct/>
        <w:topLinePunct w:val="0"/>
        <w:autoSpaceDE/>
        <w:autoSpaceDN/>
        <w:bidi w:val="0"/>
        <w:adjustRightInd/>
        <w:snapToGrid/>
        <w:spacing w:before="0" w:after="0" w:line="560" w:lineRule="atLeast"/>
        <w:textAlignment w:val="auto"/>
        <w:rPr>
          <w:rFonts w:hint="default" w:ascii="Times New Roman" w:hAnsi="Times New Roman" w:eastAsia="仿宋_GB2312" w:cs="Times New Roman"/>
          <w:b w:val="0"/>
          <w:bCs w:val="0"/>
        </w:rPr>
      </w:pPr>
      <w:bookmarkStart w:id="19" w:name="_Toc68703843"/>
      <w:r>
        <w:rPr>
          <w:rFonts w:hint="default" w:ascii="Times New Roman" w:hAnsi="Times New Roman" w:eastAsia="仿宋_GB2312" w:cs="Times New Roman"/>
          <w:b w:val="0"/>
          <w:bCs w:val="0"/>
        </w:rPr>
        <w:t>（一）主要经验及做法</w:t>
      </w:r>
      <w:bookmarkEnd w:id="19"/>
    </w:p>
    <w:p w14:paraId="5255FFDF">
      <w:pPr>
        <w:spacing w:line="560" w:lineRule="exact"/>
        <w:ind w:firstLine="640" w:firstLineChars="200"/>
        <w:jc w:val="left"/>
        <w:rPr>
          <w:rFonts w:hint="default" w:ascii="Times New Roman" w:hAnsi="Times New Roman" w:eastAsia="仿宋_GB2312" w:cs="Times New Roman"/>
          <w:color w:val="333333"/>
          <w:sz w:val="32"/>
          <w:szCs w:val="32"/>
        </w:rPr>
      </w:pPr>
      <w:bookmarkStart w:id="20" w:name="_Toc68703844"/>
      <w:r>
        <w:rPr>
          <w:rFonts w:hint="default" w:ascii="Times New Roman" w:hAnsi="Times New Roman" w:eastAsia="仿宋_GB2312" w:cs="Times New Roman"/>
          <w:color w:val="333333"/>
          <w:sz w:val="32"/>
          <w:szCs w:val="32"/>
        </w:rPr>
        <w:t>1、项目实施过程中，按照年度计划规范地组织实施，有条不紊开展相关工作，并做好资料收集整理工作。</w:t>
      </w:r>
    </w:p>
    <w:p w14:paraId="61B4C0B2">
      <w:pPr>
        <w:spacing w:line="560" w:lineRule="exact"/>
        <w:ind w:firstLine="640" w:firstLineChars="200"/>
        <w:jc w:val="left"/>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color w:val="333333"/>
          <w:sz w:val="32"/>
          <w:szCs w:val="32"/>
        </w:rPr>
        <w:t>2、加强领导，落实责任。单位领导高度重视，分工明确，工作进度做出具体规定，将责任落实到具体部门，工作落实到具体项目，确保自评工作组织到位，责任到位，项目到位。</w:t>
      </w:r>
    </w:p>
    <w:p w14:paraId="556AE216">
      <w:pPr>
        <w:pStyle w:val="5"/>
        <w:keepNext/>
        <w:keepLines/>
        <w:pageBreakBefore w:val="0"/>
        <w:widowControl w:val="0"/>
        <w:kinsoku/>
        <w:wordWrap/>
        <w:overflowPunct/>
        <w:topLinePunct w:val="0"/>
        <w:autoSpaceDE/>
        <w:autoSpaceDN/>
        <w:bidi w:val="0"/>
        <w:adjustRightInd/>
        <w:snapToGrid/>
        <w:spacing w:before="0" w:after="0" w:line="560" w:lineRule="exact"/>
        <w:textAlignment w:val="auto"/>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（二）存在的问题及原因分析</w:t>
      </w:r>
      <w:bookmarkEnd w:id="20"/>
    </w:p>
    <w:p w14:paraId="2333A29C">
      <w:pPr>
        <w:spacing w:line="560" w:lineRule="exact"/>
        <w:ind w:firstLine="640" w:firstLineChars="200"/>
        <w:jc w:val="left"/>
        <w:rPr>
          <w:rFonts w:hint="default" w:ascii="Times New Roman" w:hAnsi="Times New Roman" w:eastAsia="仿宋_GB2312" w:cs="Times New Roman"/>
          <w:color w:val="333333"/>
          <w:sz w:val="32"/>
          <w:szCs w:val="32"/>
          <w:highlight w:val="yellow"/>
        </w:rPr>
      </w:pPr>
      <w:bookmarkStart w:id="21" w:name="_Toc68703845"/>
      <w:r>
        <w:rPr>
          <w:rFonts w:hint="eastAsia" w:cs="Times New Roman"/>
          <w:color w:val="333333"/>
          <w:sz w:val="32"/>
          <w:szCs w:val="32"/>
          <w:highlight w:val="none"/>
          <w:lang w:eastAsia="zh-CN"/>
        </w:rPr>
        <w:t>财政绩效管理工作水平有提升空间，应加强财政支出绩效管理要求学习，建立科学的财政资金效益考评制度体系，不断完善绩效评价体系及工作流程，提供财政资金使用水平和效率。</w:t>
      </w:r>
    </w:p>
    <w:p w14:paraId="78DC1903">
      <w:pPr>
        <w:pStyle w:val="4"/>
        <w:keepNext/>
        <w:keepLines/>
        <w:pageBreakBefore w:val="0"/>
        <w:widowControl w:val="0"/>
        <w:numPr>
          <w:ilvl w:val="0"/>
          <w:numId w:val="3"/>
        </w:numPr>
        <w:kinsoku/>
        <w:wordWrap/>
        <w:overflowPunct/>
        <w:topLinePunct w:val="0"/>
        <w:autoSpaceDE/>
        <w:autoSpaceDN/>
        <w:bidi w:val="0"/>
        <w:adjustRightInd/>
        <w:snapToGrid/>
        <w:spacing w:before="0" w:after="0" w:line="560" w:lineRule="exact"/>
        <w:textAlignment w:val="auto"/>
        <w:rPr>
          <w:rFonts w:hint="default" w:ascii="Times New Roman" w:hAnsi="Times New Roman" w:eastAsia="宋体" w:cs="Times New Roman"/>
          <w:sz w:val="32"/>
          <w:szCs w:val="32"/>
        </w:rPr>
      </w:pPr>
      <w:r>
        <w:rPr>
          <w:rFonts w:hint="default" w:ascii="Times New Roman" w:hAnsi="Times New Roman" w:eastAsia="宋体" w:cs="Times New Roman"/>
          <w:sz w:val="32"/>
          <w:szCs w:val="32"/>
        </w:rPr>
        <w:t>有关建议</w:t>
      </w:r>
      <w:bookmarkEnd w:id="21"/>
    </w:p>
    <w:p w14:paraId="24D621C9">
      <w:pPr>
        <w:spacing w:line="560" w:lineRule="exact"/>
        <w:ind w:firstLine="640" w:firstLineChars="200"/>
        <w:jc w:val="left"/>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color w:val="333333"/>
          <w:sz w:val="32"/>
          <w:szCs w:val="32"/>
        </w:rPr>
        <w:t>加大预算绩效管理培训力度，贯彻落实相关办法及制度。采取集中学习、讲座、专题会议等方式，加大对参与绩效管理工作的人员培训力度，进一步统一认识，充实业务知识，以达到预算绩效管理标准化、常态化的要求，最终实现提高绩效管理工作效率及质量的目标。</w:t>
      </w:r>
    </w:p>
    <w:p w14:paraId="1EEC38D9">
      <w:pPr>
        <w:pStyle w:val="4"/>
        <w:keepNext/>
        <w:keepLines/>
        <w:pageBreakBefore w:val="0"/>
        <w:widowControl w:val="0"/>
        <w:kinsoku/>
        <w:wordWrap/>
        <w:overflowPunct/>
        <w:topLinePunct w:val="0"/>
        <w:autoSpaceDE/>
        <w:autoSpaceDN/>
        <w:bidi w:val="0"/>
        <w:adjustRightInd/>
        <w:snapToGrid/>
        <w:spacing w:before="0" w:after="0" w:line="560" w:lineRule="exact"/>
        <w:textAlignment w:val="auto"/>
        <w:rPr>
          <w:rFonts w:hint="default" w:ascii="Times New Roman" w:hAnsi="Times New Roman" w:eastAsia="宋体" w:cs="Times New Roman"/>
          <w:sz w:val="32"/>
          <w:szCs w:val="32"/>
        </w:rPr>
      </w:pPr>
      <w:bookmarkStart w:id="22" w:name="_Toc68703846"/>
      <w:r>
        <w:rPr>
          <w:rFonts w:hint="default" w:ascii="Times New Roman" w:hAnsi="Times New Roman" w:eastAsia="宋体" w:cs="Times New Roman"/>
          <w:sz w:val="32"/>
          <w:szCs w:val="32"/>
        </w:rPr>
        <w:t>七、其他需要说明的问题</w:t>
      </w:r>
      <w:bookmarkEnd w:id="22"/>
    </w:p>
    <w:p w14:paraId="09525063">
      <w:pPr>
        <w:spacing w:line="560" w:lineRule="exact"/>
        <w:ind w:firstLine="640" w:firstLineChars="200"/>
        <w:jc w:val="left"/>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color w:val="333333"/>
          <w:sz w:val="32"/>
          <w:szCs w:val="32"/>
        </w:rPr>
        <w:t>本次预算绩效评价所采集的数据因为采集时间、数据来源等诸多因素的影响，可能会出现一定的偏差，进而对评价结果存在影响。</w:t>
      </w:r>
    </w:p>
    <w:p w14:paraId="7CF197F5">
      <w:pPr>
        <w:spacing w:line="360" w:lineRule="auto"/>
        <w:rPr>
          <w:rFonts w:hint="default" w:ascii="Times New Roman" w:hAnsi="Times New Roman" w:cs="Times New Roman"/>
        </w:rPr>
      </w:pPr>
    </w:p>
    <w:p w14:paraId="041164B1">
      <w:pPr>
        <w:rPr>
          <w:rFonts w:hint="default" w:ascii="Times New Roman" w:hAnsi="Times New Roman" w:cs="Times New Roman"/>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134D8"/>
    <w:multiLevelType w:val="singleLevel"/>
    <w:tmpl w:val="373134D8"/>
    <w:lvl w:ilvl="0" w:tentative="0">
      <w:start w:val="5"/>
      <w:numFmt w:val="decimal"/>
      <w:suff w:val="nothing"/>
      <w:lvlText w:val="%1、"/>
      <w:lvlJc w:val="left"/>
    </w:lvl>
  </w:abstractNum>
  <w:abstractNum w:abstractNumId="1">
    <w:nsid w:val="4476C98A"/>
    <w:multiLevelType w:val="singleLevel"/>
    <w:tmpl w:val="4476C98A"/>
    <w:lvl w:ilvl="0" w:tentative="0">
      <w:start w:val="3"/>
      <w:numFmt w:val="chineseCounting"/>
      <w:suff w:val="nothing"/>
      <w:lvlText w:val="（%1）"/>
      <w:lvlJc w:val="left"/>
      <w:rPr>
        <w:rFonts w:hint="eastAsia"/>
      </w:rPr>
    </w:lvl>
  </w:abstractNum>
  <w:abstractNum w:abstractNumId="2">
    <w:nsid w:val="507C3263"/>
    <w:multiLevelType w:val="singleLevel"/>
    <w:tmpl w:val="507C3263"/>
    <w:lvl w:ilvl="0" w:tentative="0">
      <w:start w:val="6"/>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E5ZjY4MTZmMjdlZTdiNDk2YjE2YjM5MDdjZDkwNjQifQ=="/>
  </w:docVars>
  <w:rsids>
    <w:rsidRoot w:val="007D49C5"/>
    <w:rsid w:val="000B223C"/>
    <w:rsid w:val="00376D6A"/>
    <w:rsid w:val="004850D4"/>
    <w:rsid w:val="00571796"/>
    <w:rsid w:val="00614288"/>
    <w:rsid w:val="007D49C5"/>
    <w:rsid w:val="008032CD"/>
    <w:rsid w:val="008464B5"/>
    <w:rsid w:val="008C631D"/>
    <w:rsid w:val="00977705"/>
    <w:rsid w:val="00987A38"/>
    <w:rsid w:val="00A56B3B"/>
    <w:rsid w:val="00BA7845"/>
    <w:rsid w:val="00EF1FE3"/>
    <w:rsid w:val="0FE40FD8"/>
    <w:rsid w:val="15DA37C6"/>
    <w:rsid w:val="17B051D1"/>
    <w:rsid w:val="2732278A"/>
    <w:rsid w:val="30F623FB"/>
    <w:rsid w:val="3F3020FF"/>
    <w:rsid w:val="43AF005F"/>
    <w:rsid w:val="48BA40C3"/>
    <w:rsid w:val="590434A0"/>
    <w:rsid w:val="5CCF4EA9"/>
    <w:rsid w:val="622575EA"/>
    <w:rsid w:val="62445BA9"/>
    <w:rsid w:val="653032BB"/>
    <w:rsid w:val="69F42DC0"/>
    <w:rsid w:val="6B155799"/>
    <w:rsid w:val="758D42E3"/>
    <w:rsid w:val="78F23079"/>
    <w:rsid w:val="7D8A59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4">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5">
    <w:name w:val="heading 2"/>
    <w:basedOn w:val="1"/>
    <w:next w:val="1"/>
    <w:link w:val="1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99"/>
    <w:pPr>
      <w:spacing w:after="120" w:line="312" w:lineRule="auto"/>
      <w:ind w:left="420" w:leftChars="200" w:firstLine="420"/>
    </w:pPr>
    <w:rPr>
      <w:rFonts w:eastAsia="宋体"/>
      <w:sz w:val="24"/>
    </w:rPr>
  </w:style>
  <w:style w:type="paragraph" w:styleId="3">
    <w:name w:val="Body Text Indent"/>
    <w:basedOn w:val="1"/>
    <w:unhideWhenUsed/>
    <w:qFormat/>
    <w:uiPriority w:val="99"/>
    <w:pPr>
      <w:spacing w:line="360" w:lineRule="auto"/>
      <w:ind w:firstLine="468"/>
    </w:pPr>
    <w:rPr>
      <w:rFonts w:ascii="宋体"/>
      <w:bCs/>
      <w:sz w:val="28"/>
    </w:rPr>
  </w:style>
  <w:style w:type="paragraph" w:styleId="6">
    <w:name w:val="footer"/>
    <w:basedOn w:val="1"/>
    <w:link w:val="19"/>
    <w:unhideWhenUsed/>
    <w:qFormat/>
    <w:uiPriority w:val="99"/>
    <w:pPr>
      <w:tabs>
        <w:tab w:val="center" w:pos="4153"/>
        <w:tab w:val="right" w:pos="8306"/>
      </w:tabs>
      <w:snapToGrid w:val="0"/>
      <w:jc w:val="left"/>
    </w:pPr>
    <w:rPr>
      <w:sz w:val="18"/>
      <w:szCs w:val="18"/>
    </w:rPr>
  </w:style>
  <w:style w:type="paragraph" w:styleId="7">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footnote text"/>
    <w:basedOn w:val="1"/>
    <w:qFormat/>
    <w:uiPriority w:val="0"/>
    <w:pPr>
      <w:snapToGrid w:val="0"/>
      <w:jc w:val="left"/>
    </w:pPr>
    <w:rPr>
      <w:sz w:val="18"/>
      <w:szCs w:val="18"/>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4">
    <w:name w:val="Hyperlink"/>
    <w:basedOn w:val="13"/>
    <w:unhideWhenUsed/>
    <w:qFormat/>
    <w:uiPriority w:val="99"/>
    <w:rPr>
      <w:color w:val="0563C1" w:themeColor="hyperlink"/>
      <w:u w:val="single"/>
      <w14:textFill>
        <w14:solidFill>
          <w14:schemeClr w14:val="hlink"/>
        </w14:solidFill>
      </w14:textFill>
    </w:rPr>
  </w:style>
  <w:style w:type="character" w:customStyle="1" w:styleId="15">
    <w:name w:val="标题 1 字符"/>
    <w:basedOn w:val="13"/>
    <w:link w:val="4"/>
    <w:qFormat/>
    <w:uiPriority w:val="9"/>
    <w:rPr>
      <w:rFonts w:ascii="Times New Roman" w:hAnsi="Times New Roman" w:eastAsia="仿宋_GB2312" w:cs="Times New Roman"/>
      <w:b/>
      <w:bCs/>
      <w:kern w:val="44"/>
      <w:sz w:val="44"/>
      <w:szCs w:val="44"/>
    </w:rPr>
  </w:style>
  <w:style w:type="character" w:customStyle="1" w:styleId="16">
    <w:name w:val="标题 2 字符"/>
    <w:basedOn w:val="13"/>
    <w:link w:val="5"/>
    <w:qFormat/>
    <w:uiPriority w:val="9"/>
    <w:rPr>
      <w:rFonts w:asciiTheme="majorHAnsi" w:hAnsiTheme="majorHAnsi" w:eastAsiaTheme="majorEastAsia" w:cstheme="majorBidi"/>
      <w:b/>
      <w:bCs/>
      <w:sz w:val="32"/>
      <w:szCs w:val="32"/>
    </w:rPr>
  </w:style>
  <w:style w:type="paragraph" w:customStyle="1" w:styleId="17">
    <w:name w:val="TOC Heading"/>
    <w:basedOn w:val="4"/>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8">
    <w:name w:val="页眉 字符"/>
    <w:basedOn w:val="13"/>
    <w:link w:val="7"/>
    <w:qFormat/>
    <w:uiPriority w:val="99"/>
    <w:rPr>
      <w:rFonts w:ascii="Times New Roman" w:hAnsi="Times New Roman" w:eastAsia="仿宋_GB2312" w:cs="Times New Roman"/>
      <w:sz w:val="18"/>
      <w:szCs w:val="18"/>
    </w:rPr>
  </w:style>
  <w:style w:type="character" w:customStyle="1" w:styleId="19">
    <w:name w:val="页脚 字符"/>
    <w:basedOn w:val="13"/>
    <w:link w:val="6"/>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Pages>
  <Words>5870</Words>
  <Characters>6117</Characters>
  <Lines>52</Lines>
  <Paragraphs>14</Paragraphs>
  <TotalTime>29</TotalTime>
  <ScaleCrop>false</ScaleCrop>
  <LinksUpToDate>false</LinksUpToDate>
  <CharactersWithSpaces>6221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U</cp:lastModifiedBy>
  <dcterms:modified xsi:type="dcterms:W3CDTF">2024-11-14T04:13:06Z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C10A60A6D9144BF185A63F71A217C929_12</vt:lpwstr>
  </property>
</Properties>
</file>