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Arial"/>
          <w:b/>
          <w:bCs/>
          <w:sz w:val="48"/>
          <w:szCs w:val="48"/>
          <w:lang w:eastAsia="zh-CN"/>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kern w:val="0"/>
          <w:sz w:val="36"/>
          <w:szCs w:val="36"/>
        </w:rPr>
        <w:t>（2</w:t>
      </w:r>
      <w:r>
        <w:rPr>
          <w:rFonts w:ascii="方正小标宋简体" w:hAnsi="方正小标宋简体" w:eastAsia="方正小标宋简体" w:cs="方正小标宋简体"/>
          <w:kern w:val="0"/>
          <w:sz w:val="36"/>
          <w:szCs w:val="36"/>
        </w:rPr>
        <w:t>02</w:t>
      </w:r>
      <w:r>
        <w:rPr>
          <w:rFonts w:hint="eastAsia" w:ascii="方正小标宋简体" w:hAnsi="方正小标宋简体" w:eastAsia="方正小标宋简体" w:cs="方正小标宋简体"/>
          <w:kern w:val="0"/>
          <w:sz w:val="36"/>
          <w:szCs w:val="36"/>
          <w:lang w:val="en-US" w:eastAsia="zh-CN"/>
        </w:rPr>
        <w:t>3</w:t>
      </w:r>
      <w:r>
        <w:rPr>
          <w:rFonts w:hint="eastAsia" w:ascii="方正小标宋简体" w:hAnsi="方正小标宋简体" w:eastAsia="方正小标宋简体" w:cs="方正小标宋简体"/>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宋体"/>
          <w:kern w:val="0"/>
          <w:sz w:val="28"/>
          <w:szCs w:val="28"/>
          <w:lang w:val="en-US" w:eastAsia="zh-CN"/>
        </w:rPr>
      </w:pPr>
      <w:r>
        <w:rPr>
          <w:rFonts w:hint="eastAsia" w:ascii="宋体" w:hAnsi="宋体" w:eastAsia="宋体" w:cs="仿宋_GB2312"/>
          <w:b/>
          <w:bCs/>
          <w:kern w:val="0"/>
          <w:sz w:val="32"/>
          <w:szCs w:val="32"/>
        </w:rPr>
        <w:t>项目名称</w:t>
      </w:r>
      <w:r>
        <w:rPr>
          <w:rFonts w:hint="eastAsia" w:ascii="宋体" w:hAnsi="宋体" w:cs="仿宋_GB2312"/>
          <w:b/>
          <w:bCs/>
          <w:kern w:val="0"/>
          <w:sz w:val="32"/>
          <w:szCs w:val="32"/>
          <w:lang w:val="en-US" w:eastAsia="zh-CN"/>
        </w:rPr>
        <w:t>:</w:t>
      </w:r>
      <w:r>
        <w:rPr>
          <w:rFonts w:hint="eastAsia" w:ascii="仿宋_GB2312"/>
          <w:lang w:val="en-US" w:eastAsia="zh-CN"/>
        </w:rPr>
        <w:t xml:space="preserve"> </w:t>
      </w:r>
      <w:r>
        <w:rPr>
          <w:rFonts w:hint="eastAsia" w:ascii="仿宋_GB2312"/>
          <w:sz w:val="28"/>
          <w:szCs w:val="28"/>
          <w:lang w:val="en-US" w:eastAsia="zh-CN"/>
        </w:rPr>
        <w:t>基本公共卫生项目</w:t>
      </w:r>
    </w:p>
    <w:p>
      <w:pPr>
        <w:spacing w:line="560" w:lineRule="exact"/>
        <w:ind w:firstLine="321" w:firstLineChars="100"/>
        <w:rPr>
          <w:rFonts w:hint="default" w:ascii="宋体" w:hAnsi="宋体" w:eastAsia="宋体" w:cs="宋体"/>
          <w:b/>
          <w:kern w:val="0"/>
          <w:sz w:val="28"/>
          <w:szCs w:val="28"/>
          <w:lang w:val="en-US" w:eastAsia="zh-CN"/>
        </w:rPr>
      </w:pPr>
      <w:r>
        <w:rPr>
          <w:rFonts w:hint="eastAsia" w:ascii="宋体" w:hAnsi="宋体" w:eastAsia="宋体" w:cs="仿宋_GB2312"/>
          <w:b/>
          <w:bCs/>
          <w:kern w:val="0"/>
          <w:sz w:val="32"/>
          <w:szCs w:val="32"/>
        </w:rPr>
        <w:t>实施单位（公章）：</w:t>
      </w:r>
      <w:r>
        <w:rPr>
          <w:rFonts w:hint="eastAsia" w:ascii="仿宋_GB2312"/>
          <w:sz w:val="28"/>
          <w:szCs w:val="28"/>
          <w:lang w:val="en-US" w:eastAsia="zh-CN"/>
        </w:rPr>
        <w:t xml:space="preserve">焉耆县各医疗机构 </w:t>
      </w:r>
    </w:p>
    <w:p>
      <w:pPr>
        <w:spacing w:line="560" w:lineRule="exact"/>
        <w:ind w:firstLine="321" w:firstLineChars="100"/>
        <w:rPr>
          <w:rFonts w:hint="default" w:ascii="宋体" w:hAnsi="宋体" w:eastAsia="宋体" w:cs="宋体"/>
          <w:kern w:val="0"/>
          <w:sz w:val="28"/>
          <w:szCs w:val="28"/>
          <w:lang w:val="en-US" w:eastAsia="zh-CN"/>
        </w:rPr>
      </w:pPr>
      <w:r>
        <w:rPr>
          <w:rFonts w:hint="eastAsia" w:ascii="宋体" w:hAnsi="宋体" w:eastAsia="宋体" w:cs="仿宋_GB2312"/>
          <w:b/>
          <w:bCs/>
          <w:kern w:val="0"/>
          <w:sz w:val="32"/>
          <w:szCs w:val="32"/>
        </w:rPr>
        <w:t>主</w:t>
      </w:r>
      <w:r>
        <w:rPr>
          <w:rFonts w:hint="eastAsia" w:ascii="宋体" w:hAnsi="宋体" w:cs="仿宋_GB2312"/>
          <w:b/>
          <w:bCs/>
          <w:kern w:val="0"/>
          <w:sz w:val="32"/>
          <w:szCs w:val="32"/>
          <w:lang w:val="en-US" w:eastAsia="zh-CN"/>
        </w:rPr>
        <w:t xml:space="preserve"> </w:t>
      </w:r>
      <w:r>
        <w:rPr>
          <w:rFonts w:hint="eastAsia" w:ascii="宋体" w:hAnsi="宋体" w:eastAsia="宋体" w:cs="仿宋_GB2312"/>
          <w:b/>
          <w:bCs/>
          <w:kern w:val="0"/>
          <w:sz w:val="32"/>
          <w:szCs w:val="32"/>
        </w:rPr>
        <w:t>管</w:t>
      </w:r>
      <w:r>
        <w:rPr>
          <w:rFonts w:hint="eastAsia" w:ascii="宋体" w:hAnsi="宋体" w:cs="仿宋_GB2312"/>
          <w:b/>
          <w:bCs/>
          <w:kern w:val="0"/>
          <w:sz w:val="32"/>
          <w:szCs w:val="32"/>
          <w:lang w:val="en-US" w:eastAsia="zh-CN"/>
        </w:rPr>
        <w:t xml:space="preserve"> </w:t>
      </w:r>
      <w:r>
        <w:rPr>
          <w:rFonts w:hint="eastAsia" w:ascii="宋体" w:hAnsi="宋体" w:eastAsia="宋体" w:cs="仿宋_GB2312"/>
          <w:b/>
          <w:bCs/>
          <w:kern w:val="0"/>
          <w:sz w:val="32"/>
          <w:szCs w:val="32"/>
        </w:rPr>
        <w:t>部</w:t>
      </w:r>
      <w:r>
        <w:rPr>
          <w:rFonts w:hint="eastAsia" w:ascii="宋体" w:hAnsi="宋体" w:cs="仿宋_GB2312"/>
          <w:b/>
          <w:bCs/>
          <w:kern w:val="0"/>
          <w:sz w:val="32"/>
          <w:szCs w:val="32"/>
          <w:lang w:val="en-US" w:eastAsia="zh-CN"/>
        </w:rPr>
        <w:t xml:space="preserve"> </w:t>
      </w:r>
      <w:r>
        <w:rPr>
          <w:rFonts w:hint="eastAsia" w:ascii="宋体" w:hAnsi="宋体" w:eastAsia="宋体" w:cs="仿宋_GB2312"/>
          <w:b/>
          <w:bCs/>
          <w:kern w:val="0"/>
          <w:sz w:val="32"/>
          <w:szCs w:val="32"/>
        </w:rPr>
        <w:t>门（公章）：</w:t>
      </w:r>
      <w:r>
        <w:rPr>
          <w:rFonts w:hint="eastAsia" w:ascii="仿宋_GB2312"/>
          <w:sz w:val="28"/>
          <w:szCs w:val="28"/>
          <w:lang w:val="en-US" w:eastAsia="zh-CN"/>
        </w:rPr>
        <w:t>焉耆县卫生健康委员会</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kern w:val="0"/>
          <w:sz w:val="32"/>
          <w:szCs w:val="32"/>
        </w:rPr>
        <w:t>项目负责人（签章）：</w:t>
      </w:r>
      <w:r>
        <w:rPr>
          <w:rFonts w:hint="eastAsia" w:ascii="宋体" w:hAnsi="宋体" w:cs="宋体"/>
          <w:kern w:val="0"/>
          <w:sz w:val="32"/>
          <w:szCs w:val="32"/>
          <w:lang w:eastAsia="zh-CN"/>
        </w:rPr>
        <w:t>郭海燕</w:t>
      </w:r>
      <w:r>
        <w:rPr>
          <w:rFonts w:hint="eastAsia" w:ascii="仿宋_GB2312"/>
          <w:lang w:val="en-US" w:eastAsia="zh-CN"/>
        </w:rPr>
        <w:t xml:space="preserve"> </w:t>
      </w:r>
    </w:p>
    <w:p>
      <w:pPr>
        <w:spacing w:line="560" w:lineRule="exact"/>
        <w:ind w:firstLine="321" w:firstLineChars="100"/>
        <w:rPr>
          <w:rFonts w:hint="eastAsia" w:ascii="宋体" w:hAnsi="宋体" w:cs="宋体"/>
          <w:kern w:val="0"/>
          <w:sz w:val="32"/>
          <w:szCs w:val="32"/>
          <w:lang w:eastAsia="zh-CN"/>
        </w:rPr>
      </w:pPr>
      <w:r>
        <w:rPr>
          <w:rFonts w:hint="eastAsia" w:ascii="宋体" w:hAnsi="宋体" w:eastAsia="宋体" w:cs="仿宋_GB2312"/>
          <w:b/>
          <w:bCs/>
          <w:kern w:val="0"/>
          <w:sz w:val="32"/>
          <w:szCs w:val="32"/>
        </w:rPr>
        <w:t>填报时间：</w:t>
      </w:r>
      <w:r>
        <w:rPr>
          <w:rFonts w:hint="eastAsia" w:ascii="宋体" w:hAnsi="宋体" w:cs="宋体"/>
          <w:kern w:val="0"/>
          <w:sz w:val="32"/>
          <w:szCs w:val="32"/>
          <w:lang w:eastAsia="zh-CN"/>
        </w:rPr>
        <w:t>202</w:t>
      </w:r>
      <w:r>
        <w:rPr>
          <w:rFonts w:hint="eastAsia" w:ascii="宋体" w:hAnsi="宋体" w:cs="宋体"/>
          <w:kern w:val="0"/>
          <w:sz w:val="32"/>
          <w:szCs w:val="32"/>
          <w:lang w:val="en-US" w:eastAsia="zh-CN"/>
        </w:rPr>
        <w:t>4</w:t>
      </w:r>
      <w:r>
        <w:rPr>
          <w:rFonts w:hint="eastAsia" w:ascii="宋体" w:hAnsi="宋体" w:cs="宋体"/>
          <w:kern w:val="0"/>
          <w:sz w:val="32"/>
          <w:szCs w:val="32"/>
          <w:lang w:eastAsia="zh-CN"/>
        </w:rPr>
        <w:t>年0</w:t>
      </w:r>
      <w:r>
        <w:rPr>
          <w:rFonts w:hint="eastAsia" w:ascii="宋体" w:hAnsi="宋体" w:cs="宋体"/>
          <w:kern w:val="0"/>
          <w:sz w:val="32"/>
          <w:szCs w:val="32"/>
          <w:lang w:val="en-US" w:eastAsia="zh-CN"/>
        </w:rPr>
        <w:t>4</w:t>
      </w:r>
      <w:r>
        <w:rPr>
          <w:rFonts w:hint="eastAsia" w:ascii="宋体" w:hAnsi="宋体" w:cs="宋体"/>
          <w:kern w:val="0"/>
          <w:sz w:val="32"/>
          <w:szCs w:val="32"/>
          <w:lang w:eastAsia="zh-CN"/>
        </w:rPr>
        <w:t>月</w:t>
      </w:r>
      <w:r>
        <w:rPr>
          <w:rFonts w:hint="eastAsia" w:ascii="宋体" w:hAnsi="宋体" w:cs="宋体"/>
          <w:kern w:val="0"/>
          <w:sz w:val="32"/>
          <w:szCs w:val="32"/>
          <w:lang w:val="en-US" w:eastAsia="zh-CN"/>
        </w:rPr>
        <w:t>20</w:t>
      </w:r>
      <w:r>
        <w:rPr>
          <w:rFonts w:hint="eastAsia" w:ascii="宋体" w:hAnsi="宋体" w:cs="宋体"/>
          <w:kern w:val="0"/>
          <w:sz w:val="32"/>
          <w:szCs w:val="32"/>
          <w:lang w:eastAsia="zh-CN"/>
        </w:rPr>
        <w:t>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0"/>
            <w:rPr>
              <w:rFonts w:ascii="Times New Roman" w:hAnsi="Times New Roman" w:eastAsia="仿宋_GB2312" w:cs="Times New Roman"/>
              <w:b/>
              <w:bCs/>
              <w:color w:val="auto"/>
              <w:kern w:val="2"/>
              <w:sz w:val="30"/>
              <w:szCs w:val="24"/>
              <w:lang w:val="zh-CN"/>
            </w:rPr>
          </w:pPr>
        </w:p>
      </w:sdtContent>
    </w:sdt>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20"/>
            <w:jc w:val="center"/>
            <w:rPr>
              <w:rFonts w:ascii="宋体" w:hAnsi="宋体" w:eastAsia="宋体"/>
              <w:b/>
              <w:bCs/>
              <w:color w:val="auto"/>
              <w:lang w:val="zh-CN"/>
            </w:rPr>
          </w:pPr>
          <w:r>
            <w:rPr>
              <w:rFonts w:ascii="宋体" w:hAnsi="宋体" w:eastAsia="宋体"/>
              <w:b/>
              <w:bCs/>
              <w:color w:val="auto"/>
              <w:lang w:val="zh-CN"/>
            </w:rPr>
            <w:t>目录</w:t>
          </w:r>
        </w:p>
        <w:p>
          <w:pPr>
            <w:pStyle w:val="9"/>
            <w:keepNext w:val="0"/>
            <w:keepLines w:val="0"/>
            <w:pageBreakBefore w:val="0"/>
            <w:widowControl/>
            <w:tabs>
              <w:tab w:val="right" w:leader="dot" w:pos="8834"/>
            </w:tabs>
            <w:kinsoku/>
            <w:wordWrap/>
            <w:overflowPunct/>
            <w:topLinePunct w:val="0"/>
            <w:autoSpaceDE/>
            <w:autoSpaceDN/>
            <w:bidi w:val="0"/>
            <w:adjustRightInd/>
            <w:snapToGrid/>
            <w:spacing w:line="560" w:lineRule="exact"/>
            <w:textAlignment w:val="auto"/>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6"/>
              <w:rFonts w:ascii="宋体" w:hAnsi="宋体" w:eastAsia="宋体"/>
              <w:color w:val="auto"/>
            </w:rPr>
            <w:t>一、基本情况</w:t>
          </w:r>
          <w:r>
            <w:tab/>
          </w:r>
          <w:r>
            <w:fldChar w:fldCharType="begin"/>
          </w:r>
          <w:r>
            <w:instrText xml:space="preserve"> PAGEREF _Toc68703827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"_Toc68703828" </w:instrText>
          </w:r>
          <w:r>
            <w:fldChar w:fldCharType="separate"/>
          </w:r>
          <w:r>
            <w:rPr>
              <w:rStyle w:val="16"/>
              <w:rFonts w:ascii="仿宋_GB2312" w:eastAsia="仿宋_GB2312"/>
              <w:color w:val="auto"/>
            </w:rPr>
            <w:t>（一）项目概况</w:t>
          </w:r>
          <w:r>
            <w:tab/>
          </w:r>
          <w:r>
            <w:fldChar w:fldCharType="begin"/>
          </w:r>
          <w:r>
            <w:instrText xml:space="preserve"> PAGEREF _Toc68703828 \h </w:instrText>
          </w:r>
          <w:r>
            <w:fldChar w:fldCharType="separate"/>
          </w:r>
          <w:r>
            <w:t>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"_Toc68703829" </w:instrText>
          </w:r>
          <w:r>
            <w:fldChar w:fldCharType="separate"/>
          </w:r>
          <w:r>
            <w:rPr>
              <w:rStyle w:val="16"/>
              <w:rFonts w:ascii="仿宋_GB2312" w:eastAsia="仿宋_GB2312"/>
              <w:color w:val="auto"/>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"_Toc68703830" </w:instrText>
          </w:r>
          <w:r>
            <w:fldChar w:fldCharType="separate"/>
          </w:r>
          <w:r>
            <w:rPr>
              <w:rStyle w:val="16"/>
              <w:rFonts w:ascii="宋体" w:hAnsi="宋体" w:eastAsia="宋体"/>
              <w:color w:val="auto"/>
            </w:rPr>
            <w:t>二、绩效评价工作开展情况</w:t>
          </w:r>
          <w:r>
            <w:tab/>
          </w:r>
          <w:r>
            <w:fldChar w:fldCharType="begin"/>
          </w:r>
          <w:r>
            <w:instrText xml:space="preserve"> PAGEREF _Toc68703830 \h </w:instrText>
          </w:r>
          <w:r>
            <w:fldChar w:fldCharType="separate"/>
          </w:r>
          <w:r>
            <w:t>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"_Toc68703831" </w:instrText>
          </w:r>
          <w:r>
            <w:fldChar w:fldCharType="separate"/>
          </w:r>
          <w:r>
            <w:rPr>
              <w:rStyle w:val="16"/>
              <w:rFonts w:ascii="仿宋_GB2312" w:eastAsia="仿宋_GB2312"/>
              <w:color w:val="auto"/>
            </w:rPr>
            <w:t>（一）绩效评价目的、对象和范围</w:t>
          </w:r>
          <w:r>
            <w:tab/>
          </w:r>
          <w:r>
            <w:fldChar w:fldCharType="begin"/>
          </w:r>
          <w:r>
            <w:instrText xml:space="preserve"> PAGEREF _Toc68703831 \h </w:instrText>
          </w:r>
          <w:r>
            <w:fldChar w:fldCharType="separate"/>
          </w:r>
          <w:r>
            <w:t>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"_Toc68703832" </w:instrText>
          </w:r>
          <w:r>
            <w:fldChar w:fldCharType="separate"/>
          </w:r>
          <w:r>
            <w:rPr>
              <w:rStyle w:val="16"/>
              <w:rFonts w:ascii="仿宋_GB2312" w:eastAsia="仿宋_GB2312"/>
              <w:color w:val="auto"/>
            </w:rPr>
            <w:t>（二）绩效评价原则、评价指标体系、评价方法、评价标准等</w:t>
          </w:r>
          <w:r>
            <w:tab/>
          </w:r>
          <w:r>
            <w:fldChar w:fldCharType="begin"/>
          </w:r>
          <w:r>
            <w:instrText xml:space="preserve"> PAGEREF _Toc68703832 \h </w:instrText>
          </w:r>
          <w:r>
            <w:fldChar w:fldCharType="separate"/>
          </w:r>
          <w:r>
            <w:t>6</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"_Toc68703833" </w:instrText>
          </w:r>
          <w:r>
            <w:fldChar w:fldCharType="separate"/>
          </w:r>
          <w:r>
            <w:rPr>
              <w:rStyle w:val="16"/>
              <w:rFonts w:ascii="仿宋_GB2312" w:eastAsia="仿宋_GB2312"/>
              <w:color w:val="auto"/>
            </w:rPr>
            <w:t>（三）绩效评价工作过程</w:t>
          </w:r>
          <w:r>
            <w:tab/>
          </w:r>
          <w:r>
            <w:fldChar w:fldCharType="begin"/>
          </w:r>
          <w:r>
            <w:instrText xml:space="preserve"> PAGEREF _Toc68703833 \h </w:instrText>
          </w:r>
          <w:r>
            <w:fldChar w:fldCharType="separate"/>
          </w:r>
          <w:r>
            <w:t>12</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"_Toc68703834" </w:instrText>
          </w:r>
          <w:r>
            <w:fldChar w:fldCharType="separate"/>
          </w:r>
          <w:r>
            <w:rPr>
              <w:rStyle w:val="16"/>
              <w:rFonts w:ascii="宋体" w:hAnsi="宋体" w:eastAsia="宋体"/>
              <w:color w:val="auto"/>
            </w:rPr>
            <w:t>三、综合评价情况及评价结论</w:t>
          </w:r>
          <w:r>
            <w:tab/>
          </w:r>
          <w:r>
            <w:fldChar w:fldCharType="begin"/>
          </w:r>
          <w:r>
            <w:instrText xml:space="preserve"> PAGEREF _Toc68703834 \h </w:instrText>
          </w:r>
          <w:r>
            <w:fldChar w:fldCharType="separate"/>
          </w:r>
          <w:r>
            <w:t>13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"_Toc68703835" </w:instrText>
          </w:r>
          <w:r>
            <w:fldChar w:fldCharType="separate"/>
          </w:r>
          <w:r>
            <w:rPr>
              <w:rStyle w:val="16"/>
              <w:rFonts w:ascii="仿宋_GB2312" w:eastAsia="仿宋_GB2312"/>
              <w:color w:val="auto"/>
            </w:rPr>
            <w:t>（一）综合评价情况</w:t>
          </w:r>
          <w:r>
            <w:tab/>
          </w:r>
          <w:r>
            <w:fldChar w:fldCharType="begin"/>
          </w:r>
          <w:r>
            <w:instrText xml:space="preserve"> PAGEREF _Toc68703835 \h </w:instrText>
          </w:r>
          <w:r>
            <w:fldChar w:fldCharType="separate"/>
          </w:r>
          <w:r>
            <w:t>13</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"_Toc68703836" </w:instrText>
          </w:r>
          <w:r>
            <w:fldChar w:fldCharType="separate"/>
          </w:r>
          <w:r>
            <w:rPr>
              <w:rStyle w:val="16"/>
              <w:rFonts w:ascii="仿宋_GB2312" w:eastAsia="仿宋_GB2312"/>
              <w:color w:val="auto"/>
            </w:rPr>
            <w:t>（二）评价结论</w:t>
          </w:r>
          <w:r>
            <w:tab/>
          </w:r>
          <w:r>
            <w:fldChar w:fldCharType="begin"/>
          </w:r>
          <w:r>
            <w:instrText xml:space="preserve"> PAGEREF _Toc68703836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"_Toc68703837" </w:instrText>
          </w:r>
          <w:r>
            <w:fldChar w:fldCharType="separate"/>
          </w:r>
          <w:r>
            <w:rPr>
              <w:rStyle w:val="16"/>
              <w:rFonts w:ascii="宋体" w:hAnsi="宋体" w:eastAsia="宋体"/>
              <w:color w:val="auto"/>
            </w:rPr>
            <w:t>四、绩效评价指标分析</w:t>
          </w:r>
          <w:r>
            <w:tab/>
          </w:r>
          <w:r>
            <w:fldChar w:fldCharType="begin"/>
          </w:r>
          <w:r>
            <w:instrText xml:space="preserve"> PAGEREF _Toc68703837 \h </w:instrText>
          </w:r>
          <w:r>
            <w:fldChar w:fldCharType="separate"/>
          </w:r>
          <w:r>
            <w:t>14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"_Toc68703838" </w:instrText>
          </w:r>
          <w:r>
            <w:fldChar w:fldCharType="separate"/>
          </w:r>
          <w:r>
            <w:rPr>
              <w:rStyle w:val="16"/>
              <w:rFonts w:ascii="仿宋_GB2312" w:eastAsia="仿宋_GB2312"/>
              <w:color w:val="auto"/>
            </w:rPr>
            <w:t>（一）项目决策情况</w:t>
          </w:r>
          <w:r>
            <w:tab/>
          </w:r>
          <w:r>
            <w:fldChar w:fldCharType="begin"/>
          </w:r>
          <w:r>
            <w:instrText xml:space="preserve"> PAGEREF _Toc68703838 \h </w:instrText>
          </w:r>
          <w:r>
            <w:fldChar w:fldCharType="separate"/>
          </w:r>
          <w:r>
            <w:t>14</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"_Toc68703839" </w:instrText>
          </w:r>
          <w:r>
            <w:fldChar w:fldCharType="separate"/>
          </w:r>
          <w:r>
            <w:rPr>
              <w:rStyle w:val="16"/>
              <w:rFonts w:ascii="仿宋_GB2312" w:eastAsia="仿宋_GB2312"/>
              <w:color w:val="auto"/>
            </w:rPr>
            <w:t>（二）项目过程情况</w:t>
          </w:r>
          <w:r>
            <w:tab/>
          </w:r>
          <w:r>
            <w:fldChar w:fldCharType="begin"/>
          </w:r>
          <w:r>
            <w:instrText xml:space="preserve"> PAGEREF _Toc68703839 \h </w:instrText>
          </w:r>
          <w:r>
            <w:fldChar w:fldCharType="separate"/>
          </w:r>
          <w:r>
            <w:t>15</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"_Toc68703840" </w:instrText>
          </w:r>
          <w:r>
            <w:fldChar w:fldCharType="separate"/>
          </w:r>
          <w:r>
            <w:rPr>
              <w:rStyle w:val="16"/>
              <w:rFonts w:ascii="仿宋_GB2312" w:eastAsia="仿宋_GB2312"/>
              <w:color w:val="auto"/>
            </w:rPr>
            <w:t>（三）项目产出情况</w:t>
          </w:r>
          <w:r>
            <w:tab/>
          </w:r>
          <w:r>
            <w:fldChar w:fldCharType="begin"/>
          </w:r>
          <w:r>
            <w:instrText xml:space="preserve"> PAGEREF _Toc68703840 \h </w:instrText>
          </w:r>
          <w:r>
            <w:fldChar w:fldCharType="separate"/>
          </w:r>
          <w:r>
            <w:t>17</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"_Toc68703841" </w:instrText>
          </w:r>
          <w:r>
            <w:fldChar w:fldCharType="separate"/>
          </w:r>
          <w:r>
            <w:rPr>
              <w:rStyle w:val="16"/>
              <w:rFonts w:ascii="仿宋_GB2312" w:eastAsia="仿宋_GB2312"/>
              <w:color w:val="auto"/>
            </w:rPr>
            <w:t>（四）项目效益情况</w:t>
          </w:r>
          <w:r>
            <w:tab/>
          </w:r>
          <w:r>
            <w:fldChar w:fldCharType="begin"/>
          </w:r>
          <w:r>
            <w:instrText xml:space="preserve"> PAGEREF _Toc68703841 \h </w:instrText>
          </w:r>
          <w:r>
            <w:fldChar w:fldCharType="separate"/>
          </w:r>
          <w:r>
            <w:t>18</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"_Toc68703842" </w:instrText>
          </w:r>
          <w:r>
            <w:fldChar w:fldCharType="separate"/>
          </w:r>
          <w:r>
            <w:rPr>
              <w:rStyle w:val="16"/>
              <w:rFonts w:ascii="宋体" w:hAnsi="宋体" w:eastAsia="宋体"/>
              <w:color w:val="auto"/>
            </w:rPr>
            <w:t>五、主要经验及做法、存在的问题及原因分析</w:t>
          </w:r>
          <w:r>
            <w:tab/>
          </w:r>
          <w:r>
            <w:fldChar w:fldCharType="begin"/>
          </w:r>
          <w:r>
            <w:instrText xml:space="preserve"> PAGEREF _Toc68703842 \h </w:instrText>
          </w:r>
          <w:r>
            <w:fldChar w:fldCharType="separate"/>
          </w:r>
          <w:r>
            <w:t>18</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"_Toc68703843" </w:instrText>
          </w:r>
          <w:r>
            <w:fldChar w:fldCharType="separate"/>
          </w:r>
          <w:r>
            <w:rPr>
              <w:rStyle w:val="16"/>
              <w:rFonts w:ascii="仿宋_GB2312" w:eastAsia="仿宋_GB2312"/>
              <w:color w:val="auto"/>
            </w:rPr>
            <w:t>（一）主要经验及做法</w:t>
          </w:r>
          <w:r>
            <w:tab/>
          </w:r>
          <w:r>
            <w:fldChar w:fldCharType="begin"/>
          </w:r>
          <w:r>
            <w:instrText xml:space="preserve"> PAGEREF _Toc68703843 \h </w:instrText>
          </w:r>
          <w:r>
            <w:fldChar w:fldCharType="separate"/>
          </w:r>
          <w:r>
            <w:t>18</w:t>
          </w:r>
          <w:r>
            <w:fldChar w:fldCharType="end"/>
          </w:r>
          <w:r>
            <w:fldChar w:fldCharType="end"/>
          </w:r>
        </w:p>
        <w:p>
          <w:pPr>
            <w:pStyle w:val="11"/>
            <w:tabs>
              <w:tab w:val="right" w:leader="dot" w:pos="8834"/>
            </w:tabs>
            <w:rPr>
              <w:rFonts w:cstheme="minorBidi"/>
              <w:kern w:val="2"/>
              <w:sz w:val="21"/>
            </w:rPr>
          </w:pPr>
          <w:r>
            <w:fldChar w:fldCharType="begin"/>
          </w:r>
          <w:r>
            <w:instrText xml:space="preserve"> HYPERLINK \l "_Toc68703844" </w:instrText>
          </w:r>
          <w:r>
            <w:fldChar w:fldCharType="separate"/>
          </w:r>
          <w:r>
            <w:rPr>
              <w:rStyle w:val="16"/>
              <w:rFonts w:ascii="仿宋_GB2312" w:eastAsia="仿宋_GB2312"/>
              <w:color w:val="auto"/>
            </w:rPr>
            <w:t>（二）存在的问题及原因分析</w:t>
          </w:r>
          <w:r>
            <w:tab/>
          </w:r>
          <w:r>
            <w:fldChar w:fldCharType="begin"/>
          </w:r>
          <w:r>
            <w:instrText xml:space="preserve"> PAGEREF _Toc68703844 \h </w:instrText>
          </w:r>
          <w:r>
            <w:fldChar w:fldCharType="separate"/>
          </w:r>
          <w:r>
            <w:t>19</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"_Toc68703845" </w:instrText>
          </w:r>
          <w:r>
            <w:fldChar w:fldCharType="separate"/>
          </w:r>
          <w:r>
            <w:rPr>
              <w:rStyle w:val="16"/>
              <w:rFonts w:ascii="宋体" w:hAnsi="宋体" w:eastAsia="宋体"/>
              <w:color w:val="auto"/>
            </w:rPr>
            <w:t>六、有关建议</w:t>
          </w:r>
          <w:r>
            <w:tab/>
          </w:r>
          <w:r>
            <w:fldChar w:fldCharType="begin"/>
          </w:r>
          <w:r>
            <w:instrText xml:space="preserve"> PAGEREF _Toc68703845 \h </w:instrText>
          </w:r>
          <w:r>
            <w:fldChar w:fldCharType="separate"/>
          </w:r>
          <w:r>
            <w:t>19</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"_Toc68703846" </w:instrText>
          </w:r>
          <w:r>
            <w:fldChar w:fldCharType="separate"/>
          </w:r>
          <w:r>
            <w:rPr>
              <w:rStyle w:val="16"/>
              <w:rFonts w:ascii="宋体" w:hAnsi="宋体" w:eastAsia="宋体"/>
              <w:color w:val="auto"/>
            </w:rPr>
            <w:t>七、其他需要说明的问题</w:t>
          </w:r>
          <w:r>
            <w:tab/>
          </w:r>
          <w:r>
            <w:fldChar w:fldCharType="begin"/>
          </w:r>
          <w:r>
            <w:instrText xml:space="preserve"> PAGEREF _Toc68703846 \h </w:instrText>
          </w:r>
          <w:r>
            <w:fldChar w:fldCharType="separate"/>
          </w:r>
          <w:r>
            <w:t>19</w:t>
          </w:r>
          <w:r>
            <w:fldChar w:fldCharType="end"/>
          </w:r>
          <w:r>
            <w:fldChar w:fldCharType="end"/>
          </w:r>
        </w:p>
        <w:p>
          <w:pPr>
            <w:pStyle w:val="10"/>
            <w:rPr>
              <w:rFonts w:ascii="Times New Roman" w:hAnsi="Times New Roman" w:eastAsia="仿宋_GB2312" w:cs="Times New Roman"/>
              <w:b/>
              <w:bCs/>
              <w:color w:val="auto"/>
              <w:kern w:val="2"/>
              <w:sz w:val="30"/>
              <w:szCs w:val="24"/>
              <w:lang w:val="zh-CN"/>
            </w:rPr>
          </w:pPr>
          <w:r>
            <w:rPr>
              <w:b/>
              <w:bCs/>
              <w:lang w:val="zh-CN"/>
            </w:rPr>
            <w:fldChar w:fldCharType="end"/>
          </w:r>
        </w:p>
      </w:sdtContent>
    </w:sdt>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ascii="Times New Roman" w:hAnsi="Times New Roman" w:eastAsia="仿宋_GB2312" w:cs="Times New Roman"/>
          <w:b/>
          <w:bCs/>
          <w:color w:val="auto"/>
          <w:kern w:val="2"/>
          <w:sz w:val="30"/>
          <w:szCs w:val="24"/>
          <w:lang w:val="zh-CN"/>
        </w:rPr>
      </w:pPr>
    </w:p>
    <w:p>
      <w:pPr>
        <w:pStyle w:val="10"/>
        <w:rPr>
          <w:rFonts w:hint="eastAsia" w:ascii="宋体" w:hAnsi="宋体" w:eastAsia="宋体" w:cs="Arial"/>
          <w:b/>
          <w:bCs/>
          <w:sz w:val="36"/>
          <w:szCs w:val="36"/>
        </w:rPr>
      </w:pPr>
    </w:p>
    <w:p>
      <w:pPr>
        <w:pageBreakBefore w:val="0"/>
        <w:kinsoku/>
        <w:wordWrap/>
        <w:overflowPunct/>
        <w:topLinePunct w:val="0"/>
        <w:autoSpaceDE/>
        <w:autoSpaceDN/>
        <w:bidi w:val="0"/>
        <w:spacing w:line="560" w:lineRule="exact"/>
        <w:contextualSpacing/>
        <w:jc w:val="center"/>
        <w:textAlignment w:val="auto"/>
        <w:rPr>
          <w:rFonts w:ascii="方正小标宋_GBK" w:hAnsi="Arial" w:eastAsia="方正小标宋_GBK" w:cs="Arial"/>
          <w:b/>
          <w:bCs/>
          <w:sz w:val="44"/>
          <w:szCs w:val="44"/>
        </w:rPr>
      </w:pPr>
      <w:r>
        <w:rPr>
          <w:rFonts w:hint="eastAsia" w:ascii="方正小标宋_GBK" w:hAnsi="宋体" w:eastAsia="方正小标宋_GBK" w:cs="Arial"/>
          <w:b/>
          <w:bCs/>
          <w:sz w:val="44"/>
          <w:szCs w:val="44"/>
        </w:rPr>
        <w:t>项目支出绩效评价报告</w:t>
      </w:r>
    </w:p>
    <w:p>
      <w:pPr>
        <w:pageBreakBefore w:val="0"/>
        <w:kinsoku/>
        <w:wordWrap/>
        <w:overflowPunct/>
        <w:topLinePunct w:val="0"/>
        <w:autoSpaceDE/>
        <w:autoSpaceDN/>
        <w:bidi w:val="0"/>
        <w:spacing w:line="560" w:lineRule="exact"/>
        <w:contextualSpacing/>
        <w:jc w:val="center"/>
        <w:textAlignment w:val="auto"/>
        <w:rPr>
          <w:rFonts w:ascii="仿宋_GB2312"/>
          <w:szCs w:val="30"/>
        </w:rPr>
      </w:pPr>
    </w:p>
    <w:p>
      <w:pPr>
        <w:pageBreakBefore w:val="0"/>
        <w:numPr>
          <w:ilvl w:val="0"/>
          <w:numId w:val="0"/>
        </w:numPr>
        <w:kinsoku/>
        <w:wordWrap/>
        <w:overflowPunct/>
        <w:topLinePunct w:val="0"/>
        <w:autoSpaceDE/>
        <w:autoSpaceDN/>
        <w:bidi w:val="0"/>
        <w:spacing w:line="560" w:lineRule="exact"/>
        <w:ind w:firstLine="640" w:firstLineChars="200"/>
        <w:contextualSpacing/>
        <w:textAlignment w:val="auto"/>
        <w:rPr>
          <w:rFonts w:hint="eastAsia" w:ascii="方正黑体_GBK" w:hAnsi="黑体" w:eastAsia="方正黑体_GBK"/>
          <w:sz w:val="32"/>
          <w:szCs w:val="32"/>
        </w:rPr>
      </w:pPr>
      <w:r>
        <w:rPr>
          <w:rFonts w:hint="eastAsia" w:ascii="方正黑体_GBK" w:hAnsi="黑体" w:eastAsia="方正黑体_GBK"/>
          <w:sz w:val="32"/>
          <w:szCs w:val="32"/>
        </w:rPr>
        <w:t>一、基本情况</w:t>
      </w:r>
    </w:p>
    <w:p>
      <w:pPr>
        <w:pageBreakBefore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pageBreakBefore w:val="0"/>
        <w:numPr>
          <w:ilvl w:val="0"/>
          <w:numId w:val="0"/>
        </w:numPr>
        <w:kinsoku/>
        <w:wordWrap/>
        <w:overflowPunct/>
        <w:topLinePunct w:val="0"/>
        <w:autoSpaceDE/>
        <w:autoSpaceDN/>
        <w:bidi w:val="0"/>
        <w:spacing w:line="560" w:lineRule="exact"/>
        <w:ind w:firstLine="643" w:firstLineChars="200"/>
        <w:textAlignment w:val="auto"/>
        <w:rPr>
          <w:rFonts w:hint="eastAsia" w:eastAsia="仿宋_GB2312" w:cs="宋体" w:asciiTheme="minorHAnsi" w:hAnsiTheme="minorHAnsi"/>
          <w:b/>
          <w:bCs/>
          <w:color w:val="333333"/>
          <w:sz w:val="32"/>
          <w:szCs w:val="32"/>
        </w:rPr>
      </w:pPr>
      <w:r>
        <w:rPr>
          <w:rFonts w:hint="eastAsia" w:eastAsia="仿宋_GB2312" w:cs="宋体" w:asciiTheme="minorHAnsi" w:hAnsiTheme="minorHAnsi"/>
          <w:b/>
          <w:bCs/>
          <w:color w:val="333333"/>
          <w:sz w:val="32"/>
          <w:szCs w:val="32"/>
        </w:rPr>
        <w:t>1、项目依据及项目背景</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eastAsia="仿宋_GB2312" w:cs="宋体" w:asciiTheme="minorHAnsi" w:hAnsiTheme="minorHAnsi"/>
          <w:color w:val="333333"/>
          <w:sz w:val="32"/>
          <w:szCs w:val="32"/>
        </w:rPr>
      </w:pPr>
      <w:r>
        <w:rPr>
          <w:rFonts w:hint="eastAsia" w:eastAsia="仿宋_GB2312" w:cs="宋体" w:asciiTheme="minorHAnsi" w:hAnsiTheme="minorHAnsi"/>
          <w:color w:val="333333"/>
          <w:sz w:val="32"/>
          <w:szCs w:val="32"/>
        </w:rPr>
        <w:t>根据《自治区基本公共卫生项目实施方案》结合焉耆县卫健委部门职责， 积极开展主要用于对全县居民健康问题实施干预措施，减少主要健康危险因素，使城乡居民逐步享有均等化的基本公共卫生服务，重大疾病和主要健康危险因素得到有效控制，城乡居民健康水平得到进一步提高。</w:t>
      </w:r>
      <w:r>
        <w:rPr>
          <w:rFonts w:hint="eastAsia" w:eastAsia="仿宋_GB2312" w:cs="宋体" w:asciiTheme="minorHAnsi" w:hAnsiTheme="minorHAnsi"/>
          <w:color w:val="333333"/>
          <w:sz w:val="32"/>
          <w:szCs w:val="32"/>
        </w:rPr>
        <w:tab/>
      </w:r>
    </w:p>
    <w:p>
      <w:pPr>
        <w:pageBreakBefore w:val="0"/>
        <w:numPr>
          <w:ilvl w:val="0"/>
          <w:numId w:val="0"/>
        </w:numPr>
        <w:kinsoku/>
        <w:wordWrap/>
        <w:overflowPunct/>
        <w:topLinePunct w:val="0"/>
        <w:autoSpaceDE/>
        <w:autoSpaceDN/>
        <w:bidi w:val="0"/>
        <w:spacing w:line="560" w:lineRule="exact"/>
        <w:ind w:firstLine="643" w:firstLineChars="200"/>
        <w:textAlignment w:val="auto"/>
        <w:rPr>
          <w:rFonts w:hint="eastAsia" w:eastAsia="仿宋_GB2312" w:cs="宋体" w:asciiTheme="minorHAnsi" w:hAnsiTheme="minorHAnsi"/>
          <w:b/>
          <w:bCs/>
          <w:color w:val="333333"/>
          <w:sz w:val="32"/>
          <w:szCs w:val="32"/>
        </w:rPr>
      </w:pPr>
      <w:r>
        <w:rPr>
          <w:rFonts w:hint="eastAsia" w:eastAsia="仿宋_GB2312" w:cs="宋体" w:asciiTheme="minorHAnsi" w:hAnsiTheme="minorHAnsi"/>
          <w:b/>
          <w:bCs/>
          <w:color w:val="333333"/>
          <w:sz w:val="32"/>
          <w:szCs w:val="32"/>
          <w:lang w:val="en-US" w:eastAsia="zh-CN"/>
        </w:rPr>
        <w:t>2、</w:t>
      </w:r>
      <w:r>
        <w:rPr>
          <w:rFonts w:hint="eastAsia" w:eastAsia="仿宋_GB2312" w:cs="宋体" w:asciiTheme="minorHAnsi" w:hAnsiTheme="minorHAnsi"/>
          <w:b/>
          <w:bCs/>
          <w:color w:val="333333"/>
          <w:sz w:val="32"/>
          <w:szCs w:val="32"/>
        </w:rPr>
        <w:t>主要内容及实施情况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主要内容：有效预防和控制主要传染病及慢性病，保障城乡居民获得最基本、最有效的公共卫生服务，缩小城乡居民基本公共卫生服务差距。</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实施情况：全年能够按照上级的实施方案要求和计划进度开展项目工作，完成全县实施项目是居民健康档案（电子）管理、健康教育、预防接种（流动人口儿童社区管理）、儿童及孕产妇健康管理、老年人健康管理、高血压、2型糖尿病、重性精神疾病患者管理、传染病及突发公共卫生事件报告和处理、卫生监督协管、中医健康管理及活动性肺结核病人规范化管理等。在规定的时限内完成年度工作任务，充分利用上级拨付的资金，目前已完成适龄儿童国家免疫规划疫苗接种率</w:t>
      </w:r>
      <w:r>
        <w:rPr>
          <w:rFonts w:hint="eastAsia" w:ascii="仿宋" w:hAnsi="仿宋" w:eastAsia="仿宋" w:cs="仿宋"/>
          <w:sz w:val="32"/>
          <w:szCs w:val="32"/>
          <w:lang w:val="en-US" w:eastAsia="zh-CN"/>
        </w:rPr>
        <w:t>99.59%,</w:t>
      </w:r>
      <w:r>
        <w:rPr>
          <w:rFonts w:hint="eastAsia" w:ascii="仿宋" w:hAnsi="仿宋" w:eastAsia="仿宋" w:cs="仿宋"/>
          <w:sz w:val="32"/>
          <w:szCs w:val="32"/>
        </w:rPr>
        <w:tab/>
      </w:r>
      <w:r>
        <w:rPr>
          <w:rFonts w:hint="eastAsia" w:ascii="仿宋" w:hAnsi="仿宋" w:eastAsia="仿宋" w:cs="仿宋"/>
          <w:sz w:val="32"/>
          <w:szCs w:val="32"/>
        </w:rPr>
        <w:t>7岁以下儿童健康管理率</w:t>
      </w:r>
      <w:r>
        <w:rPr>
          <w:rFonts w:hint="eastAsia" w:ascii="仿宋" w:hAnsi="仿宋" w:eastAsia="仿宋" w:cs="仿宋"/>
          <w:sz w:val="32"/>
          <w:szCs w:val="32"/>
          <w:lang w:val="en-US" w:eastAsia="zh-CN"/>
        </w:rPr>
        <w:t>95.55%,孕产妇系统管理率93.63%</w:t>
      </w:r>
      <w:r>
        <w:rPr>
          <w:rFonts w:hint="eastAsia" w:ascii="仿宋" w:hAnsi="仿宋" w:eastAsia="仿宋" w:cs="仿宋"/>
          <w:sz w:val="32"/>
          <w:szCs w:val="32"/>
          <w:lang w:eastAsia="zh-CN"/>
        </w:rPr>
        <w:t>。</w:t>
      </w:r>
    </w:p>
    <w:p>
      <w:pPr>
        <w:pageBreakBefore w:val="0"/>
        <w:numPr>
          <w:ilvl w:val="0"/>
          <w:numId w:val="0"/>
        </w:numPr>
        <w:kinsoku/>
        <w:wordWrap/>
        <w:overflowPunct/>
        <w:topLinePunct w:val="0"/>
        <w:autoSpaceDE/>
        <w:autoSpaceDN/>
        <w:bidi w:val="0"/>
        <w:spacing w:line="560" w:lineRule="exact"/>
        <w:ind w:firstLine="643" w:firstLineChars="200"/>
        <w:textAlignment w:val="auto"/>
        <w:rPr>
          <w:rFonts w:hint="eastAsia" w:eastAsia="仿宋_GB2312" w:cs="宋体" w:asciiTheme="minorHAnsi" w:hAnsiTheme="minorHAnsi"/>
          <w:b/>
          <w:bCs/>
          <w:color w:val="333333"/>
          <w:sz w:val="32"/>
          <w:szCs w:val="32"/>
          <w:lang w:val="en-US" w:eastAsia="zh-CN"/>
        </w:rPr>
      </w:pPr>
      <w:r>
        <w:rPr>
          <w:rFonts w:hint="eastAsia" w:eastAsia="仿宋_GB2312" w:cs="宋体" w:asciiTheme="minorHAnsi" w:hAnsiTheme="minorHAnsi"/>
          <w:b/>
          <w:bCs/>
          <w:color w:val="333333"/>
          <w:sz w:val="32"/>
          <w:szCs w:val="32"/>
          <w:lang w:val="en-US" w:eastAsia="zh-CN"/>
        </w:rPr>
        <w:t>3、资金投入和使用情况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r>
        <w:rPr>
          <w:rFonts w:hint="eastAsia" w:ascii="仿宋" w:hAnsi="仿宋" w:eastAsia="仿宋" w:cs="仿宋"/>
          <w:sz w:val="32"/>
          <w:szCs w:val="32"/>
        </w:rPr>
        <w:t>资金投入情况：该项目年初预算数</w:t>
      </w:r>
      <w:r>
        <w:rPr>
          <w:rFonts w:hint="eastAsia" w:ascii="仿宋" w:hAnsi="仿宋" w:eastAsia="仿宋" w:cs="仿宋"/>
          <w:sz w:val="32"/>
          <w:szCs w:val="32"/>
          <w:lang w:val="en-US" w:eastAsia="zh-CN"/>
        </w:rPr>
        <w:t>0</w:t>
      </w:r>
      <w:r>
        <w:rPr>
          <w:rFonts w:hint="eastAsia" w:ascii="仿宋" w:hAnsi="仿宋" w:eastAsia="仿宋" w:cs="仿宋"/>
          <w:sz w:val="32"/>
          <w:szCs w:val="32"/>
        </w:rPr>
        <w:t>万元，全年预算数</w:t>
      </w:r>
      <w:r>
        <w:rPr>
          <w:rFonts w:hint="eastAsia" w:ascii="仿宋" w:hAnsi="仿宋" w:eastAsia="仿宋" w:cs="仿宋"/>
          <w:sz w:val="32"/>
          <w:szCs w:val="32"/>
          <w:lang w:val="en-US" w:eastAsia="zh-CN"/>
        </w:rPr>
        <w:t>710.76</w:t>
      </w:r>
      <w:r>
        <w:rPr>
          <w:rFonts w:hint="eastAsia" w:ascii="仿宋" w:hAnsi="仿宋" w:eastAsia="仿宋" w:cs="仿宋"/>
          <w:sz w:val="32"/>
          <w:szCs w:val="32"/>
        </w:rPr>
        <w:t>万元，实际总投入</w:t>
      </w:r>
      <w:r>
        <w:rPr>
          <w:rFonts w:hint="eastAsia" w:ascii="仿宋" w:hAnsi="仿宋" w:eastAsia="仿宋" w:cs="仿宋"/>
          <w:sz w:val="32"/>
          <w:szCs w:val="32"/>
          <w:lang w:val="en-US" w:eastAsia="zh-CN"/>
        </w:rPr>
        <w:t>710.76</w:t>
      </w:r>
      <w:r>
        <w:rPr>
          <w:rFonts w:hint="eastAsia" w:ascii="仿宋" w:hAnsi="仿宋" w:eastAsia="仿宋" w:cs="仿宋"/>
          <w:sz w:val="32"/>
          <w:szCs w:val="32"/>
        </w:rPr>
        <w:t>万元，该项目资金已全部落实到位，资金来源为</w:t>
      </w:r>
      <w:r>
        <w:rPr>
          <w:rFonts w:hint="eastAsia" w:ascii="仿宋" w:hAnsi="仿宋" w:eastAsia="仿宋" w:cs="仿宋"/>
          <w:sz w:val="32"/>
          <w:szCs w:val="32"/>
          <w:lang w:eastAsia="zh-CN"/>
        </w:rPr>
        <w:t>中央转移支付资金</w:t>
      </w:r>
      <w:r>
        <w:rPr>
          <w:rFonts w:hint="eastAsia" w:ascii="仿宋" w:hAnsi="仿宋" w:eastAsia="仿宋" w:cs="仿宋"/>
          <w:sz w:val="32"/>
          <w:szCs w:val="32"/>
        </w:rPr>
        <w:t xml:space="preserve"> 。</w:t>
      </w:r>
    </w:p>
    <w:p>
      <w:pPr>
        <w:pStyle w:val="7"/>
        <w:pageBreakBefore w:val="0"/>
        <w:tabs>
          <w:tab w:val="left" w:pos="6372"/>
        </w:tabs>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）资金使用情况：</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年下达</w:t>
      </w:r>
      <w:r>
        <w:rPr>
          <w:rFonts w:hint="eastAsia" w:ascii="仿宋" w:hAnsi="仿宋" w:eastAsia="仿宋"/>
          <w:b w:val="0"/>
          <w:bCs w:val="0"/>
          <w:sz w:val="32"/>
          <w:szCs w:val="32"/>
          <w:lang w:eastAsia="zh-CN"/>
        </w:rPr>
        <w:t>基本公共卫生</w:t>
      </w:r>
      <w:r>
        <w:rPr>
          <w:rFonts w:hint="eastAsia" w:ascii="仿宋" w:hAnsi="仿宋" w:eastAsia="仿宋"/>
          <w:sz w:val="32"/>
          <w:szCs w:val="32"/>
        </w:rPr>
        <w:t>项目经费</w:t>
      </w:r>
      <w:r>
        <w:rPr>
          <w:rFonts w:hint="eastAsia" w:ascii="仿宋" w:hAnsi="仿宋" w:eastAsia="仿宋"/>
          <w:b w:val="0"/>
          <w:bCs w:val="0"/>
          <w:sz w:val="32"/>
          <w:szCs w:val="32"/>
          <w:lang w:val="en-US" w:eastAsia="zh-CN"/>
        </w:rPr>
        <w:t>710.76</w:t>
      </w:r>
      <w:r>
        <w:rPr>
          <w:rFonts w:hint="eastAsia" w:ascii="仿宋" w:hAnsi="仿宋" w:eastAsia="仿宋"/>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color w:val="auto"/>
          <w:sz w:val="32"/>
          <w:szCs w:val="32"/>
        </w:rPr>
        <w:t>该项目年初预算数</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万元，全年预算数</w:t>
      </w:r>
      <w:r>
        <w:rPr>
          <w:rFonts w:hint="eastAsia" w:ascii="仿宋_GB2312" w:hAnsi="仿宋_GB2312" w:eastAsia="仿宋_GB2312" w:cs="仿宋_GB2312"/>
          <w:color w:val="auto"/>
          <w:sz w:val="32"/>
          <w:szCs w:val="32"/>
          <w:lang w:val="en-US" w:eastAsia="zh-CN"/>
        </w:rPr>
        <w:t>710.76</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710.76</w:t>
      </w:r>
      <w:r>
        <w:rPr>
          <w:rFonts w:hint="eastAsia" w:ascii="仿宋_GB2312" w:hAnsi="仿宋_GB2312" w:eastAsia="仿宋_GB2312" w:cs="仿宋_GB2312"/>
          <w:color w:val="auto"/>
          <w:sz w:val="32"/>
          <w:szCs w:val="32"/>
        </w:rPr>
        <w:t>万元，预算执行率为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%，用于：</w:t>
      </w:r>
      <w:r>
        <w:rPr>
          <w:rFonts w:hint="eastAsia" w:ascii="仿宋_GB2312" w:hAnsi="仿宋_GB2312" w:eastAsia="仿宋_GB2312" w:cs="仿宋_GB2312"/>
          <w:color w:val="auto"/>
          <w:sz w:val="32"/>
          <w:szCs w:val="32"/>
          <w:lang w:eastAsia="zh-CN"/>
        </w:rPr>
        <w:t>基本公</w:t>
      </w:r>
      <w:r>
        <w:rPr>
          <w:rFonts w:hint="eastAsia" w:ascii="仿宋_GB2312" w:hAnsi="仿宋_GB2312" w:eastAsia="仿宋_GB2312" w:cs="仿宋_GB2312"/>
          <w:color w:val="auto"/>
          <w:sz w:val="32"/>
          <w:szCs w:val="32"/>
        </w:rPr>
        <w:t>共卫生补助资金执行金额</w:t>
      </w:r>
      <w:r>
        <w:rPr>
          <w:rFonts w:hint="eastAsia" w:ascii="仿宋_GB2312" w:hAnsi="仿宋_GB2312" w:eastAsia="仿宋_GB2312" w:cs="仿宋_GB2312"/>
          <w:color w:val="auto"/>
          <w:sz w:val="32"/>
          <w:szCs w:val="32"/>
          <w:lang w:val="en-US" w:eastAsia="zh-CN"/>
        </w:rPr>
        <w:t>710.76</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pageBreakBefore w:val="0"/>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项目绩效目标。包括总体目标和阶段性目标。</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总体目标：</w:t>
      </w:r>
      <w:r>
        <w:rPr>
          <w:rFonts w:hint="eastAsia" w:ascii="仿宋" w:hAnsi="仿宋" w:eastAsia="仿宋" w:cs="仿宋"/>
          <w:sz w:val="32"/>
          <w:szCs w:val="32"/>
        </w:rPr>
        <w:t>一是通过基本公共卫生服务项目的实施促进了我县居民健康保健意识的提高及树立老百姓自我健康管理的理念；二是对重点人群的管理起到了一定的管理，使患者感受到基本公共卫生服务项目带来的好处；三是提高了公共卫生服务和突发公共卫生事件应急处置能力，建立起维护居民健康的第一道屏障，对于提高居民健康素质起到了促进作用。</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阶段性目标：</w:t>
      </w:r>
      <w:r>
        <w:rPr>
          <w:rFonts w:hint="eastAsia" w:ascii="仿宋" w:hAnsi="仿宋" w:eastAsia="仿宋" w:cs="仿宋"/>
          <w:sz w:val="32"/>
          <w:szCs w:val="32"/>
          <w:lang w:eastAsia="zh-CN"/>
        </w:rPr>
        <w:t>第一季度县卫健委按照按照按</w:t>
      </w:r>
      <w:r>
        <w:rPr>
          <w:rFonts w:hint="eastAsia" w:ascii="仿宋_GB2312" w:hAnsi="仿宋_GB2312" w:eastAsia="仿宋_GB2312" w:cs="仿宋_GB2312"/>
          <w:kern w:val="0"/>
          <w:sz w:val="32"/>
          <w:szCs w:val="32"/>
        </w:rPr>
        <w:t>《国家基本公共卫生服务规范（2017版）》要求</w:t>
      </w:r>
      <w:r>
        <w:rPr>
          <w:rFonts w:hint="eastAsia" w:ascii="仿宋_GB2312" w:hAnsi="仿宋_GB2312" w:eastAsia="仿宋_GB2312" w:cs="仿宋_GB2312"/>
          <w:kern w:val="0"/>
          <w:sz w:val="32"/>
          <w:szCs w:val="32"/>
          <w:lang w:val="en-US" w:eastAsia="zh-CN"/>
        </w:rPr>
        <w:t>,将各项工作下发至</w:t>
      </w:r>
      <w:r>
        <w:rPr>
          <w:rFonts w:hint="eastAsia" w:ascii="仿宋" w:hAnsi="仿宋" w:eastAsia="仿宋" w:cs="仿宋"/>
          <w:sz w:val="32"/>
          <w:szCs w:val="32"/>
          <w:lang w:eastAsia="zh-CN"/>
        </w:rPr>
        <w:t>各医疗机构</w:t>
      </w:r>
      <w:r>
        <w:rPr>
          <w:rFonts w:hint="eastAsia" w:ascii="仿宋" w:hAnsi="仿宋" w:eastAsia="仿宋" w:cs="仿宋"/>
          <w:sz w:val="32"/>
          <w:szCs w:val="32"/>
          <w:lang w:val="en-US" w:eastAsia="zh-CN"/>
        </w:rPr>
        <w:t>,并签订目标责任书。第二季度至第四季度各医疗机构按下发工作任务做好</w:t>
      </w:r>
      <w:r>
        <w:rPr>
          <w:rFonts w:hint="eastAsia" w:ascii="仿宋" w:hAnsi="仿宋" w:eastAsia="仿宋" w:cs="仿宋"/>
          <w:sz w:val="32"/>
          <w:szCs w:val="32"/>
        </w:rPr>
        <w:t>居民健康档案（电子管理、健康教育、预防接种（流动人口儿童社区管理</w:t>
      </w:r>
      <w:r>
        <w:rPr>
          <w:rFonts w:hint="eastAsia" w:ascii="仿宋" w:hAnsi="仿宋" w:eastAsia="仿宋" w:cs="仿宋"/>
          <w:sz w:val="32"/>
          <w:szCs w:val="32"/>
          <w:lang w:eastAsia="zh-CN"/>
        </w:rPr>
        <w:t>收</w:t>
      </w:r>
      <w:r>
        <w:rPr>
          <w:rFonts w:hint="eastAsia" w:ascii="仿宋" w:hAnsi="仿宋" w:eastAsia="仿宋" w:cs="仿宋"/>
          <w:sz w:val="32"/>
          <w:szCs w:val="32"/>
        </w:rPr>
        <w:t>）、儿童及孕产妇健康管理、老年人健康管理、高血压、2</w:t>
      </w:r>
      <w:r>
        <w:rPr>
          <w:rFonts w:hint="eastAsia" w:ascii="仿宋" w:hAnsi="仿宋" w:eastAsia="仿宋" w:cs="仿宋"/>
          <w:sz w:val="32"/>
          <w:szCs w:val="32"/>
          <w:lang w:eastAsia="zh-CN"/>
        </w:rPr>
        <w:t>以</w:t>
      </w:r>
      <w:r>
        <w:rPr>
          <w:rFonts w:hint="eastAsia" w:ascii="仿宋" w:hAnsi="仿宋" w:eastAsia="仿宋" w:cs="仿宋"/>
          <w:sz w:val="32"/>
          <w:szCs w:val="32"/>
        </w:rPr>
        <w:t>型糖尿病、重性精神疾病患者管理、传染病及突发公共卫生事件报告和处理、卫生监督协管、中医健康管理及活动性肺结核病人规范化管理等</w:t>
      </w:r>
      <w:r>
        <w:rPr>
          <w:rFonts w:hint="eastAsia" w:ascii="仿宋" w:hAnsi="仿宋" w:eastAsia="仿宋" w:cs="仿宋"/>
          <w:sz w:val="32"/>
          <w:szCs w:val="32"/>
          <w:lang w:eastAsia="zh-CN"/>
        </w:rPr>
        <w:t>基本公共</w:t>
      </w:r>
      <w:r>
        <w:rPr>
          <w:rFonts w:hint="eastAsia" w:ascii="仿宋" w:hAnsi="仿宋" w:eastAsia="仿宋" w:cs="仿宋"/>
          <w:sz w:val="32"/>
          <w:szCs w:val="32"/>
          <w:lang w:val="en-US" w:eastAsia="zh-CN"/>
        </w:rPr>
        <w:t>基本公共卫生服务项目工作及相关信息录入工作,年终,县卫健委及医共体总院对各医疗机构基本公共卫生服务项目工作按目标责任书进行考核。</w:t>
      </w:r>
    </w:p>
    <w:p>
      <w:pPr>
        <w:pageBreakBefore w:val="0"/>
        <w:numPr>
          <w:ilvl w:val="0"/>
          <w:numId w:val="0"/>
        </w:numPr>
        <w:kinsoku/>
        <w:wordWrap/>
        <w:overflowPunct/>
        <w:topLinePunct w:val="0"/>
        <w:autoSpaceDE/>
        <w:autoSpaceDN/>
        <w:bidi w:val="0"/>
        <w:spacing w:line="560" w:lineRule="exact"/>
        <w:ind w:firstLine="640" w:firstLineChars="200"/>
        <w:contextualSpacing/>
        <w:textAlignment w:val="auto"/>
        <w:rPr>
          <w:rFonts w:hint="eastAsia" w:ascii="方正黑体_GBK" w:hAnsi="黑体" w:eastAsia="方正黑体_GBK"/>
          <w:sz w:val="32"/>
          <w:szCs w:val="32"/>
        </w:rPr>
      </w:pPr>
      <w:r>
        <w:rPr>
          <w:rFonts w:hint="eastAsia" w:ascii="方正黑体_GBK" w:hAnsi="黑体" w:eastAsia="方正黑体_GBK"/>
          <w:sz w:val="32"/>
          <w:szCs w:val="32"/>
        </w:rPr>
        <w:t>二、绩效评价工</w:t>
      </w:r>
      <w:r>
        <w:rPr>
          <w:rFonts w:hint="eastAsia" w:ascii="方正黑体_GBK" w:hAnsi="黑体" w:eastAsia="方正黑体_GBK"/>
          <w:sz w:val="32"/>
          <w:szCs w:val="32"/>
          <w:lang w:eastAsia="zh-CN"/>
        </w:rPr>
        <w:t>安</w:t>
      </w:r>
      <w:r>
        <w:rPr>
          <w:rFonts w:hint="eastAsia" w:ascii="方正黑体_GBK" w:hAnsi="黑体" w:eastAsia="方正黑体_GBK"/>
          <w:sz w:val="32"/>
          <w:szCs w:val="32"/>
        </w:rPr>
        <w:t>作开展情况</w:t>
      </w:r>
    </w:p>
    <w:p>
      <w:pPr>
        <w:pageBreakBefore w:val="0"/>
        <w:kinsoku/>
        <w:wordWrap/>
        <w:overflowPunct/>
        <w:topLinePunct w:val="0"/>
        <w:autoSpaceDE/>
        <w:autoSpaceDN/>
        <w:bidi w:val="0"/>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1、绩效评价目的：</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绩效评价，客观地评判项目的管理绩效，了解和掌握重大公共卫生经费的具体情况，评价该项目资金安排的科学性、合理性、规范性和资金的使用成效，及时总结项目管理经验，完善项目管理办法，提高项目管理水平和资金使用效益。促使我委根据绩效评价中发现的问题，认真加以整改，及时调整和完善单位的工作计划和绩效目标并加强项目管理，提高管理水平，同时为项目后续资金投入、分配和管理提供决策依据。</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2、绩效评价对象：</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基本公共卫生项目</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次评价从项目决策（包括绩效目标、决策过程）、项目管理（包括项目资金、项目实施）、项目产出（包括项目产出数量、产出质量、产出时效和产出成本）项目效益四个维度进行基本公共卫生项目评价，评价核心为专项资金的支出完成情况和效果。</w:t>
      </w:r>
      <w:bookmarkStart w:id="0" w:name="_Toc68703832"/>
    </w:p>
    <w:p>
      <w:pPr>
        <w:pageBreakBefore w:val="0"/>
        <w:kinsoku/>
        <w:wordWrap/>
        <w:overflowPunct/>
        <w:topLinePunct w:val="0"/>
        <w:autoSpaceDE/>
        <w:autoSpaceDN/>
        <w:bidi w:val="0"/>
        <w:spacing w:line="560" w:lineRule="exact"/>
        <w:ind w:firstLine="640" w:firstLineChars="200"/>
        <w:contextualSpacing/>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（二）绩效评价原则、评价指标体系、评价方法、评价标准等。</w:t>
      </w:r>
      <w:bookmarkEnd w:id="0"/>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1、绩效评价原则</w:t>
      </w:r>
    </w:p>
    <w:p>
      <w:pPr>
        <w:pageBreakBefore w:val="0"/>
        <w:kinsoku/>
        <w:wordWrap/>
        <w:overflowPunct/>
        <w:topLinePunct w:val="0"/>
        <w:autoSpaceDE/>
        <w:autoSpaceDN/>
        <w:bidi w:val="0"/>
        <w:spacing w:line="560" w:lineRule="exact"/>
        <w:ind w:firstLine="643" w:firstLineChars="200"/>
        <w:jc w:val="left"/>
        <w:textAlignment w:val="auto"/>
        <w:rPr>
          <w:rFonts w:ascii="仿宋" w:hAnsi="仿宋" w:eastAsia="仿宋" w:cs="仿宋"/>
          <w:sz w:val="32"/>
          <w:szCs w:val="32"/>
        </w:rPr>
      </w:pPr>
      <w:r>
        <w:rPr>
          <w:rFonts w:hint="eastAsia" w:ascii="仿宋" w:hAnsi="仿宋" w:eastAsia="仿宋" w:cs="仿宋"/>
          <w:b/>
          <w:bCs/>
          <w:sz w:val="32"/>
          <w:szCs w:val="32"/>
        </w:rPr>
        <w:t>（1）科学公正。</w:t>
      </w:r>
      <w:r>
        <w:rPr>
          <w:rFonts w:hint="eastAsia" w:ascii="仿宋" w:hAnsi="仿宋" w:eastAsia="仿宋" w:cs="仿宋"/>
          <w:sz w:val="32"/>
          <w:szCs w:val="32"/>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基本公共项目实施情况评价，</w:t>
      </w:r>
      <w:r>
        <w:rPr>
          <w:rFonts w:hint="eastAsia" w:ascii="仿宋" w:hAnsi="仿宋" w:eastAsia="仿宋" w:cs="仿宋"/>
          <w:sz w:val="32"/>
          <w:szCs w:val="32"/>
        </w:rPr>
        <w:t>确保评价过程及结果客观、公正。</w:t>
      </w:r>
    </w:p>
    <w:p>
      <w:pPr>
        <w:pageBreakBefore w:val="0"/>
        <w:kinsoku/>
        <w:wordWrap/>
        <w:overflowPunct/>
        <w:topLinePunct w:val="0"/>
        <w:autoSpaceDE/>
        <w:autoSpaceDN/>
        <w:bidi w:val="0"/>
        <w:spacing w:line="560" w:lineRule="exact"/>
        <w:ind w:firstLine="643" w:firstLineChars="200"/>
        <w:jc w:val="left"/>
        <w:textAlignment w:val="auto"/>
        <w:rPr>
          <w:rFonts w:ascii="仿宋" w:hAnsi="仿宋" w:eastAsia="仿宋" w:cs="仿宋"/>
          <w:sz w:val="32"/>
          <w:szCs w:val="32"/>
        </w:rPr>
      </w:pPr>
      <w:r>
        <w:rPr>
          <w:rFonts w:hint="eastAsia" w:ascii="仿宋" w:hAnsi="仿宋" w:eastAsia="仿宋" w:cs="仿宋"/>
          <w:b/>
          <w:bCs/>
          <w:sz w:val="32"/>
          <w:szCs w:val="32"/>
        </w:rPr>
        <w:t>（2）统筹兼顾。</w:t>
      </w:r>
      <w:r>
        <w:rPr>
          <w:rFonts w:hint="eastAsia" w:ascii="仿宋" w:hAnsi="仿宋" w:eastAsia="仿宋" w:cs="仿宋"/>
          <w:sz w:val="32"/>
          <w:szCs w:val="32"/>
          <w:lang w:val="en-US" w:eastAsia="zh-CN"/>
        </w:rPr>
        <w:t>我单位组织评价小组，对基本公共项目实施情况评价，部门评价和财政评价在单位自评的基础上开展，职责明确，各有侧重，相互衔接</w:t>
      </w:r>
      <w:r>
        <w:rPr>
          <w:rFonts w:hint="eastAsia" w:ascii="仿宋" w:hAnsi="仿宋" w:eastAsia="仿宋" w:cs="仿宋"/>
          <w:sz w:val="32"/>
          <w:szCs w:val="32"/>
        </w:rPr>
        <w:t>。</w:t>
      </w:r>
    </w:p>
    <w:p>
      <w:pPr>
        <w:pageBreakBefore w:val="0"/>
        <w:kinsoku/>
        <w:wordWrap/>
        <w:overflowPunct/>
        <w:topLinePunct w:val="0"/>
        <w:autoSpaceDE/>
        <w:autoSpaceDN/>
        <w:bidi w:val="0"/>
        <w:spacing w:line="560" w:lineRule="exact"/>
        <w:ind w:firstLine="643" w:firstLineChars="200"/>
        <w:jc w:val="left"/>
        <w:textAlignment w:val="auto"/>
        <w:rPr>
          <w:rFonts w:ascii="仿宋" w:hAnsi="仿宋" w:eastAsia="仿宋" w:cs="仿宋"/>
          <w:sz w:val="32"/>
          <w:szCs w:val="32"/>
        </w:rPr>
      </w:pPr>
      <w:r>
        <w:rPr>
          <w:rFonts w:hint="eastAsia" w:ascii="仿宋" w:hAnsi="仿宋" w:eastAsia="仿宋" w:cs="仿宋"/>
          <w:b/>
          <w:bCs/>
          <w:sz w:val="32"/>
          <w:szCs w:val="32"/>
        </w:rPr>
        <w:t>（3）激励约束。</w:t>
      </w:r>
      <w:r>
        <w:rPr>
          <w:rFonts w:hint="eastAsia" w:ascii="仿宋" w:hAnsi="仿宋" w:eastAsia="仿宋" w:cs="仿宋"/>
          <w:sz w:val="32"/>
          <w:szCs w:val="32"/>
        </w:rPr>
        <w:t>绩效评价结果应与资金分配挂钩，建立健全评价结果与与财政预算资金分配挂钩，并作为改进管理、完善政策的重要依据，向上一年度绩效评价考核优秀的部门倾斜。</w:t>
      </w:r>
    </w:p>
    <w:p>
      <w:pPr>
        <w:pageBreakBefore w:val="0"/>
        <w:kinsoku/>
        <w:wordWrap/>
        <w:overflowPunct/>
        <w:topLinePunct w:val="0"/>
        <w:autoSpaceDE/>
        <w:autoSpaceDN/>
        <w:bidi w:val="0"/>
        <w:spacing w:line="560" w:lineRule="exact"/>
        <w:ind w:firstLine="643" w:firstLineChars="200"/>
        <w:jc w:val="left"/>
        <w:textAlignment w:val="auto"/>
        <w:rPr>
          <w:rFonts w:ascii="仿宋" w:hAnsi="仿宋" w:eastAsia="仿宋" w:cs="仿宋"/>
          <w:sz w:val="32"/>
          <w:szCs w:val="32"/>
        </w:rPr>
      </w:pPr>
      <w:r>
        <w:rPr>
          <w:rFonts w:hint="eastAsia" w:ascii="仿宋" w:hAnsi="仿宋" w:eastAsia="仿宋" w:cs="仿宋"/>
          <w:b/>
          <w:bCs/>
          <w:sz w:val="32"/>
          <w:szCs w:val="32"/>
        </w:rPr>
        <w:t>（4）公开透明。</w:t>
      </w:r>
      <w:r>
        <w:rPr>
          <w:rFonts w:hint="eastAsia" w:ascii="仿宋" w:hAnsi="仿宋" w:eastAsia="仿宋" w:cs="仿宋"/>
          <w:sz w:val="32"/>
          <w:szCs w:val="32"/>
        </w:rPr>
        <w:t>我单位绩效评价结束以后，将根据《政府信息公开条例》规定，自评结果拟在焉耆县政府政务信息公开网站进行公开，广泛接受人民群众监督，接受社会各界监督，让公众全面了解政府绩效评价过程和评价结果。</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2、绩效评价指标体系</w:t>
      </w:r>
    </w:p>
    <w:p>
      <w:pPr>
        <w:pageBreakBefore w:val="0"/>
        <w:numPr>
          <w:ilvl w:val="0"/>
          <w:numId w:val="0"/>
        </w:numPr>
        <w:kinsoku/>
        <w:wordWrap/>
        <w:overflowPunct/>
        <w:topLinePunct w:val="0"/>
        <w:autoSpaceDE/>
        <w:autoSpaceDN/>
        <w:bidi w:val="0"/>
        <w:spacing w:line="560" w:lineRule="exact"/>
        <w:ind w:firstLine="640" w:firstLineChars="200"/>
        <w:jc w:val="left"/>
        <w:textAlignment w:val="auto"/>
        <w:rPr>
          <w:rFonts w:hint="eastAsia" w:ascii="仿宋_GB2312" w:hAnsi="仿宋" w:eastAsia="仿宋_GB2312" w:cs="宋体"/>
          <w:color w:val="333333"/>
          <w:sz w:val="32"/>
          <w:szCs w:val="32"/>
        </w:rPr>
      </w:pPr>
      <w:r>
        <w:rPr>
          <w:rFonts w:hint="eastAsia" w:ascii="仿宋_GB2312" w:hAnsi="仿宋" w:eastAsia="仿宋_GB2312" w:cs="宋体"/>
          <w:color w:val="333333"/>
          <w:sz w:val="32"/>
          <w:szCs w:val="32"/>
        </w:rPr>
        <w:t>本次绩效评价指标体系主要分为共性指标和个性指标两大类。共性指标下设决策与过程</w:t>
      </w:r>
      <w:r>
        <w:rPr>
          <w:rFonts w:hint="eastAsia" w:ascii="仿宋_GB2312" w:hAnsi="仿宋" w:eastAsia="仿宋_GB2312" w:cs="宋体"/>
          <w:color w:val="333333"/>
          <w:sz w:val="32"/>
          <w:szCs w:val="32"/>
          <w:lang w:val="en-US" w:eastAsia="zh-CN"/>
        </w:rPr>
        <w:t>2</w:t>
      </w:r>
      <w:r>
        <w:rPr>
          <w:rFonts w:hint="eastAsia" w:ascii="仿宋_GB2312" w:hAnsi="仿宋" w:eastAsia="仿宋_GB2312" w:cs="宋体"/>
          <w:color w:val="333333"/>
          <w:sz w:val="32"/>
          <w:szCs w:val="32"/>
        </w:rPr>
        <w:t>个一级指标，其中：项目决策下项目立项、绩效目标、资金投入</w:t>
      </w:r>
      <w:r>
        <w:rPr>
          <w:rFonts w:hint="eastAsia" w:ascii="仿宋_GB2312" w:hAnsi="仿宋" w:eastAsia="仿宋_GB2312" w:cs="宋体"/>
          <w:color w:val="333333"/>
          <w:sz w:val="32"/>
          <w:szCs w:val="32"/>
          <w:lang w:val="en-US" w:eastAsia="zh-CN"/>
        </w:rPr>
        <w:t>3</w:t>
      </w:r>
      <w:r>
        <w:rPr>
          <w:rFonts w:hint="eastAsia" w:ascii="仿宋_GB2312" w:hAnsi="仿宋" w:eastAsia="仿宋_GB2312" w:cs="宋体"/>
          <w:color w:val="333333"/>
          <w:sz w:val="32"/>
          <w:szCs w:val="32"/>
        </w:rPr>
        <w:t>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keepNext/>
        <w:keepLines/>
        <w:pageBreakBefore w:val="0"/>
        <w:widowControl w:val="0"/>
        <w:tabs>
          <w:tab w:val="left" w:pos="1630"/>
          <w:tab w:val="center" w:pos="4482"/>
        </w:tabs>
        <w:kinsoku/>
        <w:wordWrap/>
        <w:overflowPunct/>
        <w:topLinePunct w:val="0"/>
        <w:autoSpaceDE/>
        <w:autoSpaceDN/>
        <w:bidi w:val="0"/>
        <w:adjustRightInd/>
        <w:snapToGrid/>
        <w:spacing w:line="560" w:lineRule="exact"/>
        <w:ind w:firstLine="640" w:firstLineChars="200"/>
        <w:jc w:val="left"/>
        <w:textAlignment w:val="auto"/>
        <w:outlineLvl w:val="1"/>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ab/>
      </w:r>
      <w:r>
        <w:rPr>
          <w:rFonts w:hint="eastAsia" w:ascii="仿宋" w:hAnsi="仿宋" w:eastAsia="仿宋" w:cs="仿宋"/>
          <w:b w:val="0"/>
          <w:bCs w:val="0"/>
          <w:kern w:val="2"/>
          <w:sz w:val="32"/>
          <w:szCs w:val="32"/>
          <w:lang w:val="en-US" w:eastAsia="zh-CN" w:bidi="ar-SA"/>
        </w:rPr>
        <w:t>基本公共卫生项目支出绩效评价指标体系</w:t>
      </w:r>
    </w:p>
    <w:tbl>
      <w:tblPr>
        <w:tblStyle w:val="13"/>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757"/>
        <w:gridCol w:w="1118"/>
        <w:gridCol w:w="1841"/>
        <w:gridCol w:w="4923"/>
        <w:gridCol w:w="559"/>
        <w:gridCol w:w="66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757" w:type="dxa"/>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b/>
                <w:bCs/>
                <w:color w:val="000000"/>
                <w:kern w:val="0"/>
                <w:sz w:val="22"/>
              </w:rPr>
            </w:pPr>
            <w:r>
              <w:rPr>
                <w:rFonts w:hint="eastAsia" w:ascii="仿宋" w:hAnsi="仿宋" w:eastAsia="仿宋" w:cs="仿宋"/>
                <w:b/>
                <w:bCs/>
                <w:color w:val="000000"/>
                <w:kern w:val="0"/>
                <w:sz w:val="22"/>
              </w:rPr>
              <w:t>一级指标</w:t>
            </w:r>
          </w:p>
        </w:tc>
        <w:tc>
          <w:tcPr>
            <w:tcW w:w="1118" w:type="dxa"/>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b/>
                <w:bCs/>
                <w:color w:val="000000"/>
                <w:kern w:val="0"/>
                <w:sz w:val="22"/>
              </w:rPr>
            </w:pPr>
            <w:r>
              <w:rPr>
                <w:rFonts w:hint="eastAsia" w:ascii="仿宋" w:hAnsi="仿宋" w:eastAsia="仿宋" w:cs="仿宋"/>
                <w:b/>
                <w:bCs/>
                <w:color w:val="000000"/>
                <w:kern w:val="0"/>
                <w:sz w:val="22"/>
              </w:rPr>
              <w:t>二级指标</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b/>
                <w:bCs/>
                <w:color w:val="000000"/>
                <w:kern w:val="0"/>
                <w:sz w:val="22"/>
              </w:rPr>
            </w:pPr>
            <w:r>
              <w:rPr>
                <w:rFonts w:hint="eastAsia" w:ascii="仿宋" w:hAnsi="仿宋" w:eastAsia="仿宋" w:cs="仿宋"/>
                <w:b/>
                <w:bCs/>
                <w:color w:val="000000"/>
                <w:kern w:val="0"/>
                <w:sz w:val="22"/>
              </w:rPr>
              <w:t>三级指标</w:t>
            </w:r>
          </w:p>
        </w:tc>
        <w:tc>
          <w:tcPr>
            <w:tcW w:w="4923" w:type="dxa"/>
            <w:tcBorders>
              <w:right w:val="single" w:color="auto" w:sz="4" w:space="0"/>
            </w:tcBorders>
            <w:shd w:val="clear" w:color="auto" w:fill="auto"/>
          </w:tcPr>
          <w:p>
            <w:pPr>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b/>
                <w:bCs/>
                <w:color w:val="000000"/>
                <w:kern w:val="0"/>
                <w:sz w:val="22"/>
              </w:rPr>
            </w:pPr>
            <w:r>
              <w:rPr>
                <w:rFonts w:hint="eastAsia" w:ascii="仿宋" w:hAnsi="仿宋" w:eastAsia="仿宋" w:cs="仿宋"/>
                <w:b/>
                <w:bCs/>
                <w:color w:val="000000"/>
                <w:kern w:val="0"/>
                <w:sz w:val="22"/>
              </w:rPr>
              <w:t>指标解释</w:t>
            </w:r>
          </w:p>
        </w:tc>
        <w:tc>
          <w:tcPr>
            <w:tcW w:w="559" w:type="dxa"/>
            <w:tcBorders>
              <w:left w:val="single" w:color="auto" w:sz="4" w:space="0"/>
            </w:tcBorders>
            <w:shd w:val="clear" w:color="auto" w:fill="auto"/>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b/>
                <w:bCs/>
                <w:color w:val="000000"/>
                <w:kern w:val="0"/>
                <w:sz w:val="22"/>
              </w:rPr>
            </w:pPr>
            <w:r>
              <w:rPr>
                <w:rFonts w:hint="eastAsia" w:ascii="仿宋" w:hAnsi="仿宋" w:eastAsia="仿宋" w:cs="仿宋"/>
                <w:b/>
                <w:bCs/>
                <w:color w:val="000000"/>
                <w:kern w:val="0"/>
                <w:sz w:val="22"/>
              </w:rPr>
              <w:t>分值</w:t>
            </w:r>
          </w:p>
        </w:tc>
        <w:tc>
          <w:tcPr>
            <w:tcW w:w="661" w:type="dxa"/>
            <w:shd w:val="clear" w:color="auto" w:fill="auto"/>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b/>
                <w:bCs/>
                <w:color w:val="000000"/>
                <w:kern w:val="0"/>
                <w:sz w:val="22"/>
              </w:rPr>
            </w:pPr>
            <w:r>
              <w:rPr>
                <w:rFonts w:hint="eastAsia" w:ascii="仿宋" w:hAnsi="仿宋" w:eastAsia="仿宋" w:cs="仿宋"/>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rPr>
            </w:pPr>
            <w:r>
              <w:rPr>
                <w:rFonts w:hint="eastAsia"/>
              </w:rPr>
              <w:t>决策</w:t>
            </w:r>
          </w:p>
          <w:p>
            <w:pPr>
              <w:pStyle w:val="5"/>
              <w:pageBreakBefore w:val="0"/>
              <w:kinsoku/>
              <w:wordWrap/>
              <w:overflowPunct/>
              <w:topLinePunct w:val="0"/>
              <w:autoSpaceDE/>
              <w:autoSpaceDN/>
              <w:bidi w:val="0"/>
              <w:adjustRightInd/>
              <w:snapToGrid/>
              <w:spacing w:before="0" w:after="0" w:line="320" w:lineRule="exact"/>
              <w:textAlignment w:val="auto"/>
              <w:rPr>
                <w:rFonts w:hint="default" w:eastAsia="仿宋"/>
                <w:lang w:val="en-US" w:eastAsia="zh-CN"/>
              </w:rPr>
            </w:pPr>
            <w:r>
              <w:rPr>
                <w:rFonts w:hint="eastAsia" w:ascii="仿宋" w:hAnsi="仿宋" w:eastAsia="仿宋" w:cs="仿宋"/>
                <w:b w:val="0"/>
                <w:bCs w:val="0"/>
                <w:color w:val="000000"/>
                <w:kern w:val="0"/>
                <w:sz w:val="22"/>
                <w:lang w:val="en-US" w:eastAsia="zh-CN"/>
              </w:rPr>
              <w:t>20分</w:t>
            </w:r>
          </w:p>
        </w:tc>
        <w:tc>
          <w:tcPr>
            <w:tcW w:w="1118"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项目立项　</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立项依据充分性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项目立项是否符合法律法规、相关政策、发展规划以及部门职责，用以</w:t>
            </w:r>
            <w:r>
              <w:rPr>
                <w:rFonts w:hint="eastAsia" w:ascii="仿宋" w:hAnsi="仿宋" w:eastAsia="仿宋" w:cs="仿宋"/>
                <w:color w:val="000000"/>
                <w:kern w:val="0"/>
                <w:sz w:val="22"/>
                <w:lang w:val="en-US" w:eastAsia="zh-CN"/>
              </w:rPr>
              <w:t>反</w:t>
            </w:r>
            <w:r>
              <w:rPr>
                <w:rFonts w:hint="eastAsia" w:ascii="仿宋" w:hAnsi="仿宋" w:eastAsia="仿宋" w:cs="仿宋"/>
                <w:color w:val="000000"/>
                <w:kern w:val="0"/>
                <w:sz w:val="22"/>
              </w:rPr>
              <w:t>映和考核项目立项依据情况。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5</w:t>
            </w:r>
          </w:p>
        </w:tc>
        <w:tc>
          <w:tcPr>
            <w:tcW w:w="661" w:type="dxa"/>
            <w:tcBorders>
              <w:bottom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auto"/>
            <w:vAlign w:val="center"/>
          </w:tcPr>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立项程序规范性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项目申请、设立过程是否符合相关要求，用以反映和考核项目立项的规范情况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5</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auto"/>
            <w:vAlign w:val="center"/>
          </w:tcPr>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绩效目标</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绩效目标合理性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项目所设定的绩效目标是否依据充分，是否符合客观实际，用以反映和考核项目绩效目标与项目实施的相符情况。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2.5</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绩效指标明确性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依据绩效目标设定的绩效指标是否清晰、细化、可衡量等，用以反映和考核项目绩效目标的明细化情况。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2.5</w:t>
            </w:r>
          </w:p>
        </w:tc>
        <w:tc>
          <w:tcPr>
            <w:tcW w:w="661" w:type="dxa"/>
            <w:tcBorders>
              <w:bottom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auto"/>
            <w:vAlign w:val="center"/>
          </w:tcPr>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资金投入</w:t>
            </w:r>
          </w:p>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　</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预算编制</w:t>
            </w:r>
          </w:p>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科学性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项目预算编制是否经过科学论证、有明确标准，资金额度与年度目标是否相适应，用以反映和考核项目预算编制的科学性、合理性情况。</w:t>
            </w:r>
          </w:p>
        </w:tc>
        <w:tc>
          <w:tcPr>
            <w:tcW w:w="559" w:type="dxa"/>
            <w:tcBorders>
              <w:left w:val="single" w:color="auto" w:sz="4" w:space="0"/>
            </w:tcBorders>
            <w:shd w:val="clear" w:color="auto" w:fill="auto"/>
          </w:tcPr>
          <w:p>
            <w:pPr>
              <w:pageBreakBefore w:val="0"/>
              <w:tabs>
                <w:tab w:val="left" w:pos="517"/>
              </w:tabs>
              <w:kinsoku/>
              <w:wordWrap/>
              <w:overflowPunct/>
              <w:topLinePunct w:val="0"/>
              <w:autoSpaceDE/>
              <w:autoSpaceDN/>
              <w:bidi w:val="0"/>
              <w:adjustRightInd/>
              <w:snapToGrid/>
              <w:spacing w:line="320" w:lineRule="exact"/>
              <w:jc w:val="left"/>
              <w:textAlignment w:val="auto"/>
              <w:rPr>
                <w:rFonts w:hint="eastAsia" w:ascii="仿宋" w:hAnsi="仿宋" w:eastAsia="仿宋" w:cs="仿宋"/>
                <w:sz w:val="22"/>
                <w:szCs w:val="22"/>
              </w:rPr>
            </w:pPr>
            <w:r>
              <w:rPr>
                <w:rFonts w:hint="eastAsia" w:ascii="仿宋" w:hAnsi="仿宋" w:eastAsia="仿宋" w:cs="仿宋"/>
                <w:sz w:val="22"/>
                <w:szCs w:val="22"/>
              </w:rPr>
              <w:t>2.5</w:t>
            </w:r>
          </w:p>
        </w:tc>
        <w:tc>
          <w:tcPr>
            <w:tcW w:w="661" w:type="dxa"/>
            <w:tcBorders>
              <w:bottom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2</w:t>
            </w:r>
            <w:r>
              <w:rPr>
                <w:rFonts w:hint="eastAsia" w:ascii="仿宋" w:hAnsi="仿宋" w:eastAsia="仿宋" w:cs="仿宋"/>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资金分配合理性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项目预算资金分配是否有测算依据，与补助单位或地方实际是否相适应，用以反映和考核项目预算资金分配的科学性、合理性情况。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2.5</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auto"/>
            <w:vAlign w:val="center"/>
          </w:tcPr>
          <w:p>
            <w:pPr>
              <w:pageBreakBefore w:val="0"/>
              <w:kinsoku/>
              <w:wordWrap/>
              <w:overflowPunct/>
              <w:topLinePunct w:val="0"/>
              <w:autoSpaceDE/>
              <w:autoSpaceDN/>
              <w:bidi w:val="0"/>
              <w:adjustRightInd/>
              <w:snapToGrid/>
              <w:spacing w:line="320" w:lineRule="exact"/>
              <w:jc w:val="both"/>
              <w:textAlignment w:val="auto"/>
              <w:rPr>
                <w:rFonts w:hint="eastAsia"/>
              </w:rPr>
            </w:pPr>
            <w:r>
              <w:rPr>
                <w:rFonts w:hint="eastAsia"/>
              </w:rPr>
              <w:t>过程</w:t>
            </w:r>
          </w:p>
          <w:p>
            <w:pPr>
              <w:pStyle w:val="5"/>
              <w:pageBreakBefore w:val="0"/>
              <w:kinsoku/>
              <w:wordWrap/>
              <w:overflowPunct/>
              <w:topLinePunct w:val="0"/>
              <w:autoSpaceDE/>
              <w:autoSpaceDN/>
              <w:bidi w:val="0"/>
              <w:adjustRightInd/>
              <w:snapToGrid/>
              <w:spacing w:before="0" w:after="0" w:line="320" w:lineRule="exact"/>
              <w:textAlignment w:val="auto"/>
              <w:rPr>
                <w:rFonts w:hint="eastAsia"/>
              </w:rPr>
            </w:pPr>
            <w:r>
              <w:rPr>
                <w:rFonts w:hint="eastAsia" w:ascii="仿宋" w:hAnsi="仿宋" w:eastAsia="仿宋" w:cs="仿宋"/>
                <w:b w:val="0"/>
                <w:bCs w:val="0"/>
                <w:color w:val="000000"/>
                <w:kern w:val="0"/>
                <w:sz w:val="22"/>
                <w:lang w:val="en-US" w:eastAsia="zh-CN"/>
              </w:rPr>
              <w:t>20分</w:t>
            </w:r>
          </w:p>
        </w:tc>
        <w:tc>
          <w:tcPr>
            <w:tcW w:w="1118"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资金管理</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资金到位率</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实际到位资金与预算资金的比率，用以反映和考核资金落实情况对项目实施的总体保障程度。</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661" w:type="dxa"/>
            <w:tcBorders>
              <w:bottom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auto"/>
            <w:vAlign w:val="center"/>
          </w:tcPr>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continue"/>
            <w:shd w:val="clear" w:color="auto" w:fill="auto"/>
            <w:vAlign w:val="center"/>
          </w:tcPr>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预算执行率</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项目预算资金是否按照计划执行，用以反映或考核项目预算执行情况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661" w:type="dxa"/>
            <w:tcBorders>
              <w:bottom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auto"/>
            <w:vAlign w:val="center"/>
          </w:tcPr>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资金管理</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资金使用合规性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项目资金使用是否符合相关的财务管理制度规定，用以反映和考核项目资金的规范运行情况。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661" w:type="dxa"/>
            <w:tcBorders>
              <w:bottom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auto"/>
            <w:vAlign w:val="center"/>
          </w:tcPr>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组织实施</w:t>
            </w:r>
          </w:p>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　</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管理制度健全性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项目实施单位的财务和业务管理制度是否健全，用以反映和考核财务和业务管理制度对项目顺利实施的保障情况。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661" w:type="dxa"/>
            <w:tcBorders>
              <w:bottom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制度执行</w:t>
            </w:r>
          </w:p>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有效性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项目实施是否符合相关管理规定，用以反映和考核相关管理制度的有效执行情况。</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c>
          <w:tcPr>
            <w:tcW w:w="661" w:type="dxa"/>
            <w:tcBorders>
              <w:bottom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rPr>
            </w:pPr>
            <w:r>
              <w:rPr>
                <w:rFonts w:hint="eastAsia"/>
              </w:rPr>
              <w:t>产出</w:t>
            </w:r>
          </w:p>
          <w:p>
            <w:pPr>
              <w:pStyle w:val="5"/>
              <w:pageBreakBefore w:val="0"/>
              <w:kinsoku/>
              <w:wordWrap/>
              <w:overflowPunct/>
              <w:topLinePunct w:val="0"/>
              <w:autoSpaceDE/>
              <w:autoSpaceDN/>
              <w:bidi w:val="0"/>
              <w:adjustRightInd/>
              <w:snapToGrid/>
              <w:spacing w:before="0" w:after="0" w:line="320" w:lineRule="exact"/>
              <w:textAlignment w:val="auto"/>
              <w:rPr>
                <w:rFonts w:hint="eastAsia"/>
              </w:rPr>
            </w:pPr>
            <w:r>
              <w:rPr>
                <w:rFonts w:hint="eastAsia" w:ascii="仿宋" w:hAnsi="仿宋" w:eastAsia="仿宋" w:cs="仿宋"/>
                <w:b w:val="0"/>
                <w:bCs w:val="0"/>
                <w:color w:val="000000"/>
                <w:kern w:val="0"/>
                <w:sz w:val="22"/>
                <w:lang w:val="en-US" w:eastAsia="zh-CN"/>
              </w:rPr>
              <w:t>40分</w:t>
            </w:r>
          </w:p>
        </w:tc>
        <w:tc>
          <w:tcPr>
            <w:tcW w:w="1118" w:type="dxa"/>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b w:val="0"/>
                <w:bCs w:val="0"/>
                <w:color w:val="000000"/>
                <w:kern w:val="0"/>
                <w:sz w:val="22"/>
              </w:rPr>
              <w:t>产出数量</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实际完成率</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项目实施的实际产出数与计划产出数的比率，用以反映和考核项目产出数量目标的实现程度。</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10</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产出质量</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质量达标率</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项目完成的质量达标产出数与实际产出数的比率，用以反映和考核项目产出质量目标的实现程度。</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10</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auto"/>
            <w:vAlign w:val="center"/>
          </w:tcPr>
          <w:p>
            <w:pPr>
              <w:pageBreakBefore w:val="0"/>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shd w:val="clear" w:color="auto" w:fill="auto"/>
            <w:vAlign w:val="center"/>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产出时效</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完成及时性</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项目实际完成时间与计划完成时间的比较，用以反映和考核项目产出时效目标的实现程度。</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10</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产出成本</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成本节约率</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完成项目计划工作目标的实际节约成本与计划成本的比率，用以反映和考核项目的成本节约程度。</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10</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效益</w:t>
            </w:r>
          </w:p>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lang w:val="en-US" w:eastAsia="zh-CN"/>
              </w:rPr>
              <w:t>20分</w:t>
            </w:r>
            <w:r>
              <w:rPr>
                <w:rFonts w:hint="eastAsia" w:ascii="仿宋" w:hAnsi="仿宋" w:eastAsia="仿宋" w:cs="仿宋"/>
                <w:color w:val="000000"/>
                <w:kern w:val="0"/>
                <w:sz w:val="22"/>
              </w:rPr>
              <w:t>　</w:t>
            </w:r>
          </w:p>
        </w:tc>
        <w:tc>
          <w:tcPr>
            <w:tcW w:w="1118" w:type="dxa"/>
            <w:vMerge w:val="restart"/>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项目效益　</w:t>
            </w: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实施效益</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项目实施所产生的效益。</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15</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118" w:type="dxa"/>
            <w:vMerge w:val="continue"/>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1841"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满意度</w:t>
            </w:r>
          </w:p>
        </w:tc>
        <w:tc>
          <w:tcPr>
            <w:tcW w:w="4923" w:type="dxa"/>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社会公众或服务对象对项目实施效果的满意程度。</w:t>
            </w:r>
          </w:p>
        </w:tc>
        <w:tc>
          <w:tcPr>
            <w:tcW w:w="559" w:type="dxa"/>
            <w:tcBorders>
              <w:left w:val="single" w:color="auto" w:sz="4" w:space="0"/>
            </w:tcBorders>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5</w:t>
            </w:r>
          </w:p>
        </w:tc>
        <w:tc>
          <w:tcPr>
            <w:tcW w:w="661" w:type="dxa"/>
            <w:shd w:val="clear" w:color="auto" w:fill="auto"/>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sz w:val="22"/>
                <w:szCs w:val="22"/>
              </w:rPr>
            </w:pPr>
            <w:r>
              <w:rPr>
                <w:rFonts w:hint="eastAsia" w:ascii="仿宋" w:hAnsi="仿宋" w:eastAsia="仿宋" w:cs="仿宋"/>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3716" w:type="dxa"/>
            <w:gridSpan w:val="3"/>
            <w:tcBorders>
              <w:righ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ind w:firstLine="442" w:firstLineChars="200"/>
              <w:jc w:val="center"/>
              <w:textAlignment w:val="auto"/>
              <w:rPr>
                <w:rFonts w:hint="eastAsia" w:ascii="仿宋" w:hAnsi="仿宋" w:eastAsia="仿宋" w:cs="仿宋"/>
                <w:color w:val="000000"/>
                <w:kern w:val="0"/>
                <w:sz w:val="22"/>
              </w:rPr>
            </w:pPr>
            <w:r>
              <w:rPr>
                <w:rFonts w:hint="eastAsia" w:ascii="仿宋" w:hAnsi="仿宋" w:eastAsia="仿宋" w:cs="仿宋"/>
                <w:b/>
                <w:bCs/>
                <w:color w:val="000000"/>
                <w:kern w:val="0"/>
                <w:sz w:val="22"/>
              </w:rPr>
              <w:t>总分</w:t>
            </w:r>
          </w:p>
        </w:tc>
        <w:tc>
          <w:tcPr>
            <w:tcW w:w="4923" w:type="dxa"/>
            <w:tcBorders>
              <w:right w:val="single" w:color="auto" w:sz="4" w:space="0"/>
            </w:tcBorders>
            <w:shd w:val="clear" w:color="auto" w:fill="auto"/>
          </w:tcPr>
          <w:p>
            <w:pPr>
              <w:pageBreakBefore w:val="0"/>
              <w:widowControl/>
              <w:kinsoku/>
              <w:wordWrap/>
              <w:overflowPunct/>
              <w:topLinePunct w:val="0"/>
              <w:autoSpaceDE/>
              <w:autoSpaceDN/>
              <w:bidi w:val="0"/>
              <w:adjustRightInd/>
              <w:snapToGrid/>
              <w:spacing w:line="320" w:lineRule="exact"/>
              <w:ind w:firstLine="440" w:firstLineChars="200"/>
              <w:jc w:val="center"/>
              <w:textAlignment w:val="auto"/>
              <w:rPr>
                <w:rFonts w:hint="eastAsia" w:ascii="仿宋" w:hAnsi="仿宋" w:eastAsia="仿宋" w:cs="仿宋"/>
                <w:color w:val="000000"/>
                <w:kern w:val="0"/>
                <w:sz w:val="22"/>
              </w:rPr>
            </w:pPr>
          </w:p>
        </w:tc>
        <w:tc>
          <w:tcPr>
            <w:tcW w:w="559" w:type="dxa"/>
            <w:tcBorders>
              <w:left w:val="single" w:color="auto" w:sz="4" w:space="0"/>
            </w:tcBorders>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kern w:val="0"/>
                <w:sz w:val="22"/>
              </w:rPr>
            </w:pPr>
            <w:r>
              <w:rPr>
                <w:rFonts w:hint="eastAsia" w:ascii="仿宋" w:hAnsi="仿宋" w:eastAsia="仿宋" w:cs="仿宋"/>
                <w:color w:val="000000"/>
                <w:kern w:val="0"/>
                <w:sz w:val="22"/>
              </w:rPr>
              <w:t>100</w:t>
            </w:r>
          </w:p>
        </w:tc>
        <w:tc>
          <w:tcPr>
            <w:tcW w:w="661" w:type="dxa"/>
            <w:shd w:val="clear" w:color="auto" w:fill="auto"/>
            <w:vAlign w:val="center"/>
          </w:tcPr>
          <w:p>
            <w:pPr>
              <w:pageBreakBefore w:val="0"/>
              <w:widowControl/>
              <w:kinsoku/>
              <w:wordWrap/>
              <w:overflowPunct/>
              <w:topLinePunct w:val="0"/>
              <w:autoSpaceDE/>
              <w:autoSpaceDN/>
              <w:bidi w:val="0"/>
              <w:adjustRightInd/>
              <w:snapToGrid/>
              <w:spacing w:line="320" w:lineRule="exact"/>
              <w:jc w:val="both"/>
              <w:textAlignment w:val="auto"/>
              <w:rPr>
                <w:rFonts w:hint="default" w:ascii="仿宋" w:hAnsi="仿宋" w:eastAsia="仿宋" w:cs="仿宋"/>
                <w:color w:val="000000"/>
                <w:kern w:val="0"/>
                <w:sz w:val="22"/>
                <w:lang w:val="en-US" w:eastAsia="zh-CN"/>
              </w:rPr>
            </w:pPr>
            <w:r>
              <w:rPr>
                <w:rFonts w:hint="eastAsia" w:ascii="仿宋" w:hAnsi="仿宋" w:eastAsia="仿宋" w:cs="仿宋"/>
                <w:color w:val="000000"/>
                <w:kern w:val="0"/>
                <w:sz w:val="22"/>
                <w:lang w:val="en-US" w:eastAsia="zh-CN"/>
              </w:rPr>
              <w:t>100</w:t>
            </w:r>
          </w:p>
        </w:tc>
      </w:tr>
    </w:tbl>
    <w:p>
      <w:pPr>
        <w:pageBreakBefore w:val="0"/>
        <w:kinsoku/>
        <w:wordWrap/>
        <w:overflowPunct/>
        <w:topLinePunct w:val="0"/>
        <w:autoSpaceDE/>
        <w:autoSpaceDN/>
        <w:bidi w:val="0"/>
        <w:spacing w:line="560" w:lineRule="exact"/>
        <w:ind w:firstLine="643" w:firstLineChars="200"/>
        <w:jc w:val="left"/>
        <w:textAlignment w:val="auto"/>
        <w:rPr>
          <w:rFonts w:ascii="仿宋_GB2312" w:hAnsi="仿宋" w:eastAsia="仿宋_GB2312" w:cs="宋体"/>
          <w:b/>
          <w:bCs/>
          <w:color w:val="333333"/>
          <w:sz w:val="32"/>
          <w:szCs w:val="32"/>
        </w:rPr>
      </w:pPr>
      <w:r>
        <w:rPr>
          <w:rFonts w:hint="eastAsia" w:ascii="仿宋_GB2312" w:hAnsi="仿宋" w:eastAsia="仿宋_GB2312" w:cs="宋体"/>
          <w:b/>
          <w:bCs/>
          <w:color w:val="333333"/>
          <w:sz w:val="32"/>
          <w:szCs w:val="32"/>
        </w:rPr>
        <w:t>3、评价方法</w:t>
      </w:r>
    </w:p>
    <w:p>
      <w:pPr>
        <w:pageBreakBefore w:val="0"/>
        <w:kinsoku/>
        <w:wordWrap/>
        <w:overflowPunct/>
        <w:topLinePunct w:val="0"/>
        <w:autoSpaceDE/>
        <w:autoSpaceDN/>
        <w:bidi w:val="0"/>
        <w:adjustRightInd/>
        <w:spacing w:line="560" w:lineRule="exact"/>
        <w:ind w:firstLine="640" w:firstLineChars="200"/>
        <w:textAlignment w:val="auto"/>
        <w:rPr>
          <w:rStyle w:val="15"/>
          <w:rFonts w:hint="eastAsia" w:ascii="仿宋" w:hAnsi="仿宋" w:eastAsia="仿宋" w:cs="仿宋"/>
          <w:b w:val="0"/>
          <w:bCs w:val="0"/>
          <w:color w:val="auto"/>
          <w:sz w:val="32"/>
          <w:szCs w:val="32"/>
        </w:rPr>
      </w:pPr>
      <w:r>
        <w:rPr>
          <w:rFonts w:hint="eastAsia" w:ascii="仿宋" w:hAnsi="仿宋" w:eastAsia="仿宋" w:cs="仿宋"/>
          <w:bCs/>
          <w:color w:val="auto"/>
          <w:sz w:val="32"/>
          <w:szCs w:val="32"/>
        </w:rPr>
        <w:t>本次</w:t>
      </w:r>
      <w:r>
        <w:rPr>
          <w:rFonts w:hint="eastAsia" w:ascii="仿宋" w:hAnsi="仿宋" w:eastAsia="仿宋" w:cs="仿宋"/>
          <w:bCs/>
          <w:color w:val="auto"/>
          <w:sz w:val="32"/>
          <w:szCs w:val="32"/>
          <w:lang w:val="en-US" w:eastAsia="zh-CN"/>
        </w:rPr>
        <w:t>项目</w:t>
      </w:r>
      <w:r>
        <w:rPr>
          <w:rFonts w:hint="eastAsia" w:ascii="仿宋" w:hAnsi="仿宋" w:eastAsia="仿宋" w:cs="仿宋"/>
          <w:bCs/>
          <w:color w:val="auto"/>
          <w:sz w:val="32"/>
          <w:szCs w:val="32"/>
        </w:rPr>
        <w:t>支出绩效自评采用因素分析法，原因是：本项目需要考虑内外部因素产生的影响及量化社会效益进行分析评价，因此选择因素分析法能更好的对该项目的资金进行评价。</w:t>
      </w:r>
    </w:p>
    <w:p>
      <w:pPr>
        <w:pageBreakBefore w:val="0"/>
        <w:kinsoku/>
        <w:wordWrap/>
        <w:overflowPunct/>
        <w:topLinePunct w:val="0"/>
        <w:autoSpaceDE/>
        <w:autoSpaceDN/>
        <w:bidi w:val="0"/>
        <w:spacing w:line="560" w:lineRule="exact"/>
        <w:ind w:firstLine="643" w:firstLineChars="200"/>
        <w:jc w:val="left"/>
        <w:textAlignment w:val="auto"/>
        <w:rPr>
          <w:rFonts w:ascii="仿宋_GB2312" w:hAnsi="仿宋" w:eastAsia="仿宋_GB2312" w:cs="宋体"/>
          <w:b/>
          <w:bCs/>
          <w:color w:val="333333"/>
          <w:sz w:val="32"/>
          <w:szCs w:val="32"/>
        </w:rPr>
      </w:pPr>
      <w:r>
        <w:rPr>
          <w:rFonts w:hint="eastAsia" w:ascii="仿宋_GB2312" w:hAnsi="仿宋" w:eastAsia="仿宋_GB2312" w:cs="宋体"/>
          <w:b/>
          <w:bCs/>
          <w:color w:val="333333"/>
          <w:sz w:val="32"/>
          <w:szCs w:val="32"/>
        </w:rPr>
        <w:t>4、绩效评价标准</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333333"/>
          <w:sz w:val="32"/>
          <w:szCs w:val="32"/>
        </w:rPr>
        <w:t>本次评价主要采用</w:t>
      </w:r>
      <w:r>
        <w:rPr>
          <w:rFonts w:hint="eastAsia" w:ascii="仿宋" w:hAnsi="仿宋" w:eastAsia="仿宋" w:cs="仿宋"/>
          <w:sz w:val="32"/>
          <w:szCs w:val="32"/>
        </w:rPr>
        <w:t>了计划标准和行业标准。该项目设置年初绩效目标申报表时参照了国家公布的行业指标数据制定的标准。采用行业标准，可提高预算编制和预算额度测算准确率，使评价结果更加科学真实。</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kern w:val="2"/>
          <w:sz w:val="32"/>
          <w:szCs w:val="32"/>
          <w:lang w:val="en-US" w:eastAsia="zh-CN" w:bidi="ar-SA"/>
        </w:rPr>
      </w:pPr>
      <w:bookmarkStart w:id="1" w:name="_Toc68703833"/>
      <w:r>
        <w:rPr>
          <w:rFonts w:hint="eastAsia" w:ascii="楷体_GB2312" w:hAnsi="楷体_GB2312" w:eastAsia="楷体_GB2312" w:cs="楷体_GB2312"/>
          <w:b w:val="0"/>
          <w:bCs w:val="0"/>
          <w:kern w:val="2"/>
          <w:sz w:val="32"/>
          <w:szCs w:val="32"/>
          <w:lang w:val="en-US" w:eastAsia="zh-CN" w:bidi="ar-SA"/>
        </w:rPr>
        <w:t>（三）绩效评价工作过程。</w:t>
      </w:r>
      <w:bookmarkEnd w:id="1"/>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ageBreakBefore w:val="0"/>
        <w:numPr>
          <w:ilvl w:val="0"/>
          <w:numId w:val="1"/>
        </w:numPr>
        <w:kinsoku/>
        <w:wordWrap/>
        <w:overflowPunct/>
        <w:topLinePunct w:val="0"/>
        <w:autoSpaceDE/>
        <w:autoSpaceDN/>
        <w:bidi w:val="0"/>
        <w:spacing w:line="560" w:lineRule="exact"/>
        <w:ind w:firstLine="640" w:firstLineChars="200"/>
        <w:contextualSpacing/>
        <w:textAlignment w:val="auto"/>
        <w:rPr>
          <w:rFonts w:ascii="方正黑体_GBK" w:hAnsi="黑体" w:eastAsia="方正黑体_GBK"/>
          <w:sz w:val="32"/>
          <w:szCs w:val="32"/>
        </w:rPr>
      </w:pPr>
      <w:bookmarkStart w:id="2" w:name="_Toc68703835"/>
      <w:r>
        <w:rPr>
          <w:rFonts w:hint="eastAsia" w:ascii="方正黑体_GBK" w:hAnsi="黑体" w:eastAsia="方正黑体_GBK"/>
          <w:sz w:val="32"/>
          <w:szCs w:val="32"/>
        </w:rPr>
        <w:t>综合评价情况及评价结论（附相关评分表）</w:t>
      </w:r>
    </w:p>
    <w:p>
      <w:pPr>
        <w:pageBreakBefore w:val="0"/>
        <w:numPr>
          <w:ilvl w:val="0"/>
          <w:numId w:val="2"/>
        </w:numPr>
        <w:kinsoku/>
        <w:wordWrap/>
        <w:overflowPunct/>
        <w:topLinePunct w:val="0"/>
        <w:autoSpaceDE/>
        <w:autoSpaceDN/>
        <w:bidi w:val="0"/>
        <w:spacing w:line="560" w:lineRule="exact"/>
        <w:ind w:left="164" w:leftChars="0" w:firstLine="640" w:firstLineChars="0"/>
        <w:contextualSpacing/>
        <w:textAlignment w:val="auto"/>
        <w:rPr>
          <w:rFonts w:hint="eastAsia" w:ascii="楷体_GB2312" w:hAnsi="楷体_GB2312" w:eastAsia="楷体_GB2312" w:cs="楷体_GB2312"/>
          <w:color w:val="333333"/>
          <w:sz w:val="32"/>
          <w:szCs w:val="32"/>
          <w:lang w:val="en-US" w:eastAsia="zh-CN"/>
        </w:rPr>
      </w:pPr>
      <w:r>
        <w:rPr>
          <w:rFonts w:hint="eastAsia" w:ascii="楷体_GB2312" w:hAnsi="楷体_GB2312" w:eastAsia="楷体_GB2312" w:cs="楷体_GB2312"/>
          <w:color w:val="333333"/>
          <w:sz w:val="32"/>
          <w:szCs w:val="32"/>
          <w:lang w:val="en-US" w:eastAsia="zh-CN"/>
        </w:rPr>
        <w:t>综合评价情况</w:t>
      </w:r>
    </w:p>
    <w:p>
      <w:pPr>
        <w:pageBreakBefore w:val="0"/>
        <w:numPr>
          <w:ilvl w:val="0"/>
          <w:numId w:val="0"/>
        </w:numPr>
        <w:kinsoku/>
        <w:wordWrap/>
        <w:overflowPunct/>
        <w:topLinePunct w:val="0"/>
        <w:autoSpaceDE/>
        <w:autoSpaceDN/>
        <w:bidi w:val="0"/>
        <w:spacing w:line="560" w:lineRule="exact"/>
        <w:ind w:firstLine="640" w:firstLineChars="200"/>
        <w:contextualSpacing/>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运用由项目组制订评价指标体系及评分标准，通过数据采集、问卷调查，对</w:t>
      </w:r>
      <w:r>
        <w:rPr>
          <w:rFonts w:hint="eastAsia" w:ascii="仿宋" w:hAnsi="仿宋" w:eastAsia="仿宋" w:cs="仿宋"/>
          <w:b w:val="0"/>
          <w:bCs w:val="0"/>
          <w:kern w:val="2"/>
          <w:sz w:val="32"/>
          <w:szCs w:val="32"/>
          <w:lang w:val="en-US" w:eastAsia="zh-CN" w:bidi="ar-SA"/>
        </w:rPr>
        <w:t>基本公共卫生项目</w:t>
      </w:r>
      <w:r>
        <w:rPr>
          <w:rFonts w:hint="eastAsia" w:ascii="仿宋" w:hAnsi="仿宋" w:eastAsia="仿宋" w:cs="仿宋"/>
          <w:color w:val="333333"/>
          <w:sz w:val="32"/>
          <w:szCs w:val="32"/>
        </w:rPr>
        <w:t>进行客观评价，最终评分结果：总得分为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分，属于优</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rPr>
        <w:t>其中：项目决策指标权重为</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分，得分为</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%；项目管理权重为</w:t>
      </w:r>
      <w:r>
        <w:rPr>
          <w:rFonts w:hint="eastAsia" w:ascii="仿宋" w:hAnsi="仿宋" w:eastAsia="仿宋" w:cs="仿宋"/>
          <w:color w:val="333333"/>
          <w:sz w:val="32"/>
          <w:szCs w:val="32"/>
          <w:lang w:val="en-US" w:eastAsia="zh-CN"/>
        </w:rPr>
        <w:t>60</w:t>
      </w:r>
      <w:r>
        <w:rPr>
          <w:rFonts w:hint="eastAsia" w:ascii="仿宋" w:hAnsi="仿宋" w:eastAsia="仿宋" w:cs="仿宋"/>
          <w:color w:val="333333"/>
          <w:sz w:val="32"/>
          <w:szCs w:val="32"/>
        </w:rPr>
        <w:t>分，得分为</w:t>
      </w:r>
      <w:r>
        <w:rPr>
          <w:rFonts w:hint="eastAsia" w:ascii="仿宋" w:hAnsi="仿宋" w:eastAsia="仿宋" w:cs="仿宋"/>
          <w:color w:val="333333"/>
          <w:sz w:val="32"/>
          <w:szCs w:val="32"/>
          <w:lang w:val="en-US" w:eastAsia="zh-CN"/>
        </w:rPr>
        <w:t>60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%；项目绩效权重为</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分，得分为</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分，得分率为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%，具体打分情况详见附件2（综合评分表）。</w:t>
      </w:r>
    </w:p>
    <w:bookmarkEnd w:id="2"/>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基本公共卫生项目评价得分情况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lang w:val="en-US" w:eastAsia="zh-CN"/>
              </w:rPr>
            </w:pPr>
            <w:r>
              <w:rPr>
                <w:rFonts w:hint="eastAsia" w:ascii="仿宋" w:hAnsi="仿宋" w:eastAsia="仿宋" w:cs="仿宋"/>
                <w:sz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lang w:val="en-US" w:eastAsia="zh-CN"/>
              </w:rPr>
            </w:pPr>
            <w:r>
              <w:rPr>
                <w:rFonts w:hint="eastAsia" w:ascii="仿宋" w:hAnsi="仿宋" w:eastAsia="仿宋" w:cs="仿宋"/>
                <w:sz w:val="30"/>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lang w:val="en-US" w:eastAsia="zh-CN"/>
              </w:rPr>
            </w:pPr>
            <w:r>
              <w:rPr>
                <w:rFonts w:hint="eastAsia" w:ascii="仿宋" w:hAnsi="仿宋" w:eastAsia="仿宋" w:cs="仿宋"/>
                <w:sz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rPr>
            </w:pPr>
            <w:r>
              <w:rPr>
                <w:rFonts w:hint="eastAsia" w:ascii="仿宋" w:hAnsi="仿宋" w:eastAsia="仿宋" w:cs="仿宋"/>
                <w:sz w:val="30"/>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sz w:val="30"/>
                <w:lang w:val="en-US" w:eastAsia="zh-CN"/>
              </w:rPr>
            </w:pPr>
            <w:r>
              <w:rPr>
                <w:rFonts w:hint="eastAsia" w:ascii="仿宋" w:hAnsi="仿宋" w:eastAsia="仿宋" w:cs="仿宋"/>
                <w:sz w:val="30"/>
                <w:lang w:val="en-US" w:eastAsia="zh-CN"/>
              </w:rPr>
              <w:t>100</w:t>
            </w:r>
          </w:p>
        </w:tc>
      </w:tr>
    </w:tbl>
    <w:p>
      <w:pPr>
        <w:pageBreakBefore w:val="0"/>
        <w:kinsoku/>
        <w:wordWrap/>
        <w:overflowPunct/>
        <w:topLinePunct w:val="0"/>
        <w:autoSpaceDE/>
        <w:autoSpaceDN/>
        <w:bidi w:val="0"/>
        <w:spacing w:line="560" w:lineRule="exact"/>
        <w:ind w:firstLine="640" w:firstLineChars="200"/>
        <w:contextualSpacing/>
        <w:textAlignment w:val="auto"/>
        <w:rPr>
          <w:rFonts w:hint="eastAsia" w:ascii="楷体_GB2312" w:hAnsi="楷体_GB2312" w:eastAsia="楷体_GB2312" w:cs="楷体_GB2312"/>
          <w:color w:val="333333"/>
          <w:sz w:val="32"/>
          <w:szCs w:val="32"/>
          <w:lang w:eastAsia="zh-CN"/>
        </w:rPr>
      </w:pPr>
      <w:bookmarkStart w:id="3" w:name="_Toc68703836"/>
      <w:r>
        <w:rPr>
          <w:rFonts w:hint="eastAsia" w:ascii="楷体_GB2312" w:hAnsi="楷体_GB2312" w:eastAsia="楷体_GB2312" w:cs="楷体_GB2312"/>
          <w:color w:val="333333"/>
          <w:sz w:val="32"/>
          <w:szCs w:val="32"/>
          <w:lang w:eastAsia="zh-CN"/>
        </w:rPr>
        <w:t>（二）评价结论</w:t>
      </w:r>
      <w:bookmarkEnd w:id="3"/>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本项目的项目决策20分，得分20分；项目过程20分，得分</w:t>
      </w:r>
      <w:r>
        <w:rPr>
          <w:rFonts w:hint="eastAsia" w:ascii="仿宋" w:hAnsi="仿宋" w:eastAsia="仿宋" w:cs="仿宋"/>
          <w:sz w:val="32"/>
          <w:szCs w:val="32"/>
          <w:lang w:val="en-US" w:eastAsia="zh-CN"/>
        </w:rPr>
        <w:t>20</w:t>
      </w:r>
      <w:r>
        <w:rPr>
          <w:rFonts w:hint="eastAsia" w:ascii="仿宋" w:hAnsi="仿宋" w:eastAsia="仿宋" w:cs="仿宋"/>
          <w:sz w:val="32"/>
          <w:szCs w:val="32"/>
        </w:rPr>
        <w:t>分；项目产出40分，得分</w:t>
      </w:r>
      <w:r>
        <w:rPr>
          <w:rFonts w:hint="eastAsia" w:ascii="仿宋" w:hAnsi="仿宋" w:eastAsia="仿宋" w:cs="仿宋"/>
          <w:sz w:val="32"/>
          <w:szCs w:val="32"/>
          <w:lang w:val="en-US" w:eastAsia="zh-CN"/>
        </w:rPr>
        <w:t>40</w:t>
      </w:r>
      <w:r>
        <w:rPr>
          <w:rFonts w:hint="eastAsia" w:ascii="仿宋" w:hAnsi="仿宋" w:eastAsia="仿宋" w:cs="仿宋"/>
          <w:sz w:val="32"/>
          <w:szCs w:val="32"/>
        </w:rPr>
        <w:t>分，均达到了预期要求，项目效益20分，得分</w:t>
      </w:r>
      <w:r>
        <w:rPr>
          <w:rFonts w:hint="eastAsia" w:ascii="仿宋" w:hAnsi="仿宋" w:eastAsia="仿宋" w:cs="仿宋"/>
          <w:sz w:val="32"/>
          <w:szCs w:val="32"/>
          <w:lang w:val="en-US" w:eastAsia="zh-CN"/>
        </w:rPr>
        <w:t>20</w:t>
      </w:r>
      <w:r>
        <w:rPr>
          <w:rFonts w:hint="eastAsia" w:ascii="仿宋" w:hAnsi="仿宋" w:eastAsia="仿宋" w:cs="仿宋"/>
          <w:sz w:val="32"/>
          <w:szCs w:val="32"/>
        </w:rPr>
        <w:t>分，最终得分为</w:t>
      </w:r>
      <w:r>
        <w:rPr>
          <w:rFonts w:hint="eastAsia" w:ascii="仿宋" w:hAnsi="仿宋" w:eastAsia="仿宋" w:cs="仿宋"/>
          <w:sz w:val="32"/>
          <w:szCs w:val="32"/>
          <w:lang w:val="en-US" w:eastAsia="zh-CN"/>
        </w:rPr>
        <w:t>100</w:t>
      </w:r>
      <w:r>
        <w:rPr>
          <w:rFonts w:hint="eastAsia" w:ascii="仿宋" w:hAnsi="仿宋" w:eastAsia="仿宋" w:cs="仿宋"/>
          <w:sz w:val="32"/>
          <w:szCs w:val="32"/>
        </w:rPr>
        <w:t>分。</w:t>
      </w:r>
    </w:p>
    <w:p>
      <w:pPr>
        <w:pageBreakBefore w:val="0"/>
        <w:kinsoku/>
        <w:wordWrap/>
        <w:overflowPunct/>
        <w:topLinePunct w:val="0"/>
        <w:autoSpaceDE/>
        <w:autoSpaceDN/>
        <w:bidi w:val="0"/>
        <w:spacing w:line="560" w:lineRule="exact"/>
        <w:ind w:firstLine="640" w:firstLineChars="200"/>
        <w:contextualSpacing/>
        <w:textAlignment w:val="auto"/>
        <w:rPr>
          <w:rFonts w:ascii="方正黑体_GBK" w:hAnsi="黑体" w:eastAsia="方正黑体_GBK"/>
          <w:sz w:val="32"/>
          <w:szCs w:val="32"/>
        </w:rPr>
      </w:pPr>
      <w:bookmarkStart w:id="4" w:name="_Toc68703837"/>
      <w:r>
        <w:rPr>
          <w:rFonts w:hint="eastAsia" w:ascii="方正黑体_GBK" w:hAnsi="黑体" w:eastAsia="方正黑体_GBK"/>
          <w:sz w:val="32"/>
          <w:szCs w:val="32"/>
        </w:rPr>
        <w:t>四、绩效评价指标分析</w:t>
      </w:r>
    </w:p>
    <w:p>
      <w:pPr>
        <w:pageBreakBefore w:val="0"/>
        <w:kinsoku/>
        <w:wordWrap/>
        <w:overflowPunct/>
        <w:topLinePunct w:val="0"/>
        <w:autoSpaceDE/>
        <w:autoSpaceDN/>
        <w:bidi w:val="0"/>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项目决策指标从</w:t>
      </w:r>
      <w:r>
        <w:rPr>
          <w:rFonts w:hint="eastAsia" w:ascii="仿宋" w:hAnsi="仿宋" w:eastAsia="仿宋" w:cs="仿宋"/>
          <w:color w:val="000000"/>
          <w:kern w:val="0"/>
          <w:sz w:val="32"/>
          <w:szCs w:val="32"/>
        </w:rPr>
        <w:t>项目立项</w:t>
      </w:r>
      <w:r>
        <w:rPr>
          <w:rFonts w:hint="eastAsia" w:ascii="仿宋" w:hAnsi="仿宋" w:eastAsia="仿宋" w:cs="仿宋"/>
          <w:color w:val="333333"/>
          <w:sz w:val="32"/>
          <w:szCs w:val="32"/>
        </w:rPr>
        <w:t>、</w:t>
      </w:r>
      <w:r>
        <w:rPr>
          <w:rFonts w:hint="eastAsia" w:ascii="仿宋" w:hAnsi="仿宋" w:eastAsia="仿宋" w:cs="仿宋"/>
          <w:color w:val="000000"/>
          <w:kern w:val="0"/>
          <w:sz w:val="32"/>
          <w:szCs w:val="32"/>
        </w:rPr>
        <w:t>绩效目标和资金投入</w:t>
      </w:r>
      <w:r>
        <w:rPr>
          <w:rFonts w:hint="eastAsia" w:ascii="仿宋" w:hAnsi="仿宋" w:eastAsia="仿宋" w:cs="仿宋"/>
          <w:color w:val="333333"/>
          <w:sz w:val="32"/>
          <w:szCs w:val="32"/>
        </w:rPr>
        <w:t>3个方面对项目的立项决策目标完成情况进行考察，项目决策类指标分值20分，实际得分</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分，得分率</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%。项目决策指标得分情况如表所示。</w:t>
      </w:r>
    </w:p>
    <w:tbl>
      <w:tblPr>
        <w:tblStyle w:val="13"/>
        <w:tblW w:w="8522" w:type="dxa"/>
        <w:tblInd w:w="0" w:type="dxa"/>
        <w:tblLayout w:type="fixed"/>
        <w:tblCellMar>
          <w:top w:w="0" w:type="dxa"/>
          <w:left w:w="108" w:type="dxa"/>
          <w:bottom w:w="0" w:type="dxa"/>
          <w:right w:w="108" w:type="dxa"/>
        </w:tblCellMar>
      </w:tblPr>
      <w:tblGrid>
        <w:gridCol w:w="2517"/>
        <w:gridCol w:w="2269"/>
        <w:gridCol w:w="1986"/>
        <w:gridCol w:w="1750"/>
      </w:tblGrid>
      <w:tr>
        <w:tblPrEx>
          <w:tblCellMar>
            <w:top w:w="0" w:type="dxa"/>
            <w:left w:w="108" w:type="dxa"/>
            <w:bottom w:w="0" w:type="dxa"/>
            <w:right w:w="108" w:type="dxa"/>
          </w:tblCellMar>
        </w:tblPrEx>
        <w:trPr>
          <w:trHeight w:val="480" w:hRule="atLeast"/>
        </w:trPr>
        <w:tc>
          <w:tcPr>
            <w:tcW w:w="8522" w:type="dxa"/>
            <w:gridSpan w:val="4"/>
            <w:tcBorders>
              <w:top w:val="nil"/>
              <w:left w:val="nil"/>
              <w:bottom w:val="single" w:color="auto" w:sz="8" w:space="0"/>
              <w:right w:val="nil"/>
            </w:tcBorders>
            <w:shd w:val="clear" w:color="auto" w:fill="auto"/>
            <w:noWrap/>
            <w:vAlign w:val="center"/>
          </w:tcPr>
          <w:p>
            <w:pPr>
              <w:pageBreakBefore w:val="0"/>
              <w:kinsoku/>
              <w:wordWrap/>
              <w:overflowPunct/>
              <w:topLinePunct w:val="0"/>
              <w:autoSpaceDE/>
              <w:autoSpaceDN/>
              <w:bidi w:val="0"/>
              <w:spacing w:line="560" w:lineRule="exact"/>
              <w:ind w:firstLine="640" w:firstLineChars="200"/>
              <w:jc w:val="left"/>
              <w:textAlignment w:val="auto"/>
              <w:rPr>
                <w:rFonts w:ascii="仿宋_GB2312" w:hAnsi="仿宋" w:eastAsia="仿宋_GB2312" w:cs="宋体"/>
                <w:color w:val="333333"/>
                <w:sz w:val="32"/>
                <w:szCs w:val="32"/>
              </w:rPr>
            </w:pPr>
            <w:r>
              <w:rPr>
                <w:rFonts w:hint="eastAsia" w:ascii="仿宋_GB2312" w:hAnsi="仿宋" w:eastAsia="仿宋_GB2312" w:cs="宋体"/>
                <w:color w:val="333333"/>
                <w:sz w:val="32"/>
                <w:szCs w:val="32"/>
              </w:rPr>
              <w:t>项目决策指标得分情况</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三级指标</w:t>
            </w:r>
          </w:p>
        </w:tc>
        <w:tc>
          <w:tcPr>
            <w:tcW w:w="2269"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权重</w:t>
            </w:r>
          </w:p>
        </w:tc>
        <w:tc>
          <w:tcPr>
            <w:tcW w:w="1986"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得分率</w:t>
            </w:r>
          </w:p>
        </w:tc>
        <w:tc>
          <w:tcPr>
            <w:tcW w:w="1750"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实际得分</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项目立项</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10</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10</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000000"/>
                <w:kern w:val="0"/>
                <w:sz w:val="30"/>
                <w:szCs w:val="30"/>
              </w:rPr>
            </w:pPr>
            <w:r>
              <w:rPr>
                <w:rFonts w:ascii="仿宋_GB2312" w:hAnsi="仿宋_GB2312" w:eastAsia="仿宋_GB2312" w:cs="仿宋_GB2312"/>
                <w:color w:val="000000"/>
                <w:kern w:val="0"/>
                <w:sz w:val="30"/>
                <w:szCs w:val="30"/>
              </w:rPr>
              <w:t>绩效目标</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5</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资金投入</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5</w:t>
            </w:r>
          </w:p>
        </w:tc>
      </w:tr>
      <w:tr>
        <w:tblPrEx>
          <w:tblCellMar>
            <w:top w:w="0" w:type="dxa"/>
            <w:left w:w="108" w:type="dxa"/>
            <w:bottom w:w="0" w:type="dxa"/>
            <w:right w:w="108" w:type="dxa"/>
          </w:tblCellMar>
        </w:tblPrEx>
        <w:trPr>
          <w:trHeight w:val="510" w:hRule="exact"/>
        </w:trPr>
        <w:tc>
          <w:tcPr>
            <w:tcW w:w="2517" w:type="dxa"/>
            <w:tcBorders>
              <w:top w:val="single" w:color="auto" w:sz="8" w:space="0"/>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合  计</w:t>
            </w:r>
          </w:p>
        </w:tc>
        <w:tc>
          <w:tcPr>
            <w:tcW w:w="2269"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color w:val="000000"/>
                <w:kern w:val="0"/>
                <w:sz w:val="30"/>
                <w:szCs w:val="30"/>
              </w:rPr>
            </w:pPr>
            <w:r>
              <w:rPr>
                <w:rFonts w:hint="eastAsia" w:ascii="仿宋_GB2312" w:hAnsi="仿宋_GB2312" w:eastAsia="仿宋_GB2312" w:cs="仿宋_GB2312"/>
                <w:b/>
                <w:color w:val="000000"/>
                <w:kern w:val="0"/>
                <w:sz w:val="30"/>
                <w:szCs w:val="30"/>
              </w:rPr>
              <w:t>20</w:t>
            </w:r>
          </w:p>
        </w:tc>
        <w:tc>
          <w:tcPr>
            <w:tcW w:w="1986"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100%</w:t>
            </w:r>
          </w:p>
        </w:tc>
        <w:tc>
          <w:tcPr>
            <w:tcW w:w="1750"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20</w:t>
            </w:r>
          </w:p>
        </w:tc>
      </w:tr>
    </w:tbl>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对于“</w:t>
      </w:r>
      <w:r>
        <w:rPr>
          <w:rFonts w:hint="eastAsia" w:ascii="仿宋" w:hAnsi="仿宋" w:eastAsia="仿宋" w:cs="仿宋"/>
          <w:color w:val="000000"/>
          <w:kern w:val="0"/>
          <w:sz w:val="32"/>
          <w:szCs w:val="32"/>
        </w:rPr>
        <w:t>项目立项</w:t>
      </w:r>
      <w:r>
        <w:rPr>
          <w:rFonts w:hint="eastAsia" w:ascii="仿宋" w:hAnsi="仿宋" w:eastAsia="仿宋" w:cs="仿宋"/>
          <w:color w:val="333333"/>
          <w:sz w:val="32"/>
          <w:szCs w:val="32"/>
        </w:rPr>
        <w:t>”，项目的立项符合规划，根据评分标准，实际得分率为100%。实际得分率为</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FF0000"/>
          <w:sz w:val="32"/>
          <w:szCs w:val="32"/>
        </w:rPr>
      </w:pPr>
      <w:r>
        <w:rPr>
          <w:rFonts w:hint="eastAsia" w:ascii="仿宋" w:hAnsi="仿宋" w:eastAsia="仿宋" w:cs="仿宋"/>
          <w:color w:val="333333"/>
          <w:sz w:val="32"/>
          <w:szCs w:val="32"/>
        </w:rPr>
        <w:t>对于“绩效目标”，项目的立项符合规划，根据评分标准，该指标不扣分。</w:t>
      </w:r>
    </w:p>
    <w:p>
      <w:pPr>
        <w:pageBreakBefore w:val="0"/>
        <w:numPr>
          <w:ilvl w:val="0"/>
          <w:numId w:val="3"/>
        </w:numPr>
        <w:kinsoku/>
        <w:wordWrap/>
        <w:overflowPunct/>
        <w:topLinePunct w:val="0"/>
        <w:autoSpaceDE/>
        <w:autoSpaceDN/>
        <w:bidi w:val="0"/>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项目过程情况</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1、立项依据充分性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lang w:eastAsia="zh-CN"/>
        </w:rPr>
        <w:t>该项目依据</w:t>
      </w:r>
      <w:r>
        <w:rPr>
          <w:rFonts w:hint="eastAsia" w:ascii="仿宋" w:hAnsi="仿宋" w:eastAsia="仿宋" w:cs="仿宋"/>
          <w:color w:val="333333"/>
          <w:sz w:val="32"/>
          <w:szCs w:val="32"/>
          <w:lang w:val="en-US" w:eastAsia="zh-CN"/>
        </w:rPr>
        <w:t>《基本公共</w:t>
      </w:r>
      <w:r>
        <w:rPr>
          <w:rFonts w:hint="eastAsia" w:ascii="仿宋" w:hAnsi="仿宋" w:eastAsia="仿宋" w:cs="仿宋"/>
          <w:color w:val="333333"/>
          <w:sz w:val="32"/>
          <w:szCs w:val="32"/>
          <w:lang w:eastAsia="zh-CN"/>
        </w:rPr>
        <w:t>补助资金项目实施方案》，</w:t>
      </w:r>
      <w:r>
        <w:rPr>
          <w:rFonts w:hint="eastAsia" w:ascii="仿宋" w:hAnsi="仿宋" w:eastAsia="仿宋" w:cs="仿宋"/>
          <w:color w:val="333333"/>
          <w:sz w:val="32"/>
          <w:szCs w:val="32"/>
          <w:lang w:val="en-US" w:eastAsia="zh-CN"/>
        </w:rPr>
        <w:t>结合焉耆县卫健委工作职责， 开展重大疾病和主要健康危险因素得到有效控制，全县城乡居民健康水平得到进一步提高</w:t>
      </w:r>
      <w:r>
        <w:rPr>
          <w:rFonts w:hint="eastAsia" w:ascii="仿宋" w:hAnsi="仿宋" w:eastAsia="仿宋" w:cs="仿宋"/>
          <w:color w:val="333333"/>
          <w:sz w:val="32"/>
          <w:szCs w:val="32"/>
        </w:rPr>
        <w:t>。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w:t>
      </w:r>
      <w:r>
        <w:rPr>
          <w:rFonts w:hint="eastAsia" w:ascii="仿宋" w:hAnsi="仿宋" w:eastAsia="仿宋" w:cs="仿宋"/>
          <w:color w:val="333333"/>
          <w:sz w:val="32"/>
          <w:szCs w:val="32"/>
          <w:lang w:eastAsia="zh-CN"/>
        </w:rPr>
        <w:t>不</w:t>
      </w:r>
      <w:r>
        <w:rPr>
          <w:rFonts w:hint="eastAsia" w:ascii="仿宋" w:hAnsi="仿宋" w:eastAsia="仿宋" w:cs="仿宋"/>
          <w:color w:val="333333"/>
          <w:sz w:val="32"/>
          <w:szCs w:val="32"/>
        </w:rPr>
        <w:t>重复。</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2、立项程序规范性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项目按照规定的程序申请设立；</w:t>
      </w:r>
      <w:r>
        <w:rPr>
          <w:rFonts w:hint="eastAsia" w:ascii="仿宋" w:hAnsi="仿宋" w:eastAsia="仿宋" w:cs="仿宋"/>
          <w:color w:val="333333"/>
          <w:sz w:val="32"/>
          <w:szCs w:val="32"/>
          <w:lang w:val="en-US" w:eastAsia="zh-CN"/>
        </w:rPr>
        <w:t>预算批复等项目资料符合相关要求，</w:t>
      </w:r>
      <w:r>
        <w:rPr>
          <w:rFonts w:hint="eastAsia" w:ascii="仿宋" w:hAnsi="仿宋" w:eastAsia="仿宋" w:cs="仿宋"/>
          <w:color w:val="333333"/>
          <w:sz w:val="32"/>
          <w:szCs w:val="32"/>
        </w:rPr>
        <w:t>事前已经过必要的可行性研究、专家论证、风险评估、绩效评估、集体决策</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3、绩效目标合理性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2023项目设立了项目绩效目标，与《焉耆县重大传染基本公共卫生病补助资金项目实施方案》具有相关性，项目的预期产出效益和效果也均能符合正常的业绩水平，并且与预算确定的项目投资额或资金量相匹配。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4、绩效指标明确性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bookmarkStart w:id="5" w:name="_Hlk68699917"/>
      <w:r>
        <w:rPr>
          <w:rFonts w:hint="eastAsia" w:ascii="仿宋" w:hAnsi="仿宋" w:eastAsia="仿宋" w:cs="仿宋"/>
          <w:color w:val="333333"/>
          <w:sz w:val="32"/>
          <w:szCs w:val="32"/>
          <w:lang w:val="en-US" w:eastAsia="zh-CN"/>
        </w:rPr>
        <w:t>2023 年项目将项目绩效目标细化分解为具体的绩效指标，一级指标共4条，二级指标共6条，三级指标共16条，其中量化指标条数共21条，所有绩效指标均通过清晰、可衡量的指标值予以体现，并且做到了与项目目标任务数或计划数相对应。</w:t>
      </w:r>
      <w:bookmarkEnd w:id="5"/>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5、预算编制科学性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预算编制经过科学论证，预算内容与项目内容匹配，预算额度测算依据充分，按照标准编制；预算确定的项目投资额或资金量与工作任务相匹配。</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6、资金分配合理性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color w:val="333333"/>
          <w:sz w:val="32"/>
          <w:szCs w:val="32"/>
          <w:lang w:val="en-US" w:eastAsia="zh-CN"/>
        </w:rPr>
        <w:t>预算资金分配依据充分，根据项目设置目标需求，基本公共卫生资金710.76万元，用于居民健康档案（电子管理、健康教育、预防接种（流动人口儿童社区管理收）、儿童及孕产妇健康管理、老年人健康管理、高血压、2以型糖尿病、重性精神疾病患者管 理、传染病及突发公共卫生事件报告和处理、卫生监督协管、中医健康管理及活动</w:t>
      </w:r>
      <w:r>
        <w:rPr>
          <w:rFonts w:hint="eastAsia" w:ascii="仿宋" w:hAnsi="仿宋" w:eastAsia="仿宋" w:cs="仿宋"/>
          <w:b w:val="0"/>
          <w:bCs w:val="0"/>
          <w:color w:val="333333"/>
          <w:kern w:val="2"/>
          <w:sz w:val="32"/>
          <w:szCs w:val="32"/>
          <w:lang w:val="en-US" w:eastAsia="zh-CN" w:bidi="ar-SA"/>
        </w:rPr>
        <w:t>性肺结核病人规范化管理等基本公共基本公共卫生服务项目工作。资金分配额度合理，与项目单位实际相适应。</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bookmarkStart w:id="6" w:name="_Toc68703839"/>
      <w:r>
        <w:rPr>
          <w:rFonts w:hint="eastAsia" w:ascii="仿宋" w:hAnsi="仿宋" w:eastAsia="仿宋" w:cs="仿宋"/>
          <w:b w:val="0"/>
          <w:bCs w:val="0"/>
          <w:color w:val="333333"/>
          <w:kern w:val="2"/>
          <w:sz w:val="32"/>
          <w:szCs w:val="32"/>
          <w:lang w:val="en-US" w:eastAsia="zh-CN" w:bidi="ar-SA"/>
        </w:rPr>
        <w:t>（二）项目过程情况。</w:t>
      </w:r>
      <w:bookmarkEnd w:id="6"/>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1、资金到位率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实际到位资金</w:t>
      </w:r>
      <w:r>
        <w:rPr>
          <w:rFonts w:hint="eastAsia" w:ascii="仿宋" w:hAnsi="仿宋" w:eastAsia="仿宋" w:cs="仿宋"/>
          <w:color w:val="333333"/>
          <w:sz w:val="32"/>
          <w:szCs w:val="32"/>
          <w:lang w:val="en-US" w:eastAsia="zh-CN"/>
        </w:rPr>
        <w:t>710.76</w:t>
      </w:r>
      <w:r>
        <w:rPr>
          <w:rFonts w:hint="eastAsia" w:ascii="仿宋" w:hAnsi="仿宋" w:eastAsia="仿宋" w:cs="仿宋"/>
          <w:b w:val="0"/>
          <w:bCs w:val="0"/>
          <w:color w:val="333333"/>
          <w:kern w:val="2"/>
          <w:sz w:val="32"/>
          <w:szCs w:val="32"/>
          <w:lang w:val="en-US" w:eastAsia="zh-CN" w:bidi="ar-SA"/>
        </w:rPr>
        <w:t>万元，预算资金</w:t>
      </w:r>
      <w:r>
        <w:rPr>
          <w:rFonts w:hint="eastAsia" w:ascii="仿宋" w:hAnsi="仿宋" w:eastAsia="仿宋" w:cs="仿宋"/>
          <w:color w:val="333333"/>
          <w:sz w:val="32"/>
          <w:szCs w:val="32"/>
          <w:lang w:val="en-US" w:eastAsia="zh-CN"/>
        </w:rPr>
        <w:t>710.76</w:t>
      </w:r>
      <w:r>
        <w:rPr>
          <w:rFonts w:hint="eastAsia" w:ascii="仿宋" w:hAnsi="仿宋" w:eastAsia="仿宋" w:cs="仿宋"/>
          <w:b w:val="0"/>
          <w:bCs w:val="0"/>
          <w:color w:val="333333"/>
          <w:kern w:val="2"/>
          <w:sz w:val="32"/>
          <w:szCs w:val="32"/>
          <w:lang w:val="en-US" w:eastAsia="zh-CN" w:bidi="ar-SA"/>
        </w:rPr>
        <w:t>万元，资金到位率100%。</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2、预算执行率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年初预算数</w:t>
      </w:r>
      <w:r>
        <w:rPr>
          <w:rFonts w:hint="eastAsia" w:ascii="仿宋" w:hAnsi="仿宋" w:eastAsia="仿宋" w:cs="仿宋"/>
          <w:color w:val="333333"/>
          <w:sz w:val="32"/>
          <w:szCs w:val="32"/>
          <w:lang w:val="en-US" w:eastAsia="zh-CN"/>
        </w:rPr>
        <w:t>710.76</w:t>
      </w:r>
      <w:r>
        <w:rPr>
          <w:rFonts w:hint="eastAsia" w:ascii="仿宋" w:hAnsi="仿宋" w:eastAsia="仿宋" w:cs="仿宋"/>
          <w:b w:val="0"/>
          <w:bCs w:val="0"/>
          <w:color w:val="333333"/>
          <w:kern w:val="2"/>
          <w:sz w:val="32"/>
          <w:szCs w:val="32"/>
          <w:lang w:val="en-US" w:eastAsia="zh-CN" w:bidi="ar-SA"/>
        </w:rPr>
        <w:t>万元，全年预算数</w:t>
      </w:r>
      <w:r>
        <w:rPr>
          <w:rFonts w:hint="eastAsia" w:ascii="仿宋" w:hAnsi="仿宋" w:eastAsia="仿宋" w:cs="仿宋"/>
          <w:color w:val="333333"/>
          <w:sz w:val="32"/>
          <w:szCs w:val="32"/>
          <w:lang w:val="en-US" w:eastAsia="zh-CN"/>
        </w:rPr>
        <w:t>710.76</w:t>
      </w:r>
      <w:r>
        <w:rPr>
          <w:rFonts w:hint="eastAsia" w:ascii="仿宋" w:hAnsi="仿宋" w:eastAsia="仿宋" w:cs="仿宋"/>
          <w:b w:val="0"/>
          <w:bCs w:val="0"/>
          <w:color w:val="333333"/>
          <w:kern w:val="2"/>
          <w:sz w:val="32"/>
          <w:szCs w:val="32"/>
          <w:lang w:val="en-US" w:eastAsia="zh-CN" w:bidi="ar-SA"/>
        </w:rPr>
        <w:t>万元，全年执行数</w:t>
      </w:r>
      <w:r>
        <w:rPr>
          <w:rFonts w:hint="eastAsia" w:ascii="仿宋" w:hAnsi="仿宋" w:eastAsia="仿宋" w:cs="仿宋"/>
          <w:color w:val="333333"/>
          <w:sz w:val="32"/>
          <w:szCs w:val="32"/>
          <w:lang w:val="en-US" w:eastAsia="zh-CN"/>
        </w:rPr>
        <w:t>710.76</w:t>
      </w:r>
      <w:r>
        <w:rPr>
          <w:rFonts w:hint="eastAsia" w:ascii="仿宋" w:hAnsi="仿宋" w:eastAsia="仿宋" w:cs="仿宋"/>
          <w:b w:val="0"/>
          <w:bCs w:val="0"/>
          <w:color w:val="333333"/>
          <w:kern w:val="2"/>
          <w:sz w:val="32"/>
          <w:szCs w:val="32"/>
          <w:lang w:val="en-US" w:eastAsia="zh-CN" w:bidi="ar-SA"/>
        </w:rPr>
        <w:t>万元，预算执行率为100%。</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3、资金使用合规性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项目资金符合国家财经法规和财务管理制度以及有关专项资金管理办法的规定；资金的拨付有完整的审批程序和手续；符合项目预算批复或合同规定的用途；不存在截留、挤占、挪用、虚列支出等情况。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4、管理制度健全性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项目实施具有相应的财务《中华人民共和国会计法》、《行政事业单位财务规则》、《焉耆县卫健委内控制度》、预算管理制度、政府采购管理制度等业务管理制度；财务和业务管理制度合法、合规、完整。</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5、制度执行有效性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项目实施执行过程中遵守相关法律法规和相关管理规定；项目调整及支出调整手续完备；项目合同书、验收报告、技术鉴定等资料齐全并及时归档；项目实施的人员条件、场地设备等落实到位。</w:t>
      </w:r>
    </w:p>
    <w:p>
      <w:pPr>
        <w:pageBreakBefore w:val="0"/>
        <w:numPr>
          <w:ilvl w:val="0"/>
          <w:numId w:val="0"/>
        </w:numPr>
        <w:kinsoku/>
        <w:wordWrap/>
        <w:overflowPunct/>
        <w:topLinePunct w:val="0"/>
        <w:autoSpaceDE/>
        <w:autoSpaceDN/>
        <w:bidi w:val="0"/>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项目产出情况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color w:val="333333"/>
          <w:sz w:val="32"/>
          <w:szCs w:val="32"/>
          <w:lang w:val="en-US" w:eastAsia="zh-CN"/>
        </w:rPr>
        <w:t>1、</w:t>
      </w:r>
      <w:r>
        <w:rPr>
          <w:rFonts w:hint="eastAsia" w:ascii="仿宋" w:hAnsi="仿宋" w:eastAsia="仿宋" w:cs="仿宋"/>
          <w:color w:val="333333"/>
          <w:sz w:val="32"/>
          <w:szCs w:val="32"/>
        </w:rPr>
        <w:t>产出</w:t>
      </w:r>
      <w:r>
        <w:rPr>
          <w:rFonts w:hint="eastAsia" w:ascii="仿宋" w:hAnsi="仿宋" w:eastAsia="仿宋" w:cs="仿宋"/>
          <w:sz w:val="32"/>
          <w:szCs w:val="32"/>
        </w:rPr>
        <w:t>数量</w:t>
      </w:r>
      <w:r>
        <w:rPr>
          <w:rFonts w:hint="eastAsia" w:ascii="仿宋" w:hAnsi="仿宋" w:eastAsia="仿宋" w:cs="仿宋"/>
          <w:sz w:val="32"/>
          <w:szCs w:val="32"/>
          <w:lang w:eastAsia="zh-CN"/>
        </w:rPr>
        <w:t>数量</w:t>
      </w:r>
      <w:r>
        <w:rPr>
          <w:rFonts w:hint="eastAsia" w:ascii="仿宋" w:hAnsi="仿宋" w:eastAsia="仿宋" w:cs="仿宋"/>
          <w:color w:val="333333"/>
          <w:sz w:val="32"/>
          <w:szCs w:val="32"/>
        </w:rPr>
        <w:t>指标</w:t>
      </w:r>
      <w:r>
        <w:rPr>
          <w:rFonts w:hint="eastAsia" w:ascii="仿宋" w:hAnsi="仿宋" w:eastAsia="仿宋" w:cs="仿宋"/>
          <w:sz w:val="32"/>
          <w:szCs w:val="32"/>
          <w:lang w:val="en-US" w:eastAsia="zh-CN"/>
        </w:rPr>
        <w:t>,</w:t>
      </w:r>
      <w:r>
        <w:rPr>
          <w:rFonts w:hint="eastAsia" w:ascii="仿宋" w:hAnsi="仿宋" w:eastAsia="仿宋" w:cs="仿宋"/>
          <w:sz w:val="32"/>
          <w:szCs w:val="32"/>
        </w:rPr>
        <w:t>指标1：高血压患者管理人数</w:t>
      </w:r>
      <w:r>
        <w:rPr>
          <w:rFonts w:hint="eastAsia" w:ascii="仿宋" w:hAnsi="仿宋" w:eastAsia="仿宋" w:cs="仿宋"/>
          <w:sz w:val="32"/>
          <w:szCs w:val="32"/>
          <w:lang w:eastAsia="zh-CN"/>
        </w:rPr>
        <w:t>，</w:t>
      </w:r>
      <w:r>
        <w:rPr>
          <w:rFonts w:hint="eastAsia" w:ascii="仿宋" w:hAnsi="仿宋" w:eastAsia="仿宋" w:cs="仿宋"/>
          <w:sz w:val="32"/>
          <w:szCs w:val="32"/>
        </w:rPr>
        <w:t>指标值≥</w:t>
      </w:r>
      <w:r>
        <w:rPr>
          <w:rFonts w:hint="eastAsia" w:ascii="仿宋" w:hAnsi="仿宋" w:eastAsia="仿宋" w:cs="仿宋"/>
          <w:sz w:val="32"/>
          <w:szCs w:val="32"/>
          <w:lang w:val="en-US" w:eastAsia="zh-CN"/>
        </w:rPr>
        <w:t>9300人</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9877人</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106.2</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sz w:val="32"/>
          <w:szCs w:val="32"/>
          <w:lang w:eastAsia="zh-CN"/>
        </w:rPr>
        <w:t>指标</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2型人数糖尿病患者管理人数</w:t>
      </w:r>
      <w:r>
        <w:rPr>
          <w:rFonts w:hint="eastAsia" w:ascii="仿宋" w:hAnsi="仿宋" w:eastAsia="仿宋" w:cs="仿宋"/>
          <w:sz w:val="32"/>
          <w:szCs w:val="32"/>
        </w:rPr>
        <w:t>，指标值≥</w:t>
      </w:r>
      <w:r>
        <w:rPr>
          <w:rFonts w:hint="eastAsia" w:ascii="仿宋" w:hAnsi="仿宋" w:eastAsia="仿宋" w:cs="仿宋"/>
          <w:sz w:val="32"/>
          <w:szCs w:val="32"/>
          <w:lang w:val="en-US" w:eastAsia="zh-CN"/>
        </w:rPr>
        <w:t>3300人</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3599人</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109.06</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sz w:val="32"/>
          <w:szCs w:val="32"/>
          <w:lang w:eastAsia="zh-CN"/>
        </w:rPr>
        <w:t>；</w:t>
      </w:r>
      <w:r>
        <w:rPr>
          <w:rFonts w:hint="eastAsia" w:ascii="仿宋" w:hAnsi="仿宋" w:eastAsia="仿宋" w:cs="仿宋"/>
          <w:sz w:val="32"/>
          <w:szCs w:val="32"/>
        </w:rPr>
        <w:t>指标</w:t>
      </w:r>
      <w:r>
        <w:rPr>
          <w:rFonts w:hint="eastAsia" w:ascii="仿宋" w:hAnsi="仿宋" w:eastAsia="仿宋" w:cs="仿宋"/>
          <w:sz w:val="32"/>
          <w:szCs w:val="32"/>
          <w:lang w:val="en-US" w:eastAsia="zh-CN"/>
        </w:rPr>
        <w:t>3</w:t>
      </w:r>
      <w:r>
        <w:rPr>
          <w:rFonts w:hint="eastAsia" w:ascii="仿宋" w:hAnsi="仿宋" w:eastAsia="仿宋" w:cs="仿宋"/>
          <w:sz w:val="32"/>
          <w:szCs w:val="32"/>
        </w:rPr>
        <w:t>：适龄儿童国家免疫规划疫苗接种率</w:t>
      </w:r>
      <w:r>
        <w:rPr>
          <w:rFonts w:hint="eastAsia" w:ascii="仿宋" w:hAnsi="仿宋" w:eastAsia="仿宋" w:cs="仿宋"/>
          <w:sz w:val="32"/>
          <w:szCs w:val="32"/>
          <w:lang w:eastAsia="zh-CN"/>
        </w:rPr>
        <w:t>，</w:t>
      </w:r>
      <w:r>
        <w:rPr>
          <w:rFonts w:hint="eastAsia" w:ascii="仿宋" w:hAnsi="仿宋" w:eastAsia="仿宋" w:cs="仿宋"/>
          <w:sz w:val="32"/>
          <w:szCs w:val="32"/>
        </w:rPr>
        <w:t>指标值≥</w:t>
      </w:r>
      <w:r>
        <w:rPr>
          <w:rFonts w:hint="eastAsia" w:ascii="仿宋" w:hAnsi="仿宋" w:eastAsia="仿宋" w:cs="仿宋"/>
          <w:sz w:val="32"/>
          <w:szCs w:val="32"/>
          <w:lang w:val="en-US" w:eastAsia="zh-CN"/>
        </w:rPr>
        <w:t>90%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993.59%</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110.66</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sz w:val="32"/>
          <w:szCs w:val="32"/>
          <w:lang w:eastAsia="zh-CN"/>
        </w:rPr>
        <w:t>指标</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7岁以下儿童健康管理率</w:t>
      </w:r>
      <w:r>
        <w:rPr>
          <w:rFonts w:hint="eastAsia" w:ascii="仿宋" w:hAnsi="仿宋" w:eastAsia="仿宋" w:cs="仿宋"/>
          <w:sz w:val="32"/>
          <w:szCs w:val="32"/>
        </w:rPr>
        <w:t>，指标值≥</w:t>
      </w:r>
      <w:r>
        <w:rPr>
          <w:rFonts w:hint="eastAsia" w:ascii="仿宋" w:hAnsi="仿宋" w:eastAsia="仿宋" w:cs="仿宋"/>
          <w:sz w:val="32"/>
          <w:szCs w:val="32"/>
          <w:lang w:val="en-US" w:eastAsia="zh-CN"/>
        </w:rPr>
        <w:t>85%</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95.55%</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112.41</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sz w:val="32"/>
          <w:szCs w:val="32"/>
          <w:lang w:eastAsia="zh-CN"/>
        </w:rPr>
        <w:t>；</w:t>
      </w:r>
      <w:r>
        <w:rPr>
          <w:rFonts w:hint="eastAsia" w:ascii="仿宋" w:hAnsi="仿宋" w:eastAsia="仿宋" w:cs="仿宋"/>
          <w:sz w:val="32"/>
          <w:szCs w:val="32"/>
        </w:rPr>
        <w:t>指标</w:t>
      </w:r>
      <w:r>
        <w:rPr>
          <w:rFonts w:hint="eastAsia" w:ascii="仿宋" w:hAnsi="仿宋" w:eastAsia="仿宋" w:cs="仿宋"/>
          <w:sz w:val="32"/>
          <w:szCs w:val="32"/>
          <w:lang w:val="en-US" w:eastAsia="zh-CN"/>
        </w:rPr>
        <w:t>5</w:t>
      </w:r>
      <w:r>
        <w:rPr>
          <w:rFonts w:hint="eastAsia" w:ascii="仿宋" w:hAnsi="仿宋" w:eastAsia="仿宋" w:cs="仿宋"/>
          <w:sz w:val="32"/>
          <w:szCs w:val="32"/>
        </w:rPr>
        <w:t>：孕产妇系统管理率</w:t>
      </w:r>
      <w:r>
        <w:rPr>
          <w:rFonts w:hint="eastAsia" w:ascii="仿宋" w:hAnsi="仿宋" w:eastAsia="仿宋" w:cs="仿宋"/>
          <w:sz w:val="32"/>
          <w:szCs w:val="32"/>
          <w:lang w:eastAsia="zh-CN"/>
        </w:rPr>
        <w:t>，</w:t>
      </w:r>
      <w:r>
        <w:rPr>
          <w:rFonts w:hint="eastAsia" w:ascii="仿宋" w:hAnsi="仿宋" w:eastAsia="仿宋" w:cs="仿宋"/>
          <w:sz w:val="32"/>
          <w:szCs w:val="32"/>
        </w:rPr>
        <w:t>指标值≥</w:t>
      </w:r>
      <w:r>
        <w:rPr>
          <w:rFonts w:hint="eastAsia" w:ascii="仿宋" w:hAnsi="仿宋" w:eastAsia="仿宋" w:cs="仿宋"/>
          <w:sz w:val="32"/>
          <w:szCs w:val="32"/>
          <w:lang w:val="en-US" w:eastAsia="zh-CN"/>
        </w:rPr>
        <w:t>90%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93.63%</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104.03</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偏差原因：加大城乡居民基本公共卫生服务工作力度，超额完成工作任务；指标</w:t>
      </w:r>
      <w:r>
        <w:rPr>
          <w:rFonts w:hint="eastAsia" w:ascii="仿宋" w:hAnsi="仿宋" w:eastAsia="仿宋" w:cs="仿宋"/>
          <w:sz w:val="32"/>
          <w:szCs w:val="32"/>
          <w:lang w:val="en-US" w:eastAsia="zh-CN"/>
        </w:rPr>
        <w:t>6</w:t>
      </w:r>
      <w:r>
        <w:rPr>
          <w:rFonts w:hint="eastAsia" w:ascii="仿宋" w:hAnsi="仿宋" w:eastAsia="仿宋" w:cs="仿宋"/>
          <w:sz w:val="32"/>
          <w:szCs w:val="32"/>
        </w:rPr>
        <w:t>：肺结核患者管理率</w:t>
      </w:r>
      <w:r>
        <w:rPr>
          <w:rFonts w:hint="eastAsia" w:ascii="仿宋" w:hAnsi="仿宋" w:eastAsia="仿宋" w:cs="仿宋"/>
          <w:sz w:val="32"/>
          <w:szCs w:val="32"/>
          <w:lang w:eastAsia="zh-CN"/>
        </w:rPr>
        <w:t>，</w:t>
      </w:r>
      <w:r>
        <w:rPr>
          <w:rFonts w:hint="eastAsia" w:ascii="仿宋" w:hAnsi="仿宋" w:eastAsia="仿宋" w:cs="仿宋"/>
          <w:sz w:val="32"/>
          <w:szCs w:val="32"/>
        </w:rPr>
        <w:t>指标值≥</w:t>
      </w:r>
      <w:r>
        <w:rPr>
          <w:rFonts w:hint="eastAsia" w:ascii="仿宋" w:hAnsi="仿宋" w:eastAsia="仿宋" w:cs="仿宋"/>
          <w:sz w:val="32"/>
          <w:szCs w:val="32"/>
          <w:lang w:val="en-US" w:eastAsia="zh-CN"/>
        </w:rPr>
        <w:t>90%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111.11</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偏差原因：加大城乡居民基本公共卫生服务工作力度，超额完成工作任务；指标</w:t>
      </w:r>
      <w:r>
        <w:rPr>
          <w:rFonts w:hint="eastAsia" w:ascii="仿宋" w:hAnsi="仿宋" w:eastAsia="仿宋" w:cs="仿宋"/>
          <w:sz w:val="32"/>
          <w:szCs w:val="32"/>
          <w:lang w:val="en-US" w:eastAsia="zh-CN"/>
        </w:rPr>
        <w:t>7</w:t>
      </w:r>
      <w:r>
        <w:rPr>
          <w:rFonts w:hint="eastAsia" w:ascii="仿宋" w:hAnsi="仿宋" w:eastAsia="仿宋" w:cs="仿宋"/>
          <w:sz w:val="32"/>
          <w:szCs w:val="32"/>
        </w:rPr>
        <w:t>：社区在册居家严重精神障碍患者健康管理率</w:t>
      </w:r>
      <w:r>
        <w:rPr>
          <w:rFonts w:hint="eastAsia" w:ascii="仿宋" w:hAnsi="仿宋" w:eastAsia="仿宋" w:cs="仿宋"/>
          <w:sz w:val="32"/>
          <w:szCs w:val="32"/>
          <w:lang w:eastAsia="zh-CN"/>
        </w:rPr>
        <w:t>，</w:t>
      </w:r>
      <w:r>
        <w:rPr>
          <w:rFonts w:hint="eastAsia" w:ascii="仿宋" w:hAnsi="仿宋" w:eastAsia="仿宋" w:cs="仿宋"/>
          <w:sz w:val="32"/>
          <w:szCs w:val="32"/>
        </w:rPr>
        <w:t>指标值≥</w:t>
      </w:r>
      <w:r>
        <w:rPr>
          <w:rFonts w:hint="eastAsia" w:ascii="仿宋" w:hAnsi="仿宋" w:eastAsia="仿宋" w:cs="仿宋"/>
          <w:sz w:val="32"/>
          <w:szCs w:val="32"/>
          <w:lang w:val="en-US" w:eastAsia="zh-CN"/>
        </w:rPr>
        <w:t>80%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89.09%</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111.36</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偏差原因：加大城乡居民基本公共卫生服务工作力度，超额完成工作任务；指标</w:t>
      </w:r>
      <w:r>
        <w:rPr>
          <w:rFonts w:hint="eastAsia" w:ascii="仿宋" w:hAnsi="仿宋" w:eastAsia="仿宋" w:cs="仿宋"/>
          <w:sz w:val="32"/>
          <w:szCs w:val="32"/>
          <w:lang w:val="en-US" w:eastAsia="zh-CN"/>
        </w:rPr>
        <w:t>8</w:t>
      </w:r>
      <w:r>
        <w:rPr>
          <w:rFonts w:hint="eastAsia" w:ascii="仿宋" w:hAnsi="仿宋" w:eastAsia="仿宋" w:cs="仿宋"/>
          <w:sz w:val="32"/>
          <w:szCs w:val="32"/>
        </w:rPr>
        <w:t>：儿童中医药健康管理率</w:t>
      </w:r>
      <w:r>
        <w:rPr>
          <w:rFonts w:hint="eastAsia" w:ascii="仿宋" w:hAnsi="仿宋" w:eastAsia="仿宋" w:cs="仿宋"/>
          <w:sz w:val="32"/>
          <w:szCs w:val="32"/>
          <w:lang w:eastAsia="zh-CN"/>
        </w:rPr>
        <w:t>，</w:t>
      </w:r>
      <w:r>
        <w:rPr>
          <w:rFonts w:hint="eastAsia" w:ascii="仿宋" w:hAnsi="仿宋" w:eastAsia="仿宋" w:cs="仿宋"/>
          <w:sz w:val="32"/>
          <w:szCs w:val="32"/>
        </w:rPr>
        <w:t>指标值≥</w:t>
      </w:r>
      <w:r>
        <w:rPr>
          <w:rFonts w:hint="eastAsia" w:ascii="仿宋" w:hAnsi="仿宋" w:eastAsia="仿宋" w:cs="仿宋"/>
          <w:sz w:val="32"/>
          <w:szCs w:val="32"/>
          <w:lang w:val="en-US" w:eastAsia="zh-CN"/>
        </w:rPr>
        <w:t>60%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79.87%次</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133.12</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偏差原因：加大城乡居民基本公共卫生服务工作力度，超额完成工作任务；指标</w:t>
      </w:r>
      <w:r>
        <w:rPr>
          <w:rFonts w:hint="eastAsia" w:ascii="仿宋" w:hAnsi="仿宋" w:eastAsia="仿宋" w:cs="仿宋"/>
          <w:sz w:val="32"/>
          <w:szCs w:val="32"/>
          <w:lang w:val="en-US" w:eastAsia="zh-CN"/>
        </w:rPr>
        <w:t>8</w:t>
      </w:r>
      <w:r>
        <w:rPr>
          <w:rFonts w:hint="eastAsia" w:ascii="仿宋" w:hAnsi="仿宋" w:eastAsia="仿宋" w:cs="仿宋"/>
          <w:sz w:val="32"/>
          <w:szCs w:val="32"/>
        </w:rPr>
        <w:t>：老年人中医药健康管理率</w:t>
      </w:r>
      <w:r>
        <w:rPr>
          <w:rFonts w:hint="eastAsia" w:ascii="仿宋" w:hAnsi="仿宋" w:eastAsia="仿宋" w:cs="仿宋"/>
          <w:sz w:val="32"/>
          <w:szCs w:val="32"/>
          <w:lang w:eastAsia="zh-CN"/>
        </w:rPr>
        <w:t>，</w:t>
      </w:r>
      <w:r>
        <w:rPr>
          <w:rFonts w:hint="eastAsia" w:ascii="仿宋" w:hAnsi="仿宋" w:eastAsia="仿宋" w:cs="仿宋"/>
          <w:sz w:val="32"/>
          <w:szCs w:val="32"/>
        </w:rPr>
        <w:t>指标值≥</w:t>
      </w:r>
      <w:r>
        <w:rPr>
          <w:rFonts w:hint="eastAsia" w:ascii="仿宋" w:hAnsi="仿宋" w:eastAsia="仿宋" w:cs="仿宋"/>
          <w:sz w:val="32"/>
          <w:szCs w:val="32"/>
          <w:lang w:val="en-US" w:eastAsia="zh-CN"/>
        </w:rPr>
        <w:t>60%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88.14%次</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146.9</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偏差原因：加大城乡居民基本公共卫生服务工作力度，超额完成工作任务；指标</w:t>
      </w:r>
      <w:r>
        <w:rPr>
          <w:rFonts w:hint="eastAsia" w:ascii="仿宋" w:hAnsi="仿宋" w:eastAsia="仿宋" w:cs="仿宋"/>
          <w:sz w:val="32"/>
          <w:szCs w:val="32"/>
          <w:lang w:val="en-US" w:eastAsia="zh-CN"/>
        </w:rPr>
        <w:t>9</w:t>
      </w:r>
      <w:r>
        <w:rPr>
          <w:rFonts w:hint="eastAsia" w:ascii="仿宋" w:hAnsi="仿宋" w:eastAsia="仿宋" w:cs="仿宋"/>
          <w:sz w:val="32"/>
          <w:szCs w:val="32"/>
        </w:rPr>
        <w:t>：目标人群叶酸服用率</w:t>
      </w:r>
      <w:r>
        <w:rPr>
          <w:rFonts w:hint="eastAsia" w:ascii="仿宋" w:hAnsi="仿宋" w:eastAsia="仿宋" w:cs="仿宋"/>
          <w:sz w:val="32"/>
          <w:szCs w:val="32"/>
          <w:lang w:eastAsia="zh-CN"/>
        </w:rPr>
        <w:t>，</w:t>
      </w:r>
      <w:r>
        <w:rPr>
          <w:rFonts w:hint="eastAsia" w:ascii="仿宋" w:hAnsi="仿宋" w:eastAsia="仿宋" w:cs="仿宋"/>
          <w:sz w:val="32"/>
          <w:szCs w:val="32"/>
        </w:rPr>
        <w:t>指标值≥</w:t>
      </w:r>
      <w:r>
        <w:rPr>
          <w:rFonts w:hint="eastAsia" w:ascii="仿宋" w:hAnsi="仿宋" w:eastAsia="仿宋" w:cs="仿宋"/>
          <w:sz w:val="32"/>
          <w:szCs w:val="32"/>
          <w:lang w:val="en-US" w:eastAsia="zh-CN"/>
        </w:rPr>
        <w:t>90%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90%次</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w:t>
      </w:r>
      <w:r>
        <w:rPr>
          <w:rFonts w:hint="eastAsia" w:ascii="仿宋" w:hAnsi="仿宋" w:eastAsia="仿宋" w:cs="仿宋"/>
          <w:sz w:val="32"/>
          <w:szCs w:val="32"/>
          <w:lang w:eastAsia="zh-CN"/>
        </w:rPr>
        <w:t>无</w:t>
      </w:r>
      <w:r>
        <w:rPr>
          <w:rFonts w:hint="eastAsia" w:ascii="仿宋" w:hAnsi="仿宋" w:eastAsia="仿宋" w:cs="仿宋"/>
          <w:sz w:val="32"/>
          <w:szCs w:val="32"/>
        </w:rPr>
        <w:t>；根据评分标准，该指标不扣分</w:t>
      </w:r>
      <w:r>
        <w:rPr>
          <w:rFonts w:hint="eastAsia" w:ascii="仿宋" w:hAnsi="仿宋" w:eastAsia="仿宋" w:cs="仿宋"/>
          <w:color w:val="auto"/>
          <w:sz w:val="32"/>
          <w:szCs w:val="32"/>
        </w:rPr>
        <w:t>。</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color w:val="333333"/>
          <w:sz w:val="32"/>
          <w:szCs w:val="32"/>
          <w:lang w:val="en-US" w:eastAsia="zh-CN"/>
        </w:rPr>
        <w:t>2、</w:t>
      </w:r>
      <w:r>
        <w:rPr>
          <w:rFonts w:hint="eastAsia" w:ascii="仿宋" w:hAnsi="仿宋" w:eastAsia="仿宋" w:cs="仿宋"/>
          <w:color w:val="333333"/>
          <w:sz w:val="32"/>
          <w:szCs w:val="32"/>
        </w:rPr>
        <w:t>产出</w:t>
      </w:r>
      <w:r>
        <w:rPr>
          <w:rFonts w:hint="eastAsia" w:ascii="仿宋" w:hAnsi="仿宋" w:eastAsia="仿宋" w:cs="仿宋"/>
          <w:sz w:val="32"/>
          <w:szCs w:val="32"/>
          <w:lang w:eastAsia="zh-CN"/>
        </w:rPr>
        <w:t>质</w:t>
      </w:r>
      <w:r>
        <w:rPr>
          <w:rFonts w:hint="eastAsia" w:ascii="仿宋" w:hAnsi="仿宋" w:eastAsia="仿宋" w:cs="仿宋"/>
          <w:sz w:val="32"/>
          <w:szCs w:val="32"/>
        </w:rPr>
        <w:t>量</w:t>
      </w:r>
      <w:r>
        <w:rPr>
          <w:rFonts w:hint="eastAsia" w:ascii="仿宋" w:hAnsi="仿宋" w:eastAsia="仿宋" w:cs="仿宋"/>
          <w:color w:val="333333"/>
          <w:sz w:val="32"/>
          <w:szCs w:val="32"/>
        </w:rPr>
        <w:t>指标</w:t>
      </w:r>
      <w:r>
        <w:rPr>
          <w:rFonts w:hint="eastAsia" w:ascii="仿宋" w:hAnsi="仿宋" w:eastAsia="仿宋" w:cs="仿宋"/>
          <w:color w:val="333333"/>
          <w:sz w:val="32"/>
          <w:szCs w:val="32"/>
          <w:lang w:val="en-US" w:eastAsia="zh-CN"/>
        </w:rPr>
        <w:t>,</w:t>
      </w:r>
      <w:r>
        <w:rPr>
          <w:rFonts w:hint="eastAsia" w:ascii="仿宋" w:hAnsi="仿宋" w:eastAsia="仿宋" w:cs="仿宋"/>
          <w:color w:val="auto"/>
          <w:sz w:val="32"/>
          <w:szCs w:val="32"/>
        </w:rPr>
        <w:t>指标1：居民规范化电子健康档案覆盖率，指标值：≥</w:t>
      </w:r>
      <w:r>
        <w:rPr>
          <w:rFonts w:hint="eastAsia" w:ascii="仿宋" w:hAnsi="仿宋" w:eastAsia="仿宋" w:cs="仿宋"/>
          <w:color w:val="auto"/>
          <w:sz w:val="32"/>
          <w:szCs w:val="32"/>
          <w:lang w:val="en-US" w:eastAsia="zh-CN"/>
        </w:rPr>
        <w:t>62</w:t>
      </w:r>
      <w:r>
        <w:rPr>
          <w:rFonts w:hint="eastAsia" w:ascii="仿宋" w:hAnsi="仿宋" w:eastAsia="仿宋" w:cs="仿宋"/>
          <w:color w:val="auto"/>
          <w:sz w:val="32"/>
          <w:szCs w:val="32"/>
        </w:rPr>
        <w:t>% ，实际完成值</w:t>
      </w:r>
      <w:r>
        <w:rPr>
          <w:rFonts w:hint="eastAsia" w:ascii="仿宋" w:hAnsi="仿宋" w:eastAsia="仿宋" w:cs="仿宋"/>
          <w:color w:val="auto"/>
          <w:sz w:val="32"/>
          <w:szCs w:val="32"/>
          <w:lang w:val="en-US" w:eastAsia="zh-CN"/>
        </w:rPr>
        <w:t>84.13</w:t>
      </w:r>
      <w:r>
        <w:rPr>
          <w:rFonts w:hint="eastAsia" w:ascii="仿宋" w:hAnsi="仿宋" w:eastAsia="仿宋" w:cs="仿宋"/>
          <w:color w:val="auto"/>
          <w:sz w:val="32"/>
          <w:szCs w:val="32"/>
        </w:rPr>
        <w:t>%，指标完成率</w:t>
      </w:r>
      <w:r>
        <w:rPr>
          <w:rFonts w:hint="eastAsia" w:ascii="仿宋" w:hAnsi="仿宋" w:eastAsia="仿宋" w:cs="仿宋"/>
          <w:color w:val="auto"/>
          <w:sz w:val="32"/>
          <w:szCs w:val="32"/>
          <w:lang w:val="en-US" w:eastAsia="zh-CN"/>
        </w:rPr>
        <w:t>135.69</w:t>
      </w:r>
      <w:r>
        <w:rPr>
          <w:rFonts w:hint="eastAsia" w:ascii="仿宋" w:hAnsi="仿宋" w:eastAsia="仿宋" w:cs="仿宋"/>
          <w:color w:val="auto"/>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color w:val="auto"/>
          <w:sz w:val="32"/>
          <w:szCs w:val="32"/>
        </w:rPr>
        <w:t>；指标2：高血压患者基层规范管理服务率，指标值：≥</w:t>
      </w:r>
      <w:r>
        <w:rPr>
          <w:rFonts w:hint="eastAsia" w:ascii="仿宋" w:hAnsi="仿宋" w:eastAsia="仿宋" w:cs="仿宋"/>
          <w:color w:val="auto"/>
          <w:sz w:val="32"/>
          <w:szCs w:val="32"/>
          <w:lang w:val="en-US" w:eastAsia="zh-CN"/>
        </w:rPr>
        <w:t>62</w:t>
      </w:r>
      <w:r>
        <w:rPr>
          <w:rFonts w:hint="eastAsia" w:ascii="仿宋" w:hAnsi="仿宋" w:eastAsia="仿宋" w:cs="仿宋"/>
          <w:color w:val="auto"/>
          <w:sz w:val="32"/>
          <w:szCs w:val="32"/>
        </w:rPr>
        <w:t>%，实际完成值</w:t>
      </w:r>
      <w:r>
        <w:rPr>
          <w:rFonts w:hint="eastAsia" w:ascii="仿宋" w:hAnsi="仿宋" w:eastAsia="仿宋" w:cs="仿宋"/>
          <w:color w:val="auto"/>
          <w:sz w:val="32"/>
          <w:szCs w:val="32"/>
          <w:lang w:val="en-US" w:eastAsia="zh-CN"/>
        </w:rPr>
        <w:t>81.96</w:t>
      </w:r>
      <w:r>
        <w:rPr>
          <w:rFonts w:hint="eastAsia" w:ascii="仿宋" w:hAnsi="仿宋" w:eastAsia="仿宋" w:cs="仿宋"/>
          <w:color w:val="auto"/>
          <w:sz w:val="32"/>
          <w:szCs w:val="32"/>
        </w:rPr>
        <w:t>%，指标完成率</w:t>
      </w:r>
      <w:r>
        <w:rPr>
          <w:rFonts w:hint="eastAsia" w:ascii="仿宋" w:hAnsi="仿宋" w:eastAsia="仿宋" w:cs="仿宋"/>
          <w:color w:val="auto"/>
          <w:sz w:val="32"/>
          <w:szCs w:val="32"/>
          <w:lang w:val="en-US" w:eastAsia="zh-CN"/>
        </w:rPr>
        <w:t>131.76</w:t>
      </w:r>
      <w:r>
        <w:rPr>
          <w:rFonts w:hint="eastAsia" w:ascii="仿宋" w:hAnsi="仿宋" w:eastAsia="仿宋" w:cs="仿宋"/>
          <w:color w:val="auto"/>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color w:val="auto"/>
          <w:sz w:val="32"/>
          <w:szCs w:val="32"/>
        </w:rPr>
        <w:t>；指标3：2型糖尿病患者基层规范管理服务率，指标值：≥</w:t>
      </w:r>
      <w:r>
        <w:rPr>
          <w:rFonts w:hint="eastAsia" w:ascii="仿宋" w:hAnsi="仿宋" w:eastAsia="仿宋" w:cs="仿宋"/>
          <w:color w:val="auto"/>
          <w:sz w:val="32"/>
          <w:szCs w:val="32"/>
          <w:lang w:val="en-US" w:eastAsia="zh-CN"/>
        </w:rPr>
        <w:t>62</w:t>
      </w:r>
      <w:r>
        <w:rPr>
          <w:rFonts w:hint="eastAsia" w:ascii="仿宋" w:hAnsi="仿宋" w:eastAsia="仿宋" w:cs="仿宋"/>
          <w:color w:val="auto"/>
          <w:sz w:val="32"/>
          <w:szCs w:val="32"/>
        </w:rPr>
        <w:t>%，实际完成值</w:t>
      </w:r>
      <w:r>
        <w:rPr>
          <w:rFonts w:hint="eastAsia" w:ascii="仿宋" w:hAnsi="仿宋" w:eastAsia="仿宋" w:cs="仿宋"/>
          <w:color w:val="auto"/>
          <w:sz w:val="32"/>
          <w:szCs w:val="32"/>
          <w:lang w:val="en-US" w:eastAsia="zh-CN"/>
        </w:rPr>
        <w:t>80.08</w:t>
      </w:r>
      <w:r>
        <w:rPr>
          <w:rFonts w:hint="eastAsia" w:ascii="仿宋" w:hAnsi="仿宋" w:eastAsia="仿宋" w:cs="仿宋"/>
          <w:color w:val="auto"/>
          <w:sz w:val="32"/>
          <w:szCs w:val="32"/>
        </w:rPr>
        <w:t>% ，指标完成率</w:t>
      </w:r>
      <w:r>
        <w:rPr>
          <w:rFonts w:hint="eastAsia" w:ascii="仿宋" w:hAnsi="仿宋" w:eastAsia="仿宋" w:cs="仿宋"/>
          <w:color w:val="auto"/>
          <w:sz w:val="32"/>
          <w:szCs w:val="32"/>
          <w:lang w:val="en-US" w:eastAsia="zh-CN"/>
        </w:rPr>
        <w:t>111.07</w:t>
      </w:r>
      <w:r>
        <w:rPr>
          <w:rFonts w:hint="eastAsia" w:ascii="仿宋" w:hAnsi="仿宋" w:eastAsia="仿宋" w:cs="仿宋"/>
          <w:color w:val="auto"/>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sz w:val="32"/>
          <w:szCs w:val="32"/>
          <w:lang w:eastAsia="zh-CN"/>
        </w:rPr>
        <w:t>；</w:t>
      </w:r>
      <w:r>
        <w:rPr>
          <w:rFonts w:hint="eastAsia" w:ascii="仿宋" w:hAnsi="仿宋" w:eastAsia="仿宋" w:cs="仿宋"/>
          <w:color w:val="auto"/>
          <w:sz w:val="32"/>
          <w:szCs w:val="32"/>
        </w:rPr>
        <w:t>指标4</w:t>
      </w:r>
      <w:r>
        <w:rPr>
          <w:rFonts w:hint="eastAsia" w:ascii="仿宋" w:hAnsi="仿宋" w:eastAsia="仿宋" w:cs="仿宋"/>
          <w:color w:val="auto"/>
          <w:sz w:val="32"/>
          <w:szCs w:val="32"/>
          <w:lang w:eastAsia="zh-CN"/>
        </w:rPr>
        <w:t>：</w:t>
      </w:r>
      <w:r>
        <w:rPr>
          <w:rFonts w:hint="eastAsia" w:ascii="仿宋" w:hAnsi="仿宋" w:eastAsia="仿宋" w:cs="仿宋"/>
          <w:sz w:val="32"/>
          <w:szCs w:val="32"/>
          <w:lang w:eastAsia="zh-CN"/>
        </w:rPr>
        <w:t>65岁及以上老年人城乡社区规范健康管理服务率，</w:t>
      </w:r>
      <w:r>
        <w:rPr>
          <w:rFonts w:hint="eastAsia" w:ascii="仿宋" w:hAnsi="仿宋" w:eastAsia="仿宋" w:cs="仿宋"/>
          <w:color w:val="auto"/>
          <w:sz w:val="32"/>
          <w:szCs w:val="32"/>
        </w:rPr>
        <w:t>指标值：≥</w:t>
      </w:r>
      <w:r>
        <w:rPr>
          <w:rFonts w:hint="eastAsia" w:ascii="仿宋" w:hAnsi="仿宋" w:eastAsia="仿宋" w:cs="仿宋"/>
          <w:color w:val="auto"/>
          <w:sz w:val="32"/>
          <w:szCs w:val="32"/>
          <w:lang w:val="en-US" w:eastAsia="zh-CN"/>
        </w:rPr>
        <w:t>67</w:t>
      </w:r>
      <w:r>
        <w:rPr>
          <w:rFonts w:hint="eastAsia" w:ascii="仿宋" w:hAnsi="仿宋" w:eastAsia="仿宋" w:cs="仿宋"/>
          <w:color w:val="auto"/>
          <w:sz w:val="32"/>
          <w:szCs w:val="32"/>
        </w:rPr>
        <w:t>%，实际完成值</w:t>
      </w:r>
      <w:r>
        <w:rPr>
          <w:rFonts w:hint="eastAsia" w:ascii="仿宋" w:hAnsi="仿宋" w:eastAsia="仿宋" w:cs="仿宋"/>
          <w:color w:val="auto"/>
          <w:sz w:val="32"/>
          <w:szCs w:val="32"/>
          <w:lang w:val="en-US" w:eastAsia="zh-CN"/>
        </w:rPr>
        <w:t>74.42</w:t>
      </w:r>
      <w:r>
        <w:rPr>
          <w:rFonts w:hint="eastAsia" w:ascii="仿宋" w:hAnsi="仿宋" w:eastAsia="仿宋" w:cs="仿宋"/>
          <w:color w:val="auto"/>
          <w:sz w:val="32"/>
          <w:szCs w:val="32"/>
        </w:rPr>
        <w:t>% ，指标完成率</w:t>
      </w:r>
      <w:r>
        <w:rPr>
          <w:rFonts w:hint="eastAsia" w:ascii="仿宋" w:hAnsi="仿宋" w:eastAsia="仿宋" w:cs="仿宋"/>
          <w:color w:val="auto"/>
          <w:sz w:val="32"/>
          <w:szCs w:val="32"/>
          <w:lang w:val="en-US" w:eastAsia="zh-CN"/>
        </w:rPr>
        <w:t>125</w:t>
      </w:r>
      <w:r>
        <w:rPr>
          <w:rFonts w:hint="eastAsia" w:ascii="仿宋" w:hAnsi="仿宋" w:eastAsia="仿宋" w:cs="仿宋"/>
          <w:color w:val="auto"/>
          <w:sz w:val="32"/>
          <w:szCs w:val="32"/>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color w:val="auto"/>
          <w:sz w:val="32"/>
          <w:szCs w:val="32"/>
        </w:rPr>
        <w:t>；指标</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：双随机监督抽查完成率，指标值：≥</w:t>
      </w:r>
      <w:r>
        <w:rPr>
          <w:rFonts w:hint="eastAsia" w:ascii="仿宋" w:hAnsi="仿宋" w:eastAsia="仿宋" w:cs="仿宋"/>
          <w:color w:val="auto"/>
          <w:sz w:val="32"/>
          <w:szCs w:val="32"/>
          <w:lang w:val="en-US" w:eastAsia="zh-CN"/>
        </w:rPr>
        <w:t>80</w:t>
      </w:r>
      <w:r>
        <w:rPr>
          <w:rFonts w:hint="eastAsia" w:ascii="仿宋" w:hAnsi="仿宋" w:eastAsia="仿宋" w:cs="仿宋"/>
          <w:color w:val="auto"/>
          <w:sz w:val="32"/>
          <w:szCs w:val="32"/>
        </w:rPr>
        <w:t>%，实际完成值</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 ，指标完成率</w:t>
      </w:r>
      <w:r>
        <w:rPr>
          <w:rFonts w:hint="eastAsia" w:ascii="仿宋" w:hAnsi="仿宋" w:eastAsia="仿宋" w:cs="仿宋"/>
          <w:color w:val="auto"/>
          <w:sz w:val="32"/>
          <w:szCs w:val="32"/>
          <w:lang w:val="en-US" w:eastAsia="zh-CN"/>
        </w:rPr>
        <w:t>125</w:t>
      </w:r>
      <w:r>
        <w:rPr>
          <w:rFonts w:hint="eastAsia" w:ascii="仿宋" w:hAnsi="仿宋" w:eastAsia="仿宋" w:cs="仿宋"/>
          <w:color w:val="auto"/>
          <w:sz w:val="32"/>
          <w:szCs w:val="32"/>
        </w:rPr>
        <w:t>%；</w:t>
      </w:r>
      <w:r>
        <w:rPr>
          <w:rFonts w:hint="eastAsia" w:ascii="仿宋" w:hAnsi="仿宋" w:eastAsia="仿宋" w:cs="仿宋"/>
          <w:sz w:val="32"/>
          <w:szCs w:val="32"/>
        </w:rPr>
        <w:t>偏差原因：加大城乡居民基本公共卫生服务工作力度，超额完成工作任务</w:t>
      </w:r>
      <w:r>
        <w:rPr>
          <w:rFonts w:hint="eastAsia" w:ascii="仿宋" w:hAnsi="仿宋" w:eastAsia="仿宋" w:cs="仿宋"/>
          <w:color w:val="auto"/>
          <w:sz w:val="32"/>
          <w:szCs w:val="32"/>
        </w:rPr>
        <w:t>；根据评分标准，该指标不扣分。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333333"/>
          <w:sz w:val="32"/>
          <w:szCs w:val="32"/>
          <w:lang w:val="en-US" w:eastAsia="zh-CN"/>
        </w:rPr>
        <w:t>3、</w:t>
      </w:r>
      <w:r>
        <w:rPr>
          <w:rFonts w:hint="eastAsia" w:ascii="仿宋" w:hAnsi="仿宋" w:eastAsia="仿宋" w:cs="仿宋"/>
          <w:color w:val="333333"/>
          <w:sz w:val="32"/>
          <w:szCs w:val="32"/>
        </w:rPr>
        <w:t>时效指标，</w:t>
      </w:r>
      <w:r>
        <w:rPr>
          <w:rFonts w:hint="eastAsia" w:ascii="仿宋" w:hAnsi="仿宋" w:eastAsia="仿宋" w:cs="仿宋"/>
          <w:sz w:val="32"/>
          <w:szCs w:val="32"/>
        </w:rPr>
        <w:t xml:space="preserve"> 时效指标：指标1：基本公共卫生服务经费拨付及时率，指标值：</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90</w:t>
      </w:r>
      <w:r>
        <w:rPr>
          <w:rFonts w:hint="eastAsia" w:ascii="仿宋" w:hAnsi="仿宋" w:eastAsia="仿宋" w:cs="仿宋"/>
          <w:color w:val="auto"/>
          <w:sz w:val="32"/>
          <w:szCs w:val="32"/>
        </w:rPr>
        <w:t>%</w:t>
      </w:r>
      <w:r>
        <w:rPr>
          <w:rFonts w:hint="eastAsia" w:ascii="仿宋" w:hAnsi="仿宋" w:eastAsia="仿宋" w:cs="仿宋"/>
          <w:sz w:val="32"/>
          <w:szCs w:val="32"/>
        </w:rPr>
        <w:t>，实际完成值</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100</w:t>
      </w:r>
      <w:r>
        <w:rPr>
          <w:rFonts w:hint="eastAsia" w:ascii="仿宋" w:hAnsi="仿宋" w:eastAsia="仿宋" w:cs="仿宋"/>
          <w:sz w:val="32"/>
          <w:szCs w:val="32"/>
        </w:rPr>
        <w:t>%，偏差原因：</w:t>
      </w:r>
      <w:r>
        <w:rPr>
          <w:rFonts w:hint="eastAsia" w:ascii="仿宋" w:hAnsi="仿宋" w:eastAsia="仿宋" w:cs="仿宋"/>
          <w:sz w:val="32"/>
          <w:szCs w:val="32"/>
          <w:lang w:eastAsia="zh-CN"/>
        </w:rPr>
        <w:t>根据实际完成情况及时支付资金</w:t>
      </w:r>
      <w:r>
        <w:rPr>
          <w:rFonts w:hint="eastAsia" w:ascii="仿宋" w:hAnsi="仿宋" w:eastAsia="仿宋" w:cs="仿宋"/>
          <w:sz w:val="32"/>
          <w:szCs w:val="32"/>
          <w:lang w:val="en-US" w:eastAsia="zh-CN"/>
        </w:rPr>
        <w:t>；</w:t>
      </w:r>
      <w:r>
        <w:rPr>
          <w:rFonts w:hint="eastAsia" w:ascii="仿宋" w:hAnsi="仿宋" w:eastAsia="仿宋" w:cs="仿宋"/>
          <w:sz w:val="32"/>
          <w:szCs w:val="32"/>
        </w:rPr>
        <w:t>根据评分标准，该指标</w:t>
      </w:r>
      <w:r>
        <w:rPr>
          <w:rFonts w:hint="eastAsia" w:ascii="仿宋" w:hAnsi="仿宋" w:eastAsia="仿宋" w:cs="仿宋"/>
          <w:sz w:val="32"/>
          <w:szCs w:val="32"/>
          <w:lang w:eastAsia="zh-CN"/>
        </w:rPr>
        <w:t>不扣</w:t>
      </w:r>
      <w:r>
        <w:rPr>
          <w:rFonts w:hint="eastAsia" w:ascii="仿宋" w:hAnsi="仿宋" w:eastAsia="仿宋" w:cs="仿宋"/>
          <w:sz w:val="32"/>
          <w:szCs w:val="32"/>
          <w:lang w:val="en-US" w:eastAsia="zh-CN"/>
        </w:rPr>
        <w:t>分</w:t>
      </w:r>
      <w:r>
        <w:rPr>
          <w:rFonts w:hint="eastAsia" w:ascii="仿宋" w:hAnsi="仿宋" w:eastAsia="仿宋" w:cs="仿宋"/>
          <w:sz w:val="32"/>
          <w:szCs w:val="32"/>
        </w:rPr>
        <w:t>。</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lang w:val="en-US" w:eastAsia="zh-CN"/>
        </w:rPr>
        <w:t>4.</w:t>
      </w:r>
      <w:r>
        <w:rPr>
          <w:rFonts w:hint="eastAsia" w:ascii="仿宋" w:hAnsi="仿宋" w:eastAsia="仿宋" w:cs="仿宋"/>
          <w:color w:val="333333"/>
          <w:sz w:val="32"/>
          <w:szCs w:val="32"/>
        </w:rPr>
        <w:t>成本指标，</w:t>
      </w:r>
      <w:r>
        <w:rPr>
          <w:rFonts w:hint="eastAsia" w:ascii="仿宋" w:hAnsi="仿宋" w:eastAsia="仿宋" w:cs="仿宋"/>
          <w:sz w:val="32"/>
          <w:szCs w:val="32"/>
        </w:rPr>
        <w:t>指标1</w:t>
      </w:r>
      <w:r>
        <w:rPr>
          <w:rFonts w:hint="eastAsia" w:ascii="仿宋" w:hAnsi="仿宋" w:eastAsia="仿宋" w:cs="仿宋"/>
          <w:sz w:val="32"/>
          <w:szCs w:val="32"/>
          <w:lang w:eastAsia="zh-CN"/>
        </w:rPr>
        <w:t>：</w:t>
      </w:r>
      <w:r>
        <w:rPr>
          <w:rFonts w:hint="eastAsia" w:ascii="仿宋" w:hAnsi="仿宋" w:eastAsia="仿宋" w:cs="仿宋"/>
          <w:sz w:val="32"/>
          <w:szCs w:val="32"/>
        </w:rPr>
        <w:t>基项目预算控制率，指标值：</w:t>
      </w:r>
      <w:r>
        <w:rPr>
          <w:rFonts w:hint="default" w:ascii="Arial" w:hAnsi="Arial" w:eastAsia="仿宋" w:cs="Arial"/>
          <w:sz w:val="32"/>
          <w:szCs w:val="32"/>
        </w:rPr>
        <w:t>≤</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100</w:t>
      </w:r>
      <w:r>
        <w:rPr>
          <w:rFonts w:hint="eastAsia" w:ascii="仿宋" w:hAnsi="仿宋" w:eastAsia="仿宋" w:cs="仿宋"/>
          <w:sz w:val="32"/>
          <w:szCs w:val="32"/>
        </w:rPr>
        <w:t>%，偏差原因：</w:t>
      </w:r>
      <w:r>
        <w:rPr>
          <w:rFonts w:hint="eastAsia" w:ascii="仿宋" w:hAnsi="仿宋" w:eastAsia="仿宋" w:cs="仿宋"/>
          <w:sz w:val="32"/>
          <w:szCs w:val="32"/>
          <w:lang w:eastAsia="zh-CN"/>
        </w:rPr>
        <w:t>无</w:t>
      </w:r>
      <w:r>
        <w:rPr>
          <w:rFonts w:hint="eastAsia" w:ascii="仿宋" w:hAnsi="仿宋" w:eastAsia="仿宋" w:cs="仿宋"/>
          <w:sz w:val="32"/>
          <w:szCs w:val="32"/>
          <w:lang w:val="en-US" w:eastAsia="zh-CN"/>
        </w:rPr>
        <w:t>；</w:t>
      </w:r>
      <w:r>
        <w:rPr>
          <w:rFonts w:hint="eastAsia" w:ascii="仿宋" w:hAnsi="仿宋" w:eastAsia="仿宋" w:cs="仿宋"/>
          <w:sz w:val="32"/>
          <w:szCs w:val="32"/>
        </w:rPr>
        <w:t>根据评分标准，该指标</w:t>
      </w:r>
      <w:r>
        <w:rPr>
          <w:rFonts w:hint="eastAsia" w:ascii="仿宋" w:hAnsi="仿宋" w:eastAsia="仿宋" w:cs="仿宋"/>
          <w:sz w:val="32"/>
          <w:szCs w:val="32"/>
          <w:lang w:eastAsia="zh-CN"/>
        </w:rPr>
        <w:t>不扣</w:t>
      </w:r>
      <w:r>
        <w:rPr>
          <w:rFonts w:hint="eastAsia" w:ascii="仿宋" w:hAnsi="仿宋" w:eastAsia="仿宋" w:cs="仿宋"/>
          <w:sz w:val="32"/>
          <w:szCs w:val="32"/>
          <w:lang w:val="en-US" w:eastAsia="zh-CN"/>
        </w:rPr>
        <w:t>分</w:t>
      </w:r>
      <w:r>
        <w:rPr>
          <w:rFonts w:hint="eastAsia" w:ascii="仿宋" w:hAnsi="仿宋" w:eastAsia="仿宋" w:cs="仿宋"/>
          <w:sz w:val="32"/>
          <w:szCs w:val="32"/>
        </w:rPr>
        <w:t>。</w:t>
      </w:r>
    </w:p>
    <w:p>
      <w:pPr>
        <w:pageBreakBefore w:val="0"/>
        <w:numPr>
          <w:ilvl w:val="0"/>
          <w:numId w:val="0"/>
        </w:numPr>
        <w:kinsoku/>
        <w:wordWrap/>
        <w:overflowPunct/>
        <w:topLinePunct w:val="0"/>
        <w:autoSpaceDE/>
        <w:autoSpaceDN/>
        <w:bidi w:val="0"/>
        <w:spacing w:line="560" w:lineRule="exact"/>
        <w:ind w:firstLine="640" w:firstLineChars="200"/>
        <w:contextualSpacing/>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项目效益情况</w:t>
      </w:r>
    </w:p>
    <w:p>
      <w:pPr>
        <w:pageBreakBefore w:val="0"/>
        <w:kinsoku/>
        <w:wordWrap/>
        <w:overflowPunct/>
        <w:topLinePunct w:val="0"/>
        <w:autoSpaceDE/>
        <w:autoSpaceDN/>
        <w:bidi w:val="0"/>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社会效益指标：指标1：城乡居民公共卫生服务差距，指标值：不断缩小，实际完成值</w:t>
      </w:r>
      <w:r>
        <w:rPr>
          <w:rFonts w:hint="eastAsia" w:ascii="仿宋" w:hAnsi="仿宋" w:eastAsia="仿宋" w:cs="仿宋"/>
          <w:sz w:val="32"/>
          <w:szCs w:val="32"/>
          <w:lang w:eastAsia="zh-CN"/>
        </w:rPr>
        <w:t>：达成目标</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w:t>
      </w:r>
      <w:r>
        <w:rPr>
          <w:rFonts w:hint="eastAsia" w:ascii="仿宋" w:hAnsi="仿宋" w:eastAsia="仿宋" w:cs="仿宋"/>
          <w:sz w:val="32"/>
          <w:szCs w:val="32"/>
          <w:lang w:eastAsia="zh-CN"/>
        </w:rPr>
        <w:t>无</w:t>
      </w:r>
      <w:r>
        <w:rPr>
          <w:rFonts w:hint="eastAsia" w:ascii="仿宋" w:hAnsi="仿宋" w:eastAsia="仿宋" w:cs="仿宋"/>
          <w:sz w:val="32"/>
          <w:szCs w:val="32"/>
        </w:rPr>
        <w:t>。指标</w:t>
      </w:r>
      <w:r>
        <w:rPr>
          <w:rFonts w:hint="eastAsia" w:ascii="仿宋" w:hAnsi="仿宋" w:eastAsia="仿宋" w:cs="仿宋"/>
          <w:sz w:val="32"/>
          <w:szCs w:val="32"/>
          <w:lang w:val="en-US" w:eastAsia="zh-CN"/>
        </w:rPr>
        <w:t>2</w:t>
      </w:r>
      <w:r>
        <w:rPr>
          <w:rFonts w:hint="eastAsia" w:ascii="仿宋" w:hAnsi="仿宋" w:eastAsia="仿宋" w:cs="仿宋"/>
          <w:sz w:val="32"/>
          <w:szCs w:val="32"/>
        </w:rPr>
        <w:t>：妇幼健康服务水平，指标值：不断</w:t>
      </w:r>
      <w:r>
        <w:rPr>
          <w:rFonts w:hint="eastAsia" w:ascii="仿宋" w:hAnsi="仿宋" w:eastAsia="仿宋" w:cs="仿宋"/>
          <w:sz w:val="32"/>
          <w:szCs w:val="32"/>
          <w:lang w:eastAsia="zh-CN"/>
        </w:rPr>
        <w:t>提高</w:t>
      </w:r>
      <w:r>
        <w:rPr>
          <w:rFonts w:hint="eastAsia" w:ascii="仿宋" w:hAnsi="仿宋" w:eastAsia="仿宋" w:cs="仿宋"/>
          <w:sz w:val="32"/>
          <w:szCs w:val="32"/>
        </w:rPr>
        <w:t>，实际完成值</w:t>
      </w:r>
      <w:r>
        <w:rPr>
          <w:rFonts w:hint="eastAsia" w:ascii="仿宋" w:hAnsi="仿宋" w:eastAsia="仿宋" w:cs="仿宋"/>
          <w:sz w:val="32"/>
          <w:szCs w:val="32"/>
          <w:lang w:eastAsia="zh-CN"/>
        </w:rPr>
        <w:t>：达成目标</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w:t>
      </w:r>
      <w:r>
        <w:rPr>
          <w:rFonts w:hint="eastAsia" w:ascii="仿宋" w:hAnsi="仿宋" w:eastAsia="仿宋" w:cs="仿宋"/>
          <w:sz w:val="32"/>
          <w:szCs w:val="32"/>
          <w:lang w:eastAsia="zh-CN"/>
        </w:rPr>
        <w:t>无</w:t>
      </w:r>
      <w:r>
        <w:rPr>
          <w:rFonts w:hint="eastAsia" w:ascii="仿宋" w:hAnsi="仿宋" w:eastAsia="仿宋" w:cs="仿宋"/>
          <w:sz w:val="32"/>
          <w:szCs w:val="32"/>
        </w:rPr>
        <w:t>。指标</w:t>
      </w:r>
      <w:r>
        <w:rPr>
          <w:rFonts w:hint="eastAsia" w:ascii="仿宋" w:hAnsi="仿宋" w:eastAsia="仿宋" w:cs="仿宋"/>
          <w:sz w:val="32"/>
          <w:szCs w:val="32"/>
          <w:lang w:val="en-US" w:eastAsia="zh-CN"/>
        </w:rPr>
        <w:t>2</w:t>
      </w:r>
      <w:r>
        <w:rPr>
          <w:rFonts w:hint="eastAsia" w:ascii="仿宋" w:hAnsi="仿宋" w:eastAsia="仿宋" w:cs="仿宋"/>
          <w:sz w:val="32"/>
          <w:szCs w:val="32"/>
        </w:rPr>
        <w:t>：基本公共卫生服务水平，指标值：不断提高，实际完成值</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达成目标</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偏差原因：无。根据评分标准，该指标</w:t>
      </w:r>
      <w:r>
        <w:rPr>
          <w:rFonts w:hint="eastAsia" w:ascii="仿宋" w:hAnsi="仿宋" w:eastAsia="仿宋" w:cs="仿宋"/>
          <w:sz w:val="32"/>
          <w:szCs w:val="32"/>
          <w:lang w:eastAsia="zh-CN"/>
        </w:rPr>
        <w:t>不</w:t>
      </w:r>
      <w:r>
        <w:rPr>
          <w:rFonts w:hint="eastAsia" w:ascii="仿宋" w:hAnsi="仿宋" w:eastAsia="仿宋" w:cs="仿宋"/>
          <w:sz w:val="32"/>
          <w:szCs w:val="32"/>
        </w:rPr>
        <w:t>扣分。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服务对象满意度指标：服务对象满意度，指标值：≥90%，实际完成值</w:t>
      </w:r>
      <w:r>
        <w:rPr>
          <w:rFonts w:hint="eastAsia" w:ascii="仿宋" w:hAnsi="仿宋" w:eastAsia="仿宋" w:cs="仿宋"/>
          <w:sz w:val="32"/>
          <w:szCs w:val="32"/>
          <w:lang w:val="en-US" w:eastAsia="zh-CN"/>
        </w:rPr>
        <w:t>98.5</w:t>
      </w:r>
      <w:r>
        <w:rPr>
          <w:rFonts w:hint="eastAsia" w:ascii="仿宋" w:hAnsi="仿宋" w:eastAsia="仿宋" w:cs="仿宋"/>
          <w:sz w:val="32"/>
          <w:szCs w:val="32"/>
        </w:rPr>
        <w:t>%，指标完成率109.44</w:t>
      </w:r>
      <w:r>
        <w:rPr>
          <w:rFonts w:hint="eastAsia" w:ascii="仿宋" w:hAnsi="仿宋" w:eastAsia="仿宋" w:cs="仿宋"/>
          <w:sz w:val="32"/>
          <w:szCs w:val="32"/>
          <w:lang w:val="en-US" w:eastAsia="zh-CN"/>
        </w:rPr>
        <w:t>%</w:t>
      </w:r>
      <w:r>
        <w:rPr>
          <w:rFonts w:hint="eastAsia" w:ascii="仿宋" w:hAnsi="仿宋" w:eastAsia="仿宋" w:cs="仿宋"/>
          <w:sz w:val="32"/>
          <w:szCs w:val="32"/>
        </w:rPr>
        <w:t>，偏差原因：参与调查问卷人员满意度较高。根据评分标准，该指标不扣分。</w:t>
      </w:r>
    </w:p>
    <w:bookmarkEnd w:id="4"/>
    <w:p>
      <w:pPr>
        <w:pageBreakBefore w:val="0"/>
        <w:kinsoku/>
        <w:wordWrap/>
        <w:overflowPunct/>
        <w:topLinePunct w:val="0"/>
        <w:autoSpaceDE/>
        <w:autoSpaceDN/>
        <w:bidi w:val="0"/>
        <w:spacing w:line="560" w:lineRule="exact"/>
        <w:ind w:firstLine="640" w:firstLineChars="200"/>
        <w:contextualSpacing/>
        <w:textAlignment w:val="auto"/>
        <w:rPr>
          <w:rFonts w:hint="eastAsia" w:ascii="方正黑体_GBK" w:hAnsi="黑体" w:eastAsia="方正黑体_GBK"/>
          <w:sz w:val="32"/>
          <w:szCs w:val="32"/>
          <w:lang w:eastAsia="zh-CN"/>
        </w:rPr>
      </w:pPr>
      <w:bookmarkStart w:id="7" w:name="_Toc68703842"/>
      <w:r>
        <w:rPr>
          <w:rFonts w:hint="eastAsia" w:ascii="方正黑体_GBK" w:hAnsi="黑体" w:eastAsia="方正黑体_GBK"/>
          <w:sz w:val="32"/>
          <w:szCs w:val="32"/>
          <w:lang w:eastAsia="zh-CN"/>
        </w:rPr>
        <w:t>五、主要经验及做法、存在的问题及原因分析</w:t>
      </w:r>
      <w:bookmarkEnd w:id="7"/>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bookmarkStart w:id="8" w:name="_Toc68703843"/>
      <w:r>
        <w:rPr>
          <w:rFonts w:hint="eastAsia" w:ascii="楷体_GB2312" w:hAnsi="楷体_GB2312" w:eastAsia="楷体_GB2312" w:cs="楷体_GB2312"/>
          <w:sz w:val="32"/>
          <w:szCs w:val="32"/>
        </w:rPr>
        <w:t>（一）主要经验及做法</w:t>
      </w:r>
      <w:bookmarkEnd w:id="8"/>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bookmarkStart w:id="9" w:name="_Toc68703844"/>
      <w:r>
        <w:rPr>
          <w:rFonts w:hint="eastAsia" w:ascii="仿宋" w:hAnsi="仿宋" w:eastAsia="仿宋" w:cs="仿宋"/>
          <w:sz w:val="32"/>
          <w:szCs w:val="32"/>
        </w:rPr>
        <w:t>1、项目实施过程中，按照年度计划规范地组织实施，有条不紊开展相关工作，并做好资料收集整理工作。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2、成立项目绩效管理领导小组，将项目的运行，资金使用情况全部纳入领导小组的全程监管之下。</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3、合理安排项目资金，确保项目及时必要。</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4、制订项目资金使用管理规定，保证资金使用严格按财务制度办理。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（二）存在的问题及原因分析</w:t>
      </w:r>
      <w:bookmarkEnd w:id="9"/>
    </w:p>
    <w:p>
      <w:pPr>
        <w:pStyle w:val="19"/>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40" w:leftChars="0"/>
        <w:textAlignment w:val="auto"/>
        <w:rPr>
          <w:rFonts w:hint="eastAsia" w:ascii="仿宋_GB2312" w:hAnsi="仿宋_GB2312" w:eastAsia="仿宋_GB2312" w:cs="仿宋_GB2312"/>
          <w:b/>
          <w:bCs/>
          <w:kern w:val="2"/>
          <w:sz w:val="32"/>
          <w:szCs w:val="32"/>
          <w:lang w:val="en-US" w:eastAsia="zh-CN" w:bidi="ar-SA"/>
        </w:rPr>
      </w:pPr>
      <w:bookmarkStart w:id="10" w:name="_Toc68703845"/>
      <w:r>
        <w:rPr>
          <w:rFonts w:hint="eastAsia" w:ascii="仿宋_GB2312" w:hAnsi="仿宋_GB2312" w:eastAsia="仿宋_GB2312" w:cs="仿宋_GB2312"/>
          <w:b/>
          <w:bCs/>
          <w:kern w:val="2"/>
          <w:sz w:val="32"/>
          <w:szCs w:val="32"/>
          <w:lang w:val="en-US" w:eastAsia="zh-CN" w:bidi="ar-SA"/>
        </w:rPr>
        <w:t>（一）存在的问题</w:t>
      </w:r>
    </w:p>
    <w:p>
      <w:pPr>
        <w:keepNext w:val="0"/>
        <w:keepLines w:val="0"/>
        <w:pageBreakBefore w:val="0"/>
        <w:widowControl w:val="0"/>
        <w:kinsoku/>
        <w:wordWrap/>
        <w:overflowPunct/>
        <w:topLinePunct w:val="0"/>
        <w:autoSpaceDE/>
        <w:autoSpaceDN/>
        <w:bidi w:val="0"/>
        <w:adjustRightInd/>
        <w:spacing w:line="560" w:lineRule="exact"/>
        <w:ind w:firstLine="624" w:firstLineChars="200"/>
        <w:jc w:val="both"/>
        <w:textAlignment w:val="auto"/>
        <w:rPr>
          <w:rStyle w:val="15"/>
          <w:rFonts w:hint="eastAsia" w:ascii="黑体" w:hAnsi="黑体" w:eastAsia="黑体"/>
          <w:b w:val="0"/>
          <w:bCs w:val="0"/>
          <w:spacing w:val="-4"/>
          <w:sz w:val="32"/>
          <w:szCs w:val="32"/>
          <w:lang w:val="en-US" w:eastAsia="zh-CN"/>
        </w:rPr>
      </w:pPr>
      <w:r>
        <w:rPr>
          <w:rStyle w:val="15"/>
          <w:rFonts w:hint="eastAsia" w:ascii="仿宋_GB2312" w:hAnsi="楷体" w:eastAsia="仿宋_GB2312" w:cs="Times New Roman"/>
          <w:b w:val="0"/>
          <w:spacing w:val="-4"/>
          <w:sz w:val="32"/>
          <w:szCs w:val="32"/>
          <w:lang w:val="en-US" w:eastAsia="zh-CN"/>
        </w:rPr>
        <w:t>财政绩效管理有待提高。相关绩效管理方面专业知识的系统性学习有待加强。</w:t>
      </w:r>
      <w:r>
        <w:rPr>
          <w:rFonts w:hint="eastAsia" w:ascii="仿宋" w:hAnsi="仿宋" w:eastAsia="仿宋" w:cs="仿宋"/>
          <w:sz w:val="32"/>
          <w:szCs w:val="32"/>
        </w:rPr>
        <w:t>项目产出指标使用上级要求完成目标值，与实际完成值存在偏差。</w:t>
      </w:r>
    </w:p>
    <w:p>
      <w:pPr>
        <w:pStyle w:val="19"/>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40" w:leftChars="0"/>
        <w:textAlignment w:val="auto"/>
        <w:rPr>
          <w:rFonts w:hint="default"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（二）原因分析</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4" w:firstLineChars="200"/>
        <w:textAlignment w:val="auto"/>
        <w:rPr>
          <w:rStyle w:val="15"/>
          <w:rFonts w:hint="eastAsia" w:ascii="仿宋_GB2312" w:hAnsi="楷体" w:eastAsia="仿宋_GB2312" w:cs="Times New Roman"/>
          <w:b w:val="0"/>
          <w:spacing w:val="-4"/>
          <w:sz w:val="32"/>
          <w:szCs w:val="32"/>
          <w:lang w:val="en-US" w:eastAsia="zh-CN"/>
        </w:rPr>
      </w:pPr>
      <w:r>
        <w:rPr>
          <w:rStyle w:val="15"/>
          <w:rFonts w:hint="eastAsia" w:ascii="仿宋_GB2312" w:hAnsi="楷体" w:eastAsia="仿宋_GB2312" w:cs="Times New Roman"/>
          <w:b w:val="0"/>
          <w:spacing w:val="-4"/>
          <w:sz w:val="32"/>
          <w:szCs w:val="32"/>
          <w:lang w:val="en-US" w:eastAsia="zh-CN"/>
        </w:rPr>
        <w:t>对预算绩效管理</w:t>
      </w:r>
      <w:r>
        <w:rPr>
          <w:rStyle w:val="15"/>
          <w:rFonts w:hint="eastAsia" w:ascii="仿宋_GB2312" w:hAnsi="楷体" w:eastAsia="仿宋_GB2312" w:cs="Times New Roman"/>
          <w:b w:val="0"/>
          <w:spacing w:val="-4"/>
          <w:sz w:val="32"/>
          <w:szCs w:val="32"/>
          <w:lang w:val="zh-CN" w:eastAsia="zh-CN"/>
        </w:rPr>
        <w:t>、绩效理念尚未真正贯穿于实践工作，</w:t>
      </w:r>
      <w:r>
        <w:rPr>
          <w:rStyle w:val="15"/>
          <w:rFonts w:hint="eastAsia" w:ascii="仿宋_GB2312" w:hAnsi="楷体" w:eastAsia="仿宋_GB2312" w:cs="Times New Roman"/>
          <w:b w:val="0"/>
          <w:spacing w:val="-4"/>
          <w:sz w:val="32"/>
          <w:szCs w:val="32"/>
          <w:lang w:val="en-US" w:eastAsia="zh-CN"/>
        </w:rPr>
        <w:t>相关工作人员经验不足，绩效管理意识不高，对于指标的编制还不够完善。自评价工作还存在自我审定的局限性，影响评价质量。</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p>
    <w:p>
      <w:pPr>
        <w:pageBreakBefore w:val="0"/>
        <w:kinsoku/>
        <w:wordWrap/>
        <w:overflowPunct/>
        <w:topLinePunct w:val="0"/>
        <w:autoSpaceDE/>
        <w:autoSpaceDN/>
        <w:bidi w:val="0"/>
        <w:spacing w:line="560" w:lineRule="exact"/>
        <w:ind w:firstLine="640" w:firstLineChars="200"/>
        <w:contextualSpacing/>
        <w:textAlignment w:val="auto"/>
        <w:rPr>
          <w:rFonts w:hint="eastAsia" w:ascii="方正黑体_GBK" w:hAnsi="黑体" w:eastAsia="方正黑体_GBK"/>
          <w:sz w:val="32"/>
          <w:szCs w:val="32"/>
        </w:rPr>
      </w:pPr>
      <w:r>
        <w:rPr>
          <w:rFonts w:hint="eastAsia" w:ascii="方正黑体_GBK" w:hAnsi="黑体" w:eastAsia="方正黑体_GBK"/>
          <w:sz w:val="32"/>
          <w:szCs w:val="32"/>
          <w:lang w:eastAsia="zh-CN"/>
        </w:rPr>
        <w:t>六、</w:t>
      </w:r>
      <w:r>
        <w:rPr>
          <w:rFonts w:hint="eastAsia" w:ascii="方正黑体_GBK" w:hAnsi="黑体" w:eastAsia="方正黑体_GBK"/>
          <w:sz w:val="32"/>
          <w:szCs w:val="32"/>
        </w:rPr>
        <w:t>有关建议</w:t>
      </w:r>
      <w:bookmarkEnd w:id="10"/>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在项目立项时，要与项目实施单位部门职责范围相符，要与部门履职所需相适应，加强绩效评价管理制度和流程的建设，进一步深化、完善绩效管理体系，建立全过程的预算绩效管理机制，促进绩效管理工作向广度和深度延伸。</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2、在编制预算时，加强相关财政财务规章学习，合理使用各项资金，确保了我单位预算管理的成效，全年预算支出整体受控,提高财政资金的使用效率。</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3、规范绩效评价管理资料的收集整理，确保相关信息完整、可靠，客观公正地反映项目资金实际使用和产生的绩效状况，为今后该项目实施方向及管理方式的改进提供指导。</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加强绩效目标设置的科学性、合理性。严格按照文件规定，结合部门职责和项目实际多方面衡量设置合理的指标，便于绩效目标的实现及对项目实施情况进行全方位的管理跟踪评价，发挥绩效目标的导向作用。</w:t>
      </w:r>
    </w:p>
    <w:p>
      <w:pPr>
        <w:pageBreakBefore w:val="0"/>
        <w:kinsoku/>
        <w:wordWrap/>
        <w:overflowPunct/>
        <w:topLinePunct w:val="0"/>
        <w:autoSpaceDE/>
        <w:autoSpaceDN/>
        <w:bidi w:val="0"/>
        <w:spacing w:line="560" w:lineRule="exact"/>
        <w:ind w:firstLine="640" w:firstLineChars="200"/>
        <w:contextualSpacing/>
        <w:textAlignment w:val="auto"/>
        <w:rPr>
          <w:rFonts w:ascii="方正黑体_GBK" w:hAnsi="黑体" w:eastAsia="方正黑体_GBK"/>
          <w:sz w:val="32"/>
          <w:szCs w:val="32"/>
        </w:rPr>
      </w:pPr>
      <w:r>
        <w:rPr>
          <w:rFonts w:hint="eastAsia" w:ascii="方正黑体_GBK" w:hAnsi="黑体" w:eastAsia="方正黑体_GBK"/>
          <w:sz w:val="32"/>
          <w:szCs w:val="32"/>
        </w:rPr>
        <w:t>七、其他需要说明的问题</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bookmarkStart w:id="11" w:name="_GoBack"/>
      <w:r>
        <w:rPr>
          <w:rFonts w:hint="eastAsia" w:ascii="仿宋" w:hAnsi="仿宋" w:eastAsia="仿宋" w:cs="仿宋"/>
          <w:color w:val="333333"/>
          <w:sz w:val="32"/>
          <w:szCs w:val="32"/>
        </w:rPr>
        <w:t>本次预算绩效评价所采集的数据因为采集时间、数据来源等诸多因素的影响，可能会出现一定的偏差，进而对评价结果存在影响。</w:t>
      </w:r>
    </w:p>
    <w:bookmarkEnd w:id="11"/>
    <w:sectPr>
      <w:footerReference r:id="rId3" w:type="default"/>
      <w:footerReference r:id="rId4" w:type="even"/>
      <w:pgSz w:w="11906" w:h="16838"/>
      <w:pgMar w:top="2098" w:right="1531" w:bottom="1985" w:left="1531" w:header="851" w:footer="992" w:gutter="0"/>
      <w:pgNumType w:fmt="numberInDash"/>
      <w:cols w:space="720" w:num="1"/>
      <w:docGrid w:type="lines" w:linePitch="579"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right"/>
      <w:rPr>
        <w:rFonts w:ascii="方正仿宋_GBK" w:eastAsia="方正仿宋_GBK"/>
        <w:sz w:val="28"/>
        <w:szCs w:val="28"/>
      </w:rPr>
    </w:pPr>
    <w:r>
      <w:rPr>
        <w:rFonts w:hint="eastAsia" w:ascii="方正仿宋_GBK" w:eastAsia="方正仿宋_GBK"/>
        <w:sz w:val="28"/>
        <w:szCs w:val="28"/>
      </w:rPr>
      <w:t>—1—</w:t>
    </w:r>
  </w:p>
  <w:p>
    <w:pPr>
      <w:pStyle w:val="8"/>
      <w:jc w:val="right"/>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方正仿宋_GBK" w:eastAsia="方正仿宋_GBK"/>
        <w:sz w:val="28"/>
        <w:szCs w:val="28"/>
      </w:rPr>
    </w:pPr>
    <w:r>
      <w:rPr>
        <w:rFonts w:hint="eastAsia" w:ascii="方正仿宋_GBK" w:eastAsia="方正仿宋_GBK"/>
        <w:sz w:val="28"/>
        <w:szCs w:val="28"/>
      </w:rPr>
      <w:t>—2—</w:t>
    </w:r>
  </w:p>
  <w:p>
    <w:pPr>
      <w:pStyle w:val="8"/>
      <w:ind w:right="360"/>
      <w:rPr>
        <w:rFonts w:ascii="宋体" w:hAnsi="宋体" w:eastAsia="宋体"/>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B65705"/>
    <w:multiLevelType w:val="singleLevel"/>
    <w:tmpl w:val="9BB65705"/>
    <w:lvl w:ilvl="0" w:tentative="0">
      <w:start w:val="3"/>
      <w:numFmt w:val="chineseCounting"/>
      <w:suff w:val="nothing"/>
      <w:lvlText w:val="%1、"/>
      <w:lvlJc w:val="left"/>
      <w:rPr>
        <w:rFonts w:hint="eastAsia"/>
      </w:rPr>
    </w:lvl>
  </w:abstractNum>
  <w:abstractNum w:abstractNumId="1">
    <w:nsid w:val="C586D73C"/>
    <w:multiLevelType w:val="singleLevel"/>
    <w:tmpl w:val="C586D73C"/>
    <w:lvl w:ilvl="0" w:tentative="0">
      <w:start w:val="1"/>
      <w:numFmt w:val="chineseCounting"/>
      <w:suff w:val="nothing"/>
      <w:lvlText w:val="（%1）"/>
      <w:lvlJc w:val="left"/>
      <w:pPr>
        <w:ind w:left="164"/>
      </w:pPr>
      <w:rPr>
        <w:rFonts w:hint="eastAsia"/>
      </w:rPr>
    </w:lvl>
  </w:abstractNum>
  <w:abstractNum w:abstractNumId="2">
    <w:nsid w:val="699D7D9A"/>
    <w:multiLevelType w:val="singleLevel"/>
    <w:tmpl w:val="699D7D9A"/>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mirrorMargins w:val="1"/>
  <w:bordersDoNotSurroundHeader w:val="0"/>
  <w:bordersDoNotSurroundFooter w:val="0"/>
  <w:documentProtection w:enforcement="0"/>
  <w:defaultTabStop w:val="420"/>
  <w:evenAndOddHeaders w:val="1"/>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ZlNzZiMmVhY2MwMzhhMWQ0NGQ2M2E5YWY0Zjg4OWIifQ=="/>
  </w:docVars>
  <w:rsids>
    <w:rsidRoot w:val="006D0058"/>
    <w:rsid w:val="00016357"/>
    <w:rsid w:val="00032081"/>
    <w:rsid w:val="000524EC"/>
    <w:rsid w:val="00062B04"/>
    <w:rsid w:val="0006596B"/>
    <w:rsid w:val="000A2225"/>
    <w:rsid w:val="000A4860"/>
    <w:rsid w:val="000F4112"/>
    <w:rsid w:val="001003D5"/>
    <w:rsid w:val="00103FA7"/>
    <w:rsid w:val="00180130"/>
    <w:rsid w:val="001C50B8"/>
    <w:rsid w:val="001C6D8F"/>
    <w:rsid w:val="002145C8"/>
    <w:rsid w:val="00265547"/>
    <w:rsid w:val="002A77DA"/>
    <w:rsid w:val="002D200D"/>
    <w:rsid w:val="003D652D"/>
    <w:rsid w:val="003E548F"/>
    <w:rsid w:val="003F29C1"/>
    <w:rsid w:val="004A4DD2"/>
    <w:rsid w:val="005F37CE"/>
    <w:rsid w:val="006643A4"/>
    <w:rsid w:val="006A780A"/>
    <w:rsid w:val="006C323A"/>
    <w:rsid w:val="006D0058"/>
    <w:rsid w:val="006D391A"/>
    <w:rsid w:val="006F1F7B"/>
    <w:rsid w:val="00714386"/>
    <w:rsid w:val="00725034"/>
    <w:rsid w:val="00725583"/>
    <w:rsid w:val="00744E09"/>
    <w:rsid w:val="00765D8E"/>
    <w:rsid w:val="007A41D6"/>
    <w:rsid w:val="007B07E1"/>
    <w:rsid w:val="007F0ECF"/>
    <w:rsid w:val="008005AD"/>
    <w:rsid w:val="008043EF"/>
    <w:rsid w:val="008154D4"/>
    <w:rsid w:val="0082358E"/>
    <w:rsid w:val="008817BC"/>
    <w:rsid w:val="008C1578"/>
    <w:rsid w:val="008C42CB"/>
    <w:rsid w:val="008F024E"/>
    <w:rsid w:val="008F6E3C"/>
    <w:rsid w:val="00913A39"/>
    <w:rsid w:val="00921E2B"/>
    <w:rsid w:val="009935FB"/>
    <w:rsid w:val="009A60D4"/>
    <w:rsid w:val="009B2896"/>
    <w:rsid w:val="009E7CE2"/>
    <w:rsid w:val="00AF26BD"/>
    <w:rsid w:val="00B02FC0"/>
    <w:rsid w:val="00B27295"/>
    <w:rsid w:val="00B92DED"/>
    <w:rsid w:val="00BB7C0F"/>
    <w:rsid w:val="00BD117F"/>
    <w:rsid w:val="00BE13DE"/>
    <w:rsid w:val="00BF34EA"/>
    <w:rsid w:val="00C008DC"/>
    <w:rsid w:val="00C20677"/>
    <w:rsid w:val="00C259C1"/>
    <w:rsid w:val="00D35EB6"/>
    <w:rsid w:val="00D6572B"/>
    <w:rsid w:val="00DB37EE"/>
    <w:rsid w:val="00DF08F1"/>
    <w:rsid w:val="00E10B13"/>
    <w:rsid w:val="00E37ADC"/>
    <w:rsid w:val="00E46FA8"/>
    <w:rsid w:val="00E618C8"/>
    <w:rsid w:val="00E756F7"/>
    <w:rsid w:val="00E77764"/>
    <w:rsid w:val="00E97434"/>
    <w:rsid w:val="00ED52B3"/>
    <w:rsid w:val="00EE199D"/>
    <w:rsid w:val="00F376FE"/>
    <w:rsid w:val="00FA5AA5"/>
    <w:rsid w:val="01910D9E"/>
    <w:rsid w:val="043A5387"/>
    <w:rsid w:val="04DF6E52"/>
    <w:rsid w:val="060E41BB"/>
    <w:rsid w:val="0856790E"/>
    <w:rsid w:val="09736C84"/>
    <w:rsid w:val="0AD44745"/>
    <w:rsid w:val="0B705B32"/>
    <w:rsid w:val="0B7956A5"/>
    <w:rsid w:val="0F431262"/>
    <w:rsid w:val="0FDA5015"/>
    <w:rsid w:val="10E36E9A"/>
    <w:rsid w:val="11022138"/>
    <w:rsid w:val="114C3B1C"/>
    <w:rsid w:val="12503E73"/>
    <w:rsid w:val="12791770"/>
    <w:rsid w:val="14A7283D"/>
    <w:rsid w:val="154C2B5A"/>
    <w:rsid w:val="15F74E59"/>
    <w:rsid w:val="17BB1DA8"/>
    <w:rsid w:val="19837889"/>
    <w:rsid w:val="1A2A3350"/>
    <w:rsid w:val="1AA128D6"/>
    <w:rsid w:val="1AFE4715"/>
    <w:rsid w:val="1B252495"/>
    <w:rsid w:val="1CC04374"/>
    <w:rsid w:val="1E993C23"/>
    <w:rsid w:val="1FF82202"/>
    <w:rsid w:val="20C50A7F"/>
    <w:rsid w:val="21262CE6"/>
    <w:rsid w:val="226341DD"/>
    <w:rsid w:val="25006A47"/>
    <w:rsid w:val="260C3CAA"/>
    <w:rsid w:val="277D7644"/>
    <w:rsid w:val="27B7332E"/>
    <w:rsid w:val="2A1D71BF"/>
    <w:rsid w:val="2ACA4492"/>
    <w:rsid w:val="2BDD518E"/>
    <w:rsid w:val="2C3420BC"/>
    <w:rsid w:val="2C9C632F"/>
    <w:rsid w:val="2D5F5FCA"/>
    <w:rsid w:val="2DA336ED"/>
    <w:rsid w:val="2EF7611E"/>
    <w:rsid w:val="2EFD7632"/>
    <w:rsid w:val="30A05CC2"/>
    <w:rsid w:val="30CA0176"/>
    <w:rsid w:val="33086CD1"/>
    <w:rsid w:val="331712CE"/>
    <w:rsid w:val="36063CEE"/>
    <w:rsid w:val="37446756"/>
    <w:rsid w:val="37CD729C"/>
    <w:rsid w:val="38913E79"/>
    <w:rsid w:val="38C348F3"/>
    <w:rsid w:val="39A44A75"/>
    <w:rsid w:val="3A101932"/>
    <w:rsid w:val="3AE629C0"/>
    <w:rsid w:val="3D160207"/>
    <w:rsid w:val="3E397D39"/>
    <w:rsid w:val="3F767CFF"/>
    <w:rsid w:val="40BB059A"/>
    <w:rsid w:val="417109E2"/>
    <w:rsid w:val="419D1F2D"/>
    <w:rsid w:val="41C06A3C"/>
    <w:rsid w:val="4571296F"/>
    <w:rsid w:val="46724963"/>
    <w:rsid w:val="47504DF5"/>
    <w:rsid w:val="48A54B02"/>
    <w:rsid w:val="4C235CCD"/>
    <w:rsid w:val="4D7562EA"/>
    <w:rsid w:val="4DF47921"/>
    <w:rsid w:val="4E63665D"/>
    <w:rsid w:val="50243DE1"/>
    <w:rsid w:val="51B353FD"/>
    <w:rsid w:val="52962354"/>
    <w:rsid w:val="5394541B"/>
    <w:rsid w:val="54633DB8"/>
    <w:rsid w:val="54FF3802"/>
    <w:rsid w:val="56843B03"/>
    <w:rsid w:val="5747708B"/>
    <w:rsid w:val="57A27CEB"/>
    <w:rsid w:val="57A444BC"/>
    <w:rsid w:val="58E6255C"/>
    <w:rsid w:val="594D3BAE"/>
    <w:rsid w:val="59782D14"/>
    <w:rsid w:val="59890715"/>
    <w:rsid w:val="5B154E0A"/>
    <w:rsid w:val="5B4C5CE6"/>
    <w:rsid w:val="5BEC3895"/>
    <w:rsid w:val="5C6678D9"/>
    <w:rsid w:val="5C8B5A25"/>
    <w:rsid w:val="5D8D5716"/>
    <w:rsid w:val="5E932C17"/>
    <w:rsid w:val="60660216"/>
    <w:rsid w:val="615A2A6C"/>
    <w:rsid w:val="6262753F"/>
    <w:rsid w:val="646C6612"/>
    <w:rsid w:val="64A165F6"/>
    <w:rsid w:val="67A22BB5"/>
    <w:rsid w:val="67B9067E"/>
    <w:rsid w:val="68626516"/>
    <w:rsid w:val="6A2946CE"/>
    <w:rsid w:val="6CF91FB2"/>
    <w:rsid w:val="6D1C4347"/>
    <w:rsid w:val="6D8367E8"/>
    <w:rsid w:val="6E687E80"/>
    <w:rsid w:val="6EAE5472"/>
    <w:rsid w:val="6F5736AB"/>
    <w:rsid w:val="6F89667A"/>
    <w:rsid w:val="709E4812"/>
    <w:rsid w:val="70DC6D0E"/>
    <w:rsid w:val="71BB412E"/>
    <w:rsid w:val="71C85334"/>
    <w:rsid w:val="72DE27CF"/>
    <w:rsid w:val="731A30D6"/>
    <w:rsid w:val="73E86035"/>
    <w:rsid w:val="74C71AF8"/>
    <w:rsid w:val="77916CF6"/>
    <w:rsid w:val="7A5F36CE"/>
    <w:rsid w:val="7CC84123"/>
    <w:rsid w:val="7DE44A0D"/>
    <w:rsid w:val="7E1626EC"/>
    <w:rsid w:val="7EB21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99"/>
    <w:pPr>
      <w:keepNext/>
      <w:keepLines/>
      <w:spacing w:before="260" w:after="260" w:line="416" w:lineRule="auto"/>
      <w:outlineLvl w:val="1"/>
    </w:pPr>
    <w:rPr>
      <w:rFonts w:ascii="Cambria" w:hAnsi="Cambria"/>
      <w:b/>
      <w:bCs/>
      <w:sz w:val="32"/>
      <w:szCs w:val="32"/>
    </w:rPr>
  </w:style>
  <w:style w:type="paragraph" w:styleId="5">
    <w:name w:val="heading 3"/>
    <w:basedOn w:val="1"/>
    <w:next w:val="1"/>
    <w:autoRedefine/>
    <w:qFormat/>
    <w:uiPriority w:val="99"/>
    <w:pPr>
      <w:keepNext/>
      <w:keepLines/>
      <w:spacing w:before="260" w:after="260" w:line="416" w:lineRule="auto"/>
      <w:outlineLvl w:val="2"/>
    </w:pPr>
    <w:rPr>
      <w:b/>
      <w:bCs/>
      <w:sz w:val="32"/>
      <w:szCs w:val="32"/>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Body Text Indent"/>
    <w:basedOn w:val="1"/>
    <w:autoRedefine/>
    <w:semiHidden/>
    <w:unhideWhenUsed/>
    <w:qFormat/>
    <w:uiPriority w:val="99"/>
    <w:pPr>
      <w:spacing w:after="120"/>
      <w:ind w:left="420" w:leftChars="200"/>
    </w:pPr>
  </w:style>
  <w:style w:type="paragraph" w:styleId="7">
    <w:name w:val="Plain Text"/>
    <w:basedOn w:val="1"/>
    <w:autoRedefine/>
    <w:qFormat/>
    <w:uiPriority w:val="0"/>
    <w:rPr>
      <w:rFonts w:ascii="宋体" w:hAnsi="Courier New"/>
    </w:rPr>
  </w:style>
  <w:style w:type="paragraph" w:styleId="8">
    <w:name w:val="footer"/>
    <w:basedOn w:val="1"/>
    <w:link w:val="18"/>
    <w:autoRedefine/>
    <w:qFormat/>
    <w:uiPriority w:val="99"/>
    <w:pPr>
      <w:tabs>
        <w:tab w:val="center" w:pos="4153"/>
        <w:tab w:val="right" w:pos="8306"/>
      </w:tabs>
      <w:snapToGrid w:val="0"/>
      <w:jc w:val="left"/>
    </w:pPr>
    <w:rPr>
      <w:rFonts w:eastAsia="黑体" w:asciiTheme="minorHAnsi" w:hAnsiTheme="minorHAnsi" w:cstheme="minorBidi"/>
      <w:sz w:val="18"/>
      <w:szCs w:val="18"/>
    </w:rPr>
  </w:style>
  <w:style w:type="paragraph" w:styleId="9">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autoRedefine/>
    <w:qFormat/>
    <w:uiPriority w:val="0"/>
    <w:pPr>
      <w:snapToGrid w:val="0"/>
      <w:jc w:val="left"/>
    </w:pPr>
    <w:rPr>
      <w:sz w:val="18"/>
      <w:szCs w:val="18"/>
    </w:rPr>
  </w:style>
  <w:style w:type="paragraph" w:styleId="11">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Body Text First Indent 2"/>
    <w:basedOn w:val="6"/>
    <w:autoRedefine/>
    <w:semiHidden/>
    <w:unhideWhenUsed/>
    <w:qFormat/>
    <w:uiPriority w:val="99"/>
    <w:pPr>
      <w:ind w:firstLine="420" w:firstLineChars="200"/>
    </w:pPr>
  </w:style>
  <w:style w:type="character" w:styleId="15">
    <w:name w:val="Strong"/>
    <w:basedOn w:val="14"/>
    <w:autoRedefine/>
    <w:qFormat/>
    <w:uiPriority w:val="0"/>
    <w:rPr>
      <w:b/>
      <w:bCs/>
    </w:rPr>
  </w:style>
  <w:style w:type="character" w:styleId="16">
    <w:name w:val="Hyperlink"/>
    <w:basedOn w:val="14"/>
    <w:autoRedefine/>
    <w:unhideWhenUsed/>
    <w:qFormat/>
    <w:uiPriority w:val="99"/>
    <w:rPr>
      <w:color w:val="0000FF" w:themeColor="hyperlink"/>
      <w:u w:val="single"/>
    </w:rPr>
  </w:style>
  <w:style w:type="character" w:customStyle="1" w:styleId="17">
    <w:name w:val="页脚 Char"/>
    <w:link w:val="8"/>
    <w:autoRedefine/>
    <w:qFormat/>
    <w:uiPriority w:val="99"/>
    <w:rPr>
      <w:rFonts w:eastAsia="黑体"/>
      <w:sz w:val="18"/>
      <w:szCs w:val="18"/>
    </w:rPr>
  </w:style>
  <w:style w:type="character" w:customStyle="1" w:styleId="18">
    <w:name w:val="页脚 Char1"/>
    <w:basedOn w:val="14"/>
    <w:link w:val="8"/>
    <w:autoRedefine/>
    <w:semiHidden/>
    <w:qFormat/>
    <w:uiPriority w:val="99"/>
    <w:rPr>
      <w:rFonts w:ascii="Calibri" w:hAnsi="Calibri" w:eastAsia="宋体" w:cs="Times New Roman"/>
      <w:sz w:val="18"/>
      <w:szCs w:val="18"/>
    </w:rPr>
  </w:style>
  <w:style w:type="paragraph" w:styleId="19">
    <w:name w:val="List Paragraph"/>
    <w:basedOn w:val="1"/>
    <w:autoRedefine/>
    <w:qFormat/>
    <w:uiPriority w:val="99"/>
    <w:pPr>
      <w:ind w:firstLine="420" w:firstLineChars="200"/>
    </w:pPr>
    <w:rPr>
      <w:kern w:val="0"/>
      <w:sz w:val="24"/>
      <w:szCs w:val="20"/>
    </w:rPr>
  </w:style>
  <w:style w:type="paragraph" w:customStyle="1" w:styleId="20">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19</Pages>
  <Words>845</Words>
  <Characters>4820</Characters>
  <Lines>40</Lines>
  <Paragraphs>11</Paragraphs>
  <TotalTime>29</TotalTime>
  <ScaleCrop>false</ScaleCrop>
  <LinksUpToDate>false</LinksUpToDate>
  <CharactersWithSpaces>5654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2020-03-25T19:26:00Z</dcterms:created>
  <dc:creator>颜娜</dc:creator>
  <cp:lastModifiedBy>Administrator</cp:lastModifiedBy>
  <cp:lastPrinted>2020-04-08T11:21:00Z</cp:lastPrinted>
  <dcterms:modified xsi:type="dcterms:W3CDTF">2024-05-14T06:01:35Z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CEED2D5CE42946C29CFECC8859C9229B</vt:lpwstr>
  </property>
</Properties>
</file>