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23BDF">
      <w:pPr>
        <w:jc w:val="center"/>
        <w:rPr>
          <w:rFonts w:ascii="宋体" w:hAnsi="宋体" w:eastAsia="宋体" w:cs="Arial"/>
          <w:b/>
          <w:bCs/>
          <w:sz w:val="48"/>
          <w:szCs w:val="48"/>
        </w:rPr>
      </w:pPr>
    </w:p>
    <w:p w14:paraId="553BCCA7">
      <w:pPr>
        <w:pStyle w:val="2"/>
        <w:rPr>
          <w:rFonts w:hint="eastAsia"/>
        </w:rPr>
      </w:pPr>
    </w:p>
    <w:p w14:paraId="747FCADA">
      <w:pPr>
        <w:jc w:val="center"/>
        <w:rPr>
          <w:rFonts w:ascii="宋体" w:hAnsi="宋体" w:eastAsia="宋体" w:cs="Arial"/>
          <w:b/>
          <w:bCs/>
          <w:sz w:val="48"/>
          <w:szCs w:val="48"/>
        </w:rPr>
      </w:pPr>
    </w:p>
    <w:p w14:paraId="6595FC2A">
      <w:pPr>
        <w:jc w:val="center"/>
        <w:rPr>
          <w:rFonts w:ascii="宋体" w:hAnsi="宋体" w:eastAsia="宋体" w:cs="Arial"/>
          <w:b/>
          <w:bCs/>
          <w:sz w:val="48"/>
          <w:szCs w:val="48"/>
        </w:rPr>
      </w:pPr>
    </w:p>
    <w:p w14:paraId="45F7B18C">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4A631CFA">
      <w:pPr>
        <w:jc w:val="center"/>
        <w:rPr>
          <w:rFonts w:ascii="宋体" w:hAnsi="宋体" w:eastAsia="宋体" w:cs="Arial"/>
          <w:b/>
          <w:bCs/>
          <w:sz w:val="48"/>
          <w:szCs w:val="48"/>
        </w:rPr>
      </w:pPr>
    </w:p>
    <w:p w14:paraId="575B89D8">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14:paraId="6DC41A4D">
      <w:pPr>
        <w:spacing w:line="480" w:lineRule="auto"/>
        <w:jc w:val="center"/>
        <w:rPr>
          <w:rFonts w:ascii="仿宋_GB2312" w:hAnsi="仿宋_GB2312" w:cs="仿宋_GB2312"/>
          <w:b/>
          <w:kern w:val="0"/>
          <w:sz w:val="50"/>
          <w:szCs w:val="50"/>
          <w:lang w:bidi="en-US"/>
        </w:rPr>
      </w:pPr>
    </w:p>
    <w:p w14:paraId="1731FF53">
      <w:pPr>
        <w:spacing w:line="480" w:lineRule="auto"/>
        <w:jc w:val="center"/>
        <w:rPr>
          <w:rFonts w:ascii="仿宋_GB2312" w:hAnsi="仿宋_GB2312" w:cs="仿宋_GB2312"/>
          <w:b/>
          <w:kern w:val="0"/>
          <w:sz w:val="50"/>
          <w:szCs w:val="50"/>
          <w:lang w:bidi="en-US"/>
        </w:rPr>
      </w:pPr>
    </w:p>
    <w:p w14:paraId="741CD6A9">
      <w:pPr>
        <w:spacing w:line="480" w:lineRule="auto"/>
        <w:jc w:val="center"/>
        <w:rPr>
          <w:rFonts w:ascii="仿宋_GB2312" w:hAnsi="仿宋_GB2312" w:cs="仿宋_GB2312"/>
          <w:b/>
          <w:kern w:val="0"/>
          <w:sz w:val="50"/>
          <w:szCs w:val="50"/>
          <w:lang w:bidi="en-US"/>
        </w:rPr>
      </w:pPr>
    </w:p>
    <w:p w14:paraId="450CE2E3">
      <w:pPr>
        <w:spacing w:line="480" w:lineRule="auto"/>
        <w:rPr>
          <w:rFonts w:ascii="仿宋_GB2312" w:hAnsi="仿宋_GB2312" w:cs="仿宋_GB2312"/>
          <w:b/>
          <w:kern w:val="0"/>
          <w:sz w:val="50"/>
          <w:szCs w:val="50"/>
          <w:lang w:bidi="en-US"/>
        </w:rPr>
      </w:pPr>
    </w:p>
    <w:p w14:paraId="1A68F024">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  目  名    称：中央农机购置与应用补贴</w:t>
      </w:r>
      <w:r>
        <w:rPr>
          <w:rFonts w:ascii="宋体" w:hAnsi="宋体" w:eastAsia="宋体" w:cs="宋体"/>
          <w:kern w:val="0"/>
          <w:sz w:val="32"/>
          <w:szCs w:val="32"/>
        </w:rPr>
        <w:t xml:space="preserve"> </w:t>
      </w:r>
    </w:p>
    <w:p w14:paraId="46D1481B">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rPr>
        <w:t>焉耆县农业农村局</w:t>
      </w:r>
    </w:p>
    <w:p w14:paraId="65C80208">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rPr>
        <w:t>焉耆县人民政府</w:t>
      </w:r>
    </w:p>
    <w:p w14:paraId="4502DF06">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rPr>
        <w:t>索卫华</w:t>
      </w:r>
    </w:p>
    <w:p w14:paraId="1A32B529">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2024年04月20日</w:t>
      </w:r>
    </w:p>
    <w:p w14:paraId="4A82D707">
      <w:pPr>
        <w:widowControl/>
        <w:jc w:val="left"/>
        <w:rPr>
          <w:rFonts w:ascii="宋体" w:hAnsi="宋体" w:eastAsia="宋体" w:cs="Arial"/>
          <w:b/>
          <w:bCs/>
          <w:sz w:val="36"/>
          <w:szCs w:val="36"/>
        </w:rPr>
      </w:pP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5E278816">
          <w:pPr>
            <w:pStyle w:val="15"/>
            <w:jc w:val="center"/>
            <w:rPr>
              <w:rFonts w:ascii="Times New Roman" w:hAnsi="Times New Roman" w:eastAsia="仿宋_GB2312" w:cs="Times New Roman"/>
              <w:color w:val="auto"/>
              <w:kern w:val="2"/>
              <w:sz w:val="30"/>
              <w:szCs w:val="24"/>
              <w:lang w:val="zh-CN"/>
            </w:rPr>
          </w:pPr>
        </w:p>
        <w:p w14:paraId="187FFD30">
          <w:pPr>
            <w:pStyle w:val="15"/>
            <w:jc w:val="center"/>
            <w:rPr>
              <w:rFonts w:ascii="宋体" w:hAnsi="宋体" w:eastAsia="宋体"/>
              <w:b/>
              <w:bCs/>
              <w:color w:val="auto"/>
              <w:lang w:val="zh-CN"/>
            </w:rPr>
          </w:pPr>
          <w:r>
            <w:rPr>
              <w:rFonts w:ascii="宋体" w:hAnsi="宋体" w:eastAsia="宋体"/>
              <w:b/>
              <w:bCs/>
              <w:color w:val="auto"/>
              <w:lang w:val="zh-CN"/>
            </w:rPr>
            <w:t>目录</w:t>
          </w:r>
        </w:p>
        <w:p w14:paraId="0120E585">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6611D2F1">
          <w:pPr>
            <w:pStyle w:val="8"/>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54D64729">
          <w:pPr>
            <w:pStyle w:val="8"/>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3B74CC82">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0AD65E30">
          <w:pPr>
            <w:pStyle w:val="8"/>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5CE80B70">
          <w:pPr>
            <w:pStyle w:val="8"/>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4D0BA3C6">
          <w:pPr>
            <w:pStyle w:val="8"/>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5296C5D6">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7D307396">
          <w:pPr>
            <w:pStyle w:val="8"/>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46CF4152">
          <w:pPr>
            <w:pStyle w:val="8"/>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1809BC23">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488339EB">
          <w:pPr>
            <w:pStyle w:val="8"/>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6D51D6D7">
          <w:pPr>
            <w:pStyle w:val="8"/>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77ABFA93">
          <w:pPr>
            <w:pStyle w:val="8"/>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1BB8DF01">
          <w:pPr>
            <w:pStyle w:val="8"/>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1E4FD7BF">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78147E92">
          <w:pPr>
            <w:pStyle w:val="8"/>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45488C1E">
          <w:pPr>
            <w:pStyle w:val="8"/>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0B343617">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6D0BC600">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77B7F04C">
          <w:r>
            <w:rPr>
              <w:b/>
              <w:bCs/>
              <w:lang w:val="zh-CN"/>
            </w:rPr>
            <w:fldChar w:fldCharType="end"/>
          </w:r>
        </w:p>
      </w:sdtContent>
    </w:sdt>
    <w:p w14:paraId="668A8F04">
      <w:pPr>
        <w:widowControl/>
        <w:jc w:val="left"/>
        <w:rPr>
          <w:rFonts w:ascii="宋体" w:hAnsi="宋体" w:eastAsia="宋体" w:cs="Arial"/>
          <w:b/>
          <w:bCs/>
          <w:sz w:val="36"/>
          <w:szCs w:val="36"/>
        </w:rPr>
      </w:pPr>
      <w:r>
        <w:rPr>
          <w:rFonts w:ascii="宋体" w:hAnsi="宋体" w:eastAsia="宋体" w:cs="Arial"/>
          <w:b/>
          <w:bCs/>
          <w:sz w:val="36"/>
          <w:szCs w:val="36"/>
        </w:rPr>
        <w:br w:type="page"/>
      </w:r>
    </w:p>
    <w:p w14:paraId="49FEFBBA">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60BE3EA">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21335D94">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4A99BAE0">
      <w:pPr>
        <w:spacing w:line="360" w:lineRule="auto"/>
        <w:rPr>
          <w:rFonts w:ascii="仿宋_GB2312"/>
        </w:rPr>
      </w:pPr>
      <w:r>
        <w:rPr>
          <w:rFonts w:hint="eastAsia" w:ascii="仿宋_GB2312"/>
        </w:rPr>
        <w:t>1、项目背景</w:t>
      </w:r>
    </w:p>
    <w:p w14:paraId="06A3017D">
      <w:pPr>
        <w:spacing w:line="560" w:lineRule="exact"/>
        <w:ind w:left="402" w:firstLine="280" w:firstLineChars="100"/>
        <w:jc w:val="left"/>
        <w:rPr>
          <w:rFonts w:ascii="仿宋_GB2312" w:hAnsi="仿宋_GB2312" w:cs="仿宋_GB2312"/>
          <w:sz w:val="28"/>
          <w:szCs w:val="28"/>
        </w:rPr>
      </w:pPr>
      <w:r>
        <w:rPr>
          <w:rFonts w:hint="eastAsia" w:ascii="仿宋_GB2312" w:hAnsi="仿宋_GB2312" w:cs="仿宋_GB2312"/>
          <w:sz w:val="28"/>
          <w:szCs w:val="28"/>
        </w:rPr>
        <w:t>贯彻落实党中央“三农”工作决策部署和</w:t>
      </w:r>
      <w:bookmarkStart w:id="2" w:name="_Hlk98605473"/>
      <w:r>
        <w:rPr>
          <w:rFonts w:hint="eastAsia" w:ascii="仿宋_GB2312" w:hAnsi="仿宋_GB2312" w:cs="仿宋_GB2312"/>
          <w:sz w:val="28"/>
          <w:szCs w:val="28"/>
        </w:rPr>
        <w:t>《国务院关于加快推进农业机械化和农机装备产业转型升级的指导意见》（国发[2018]42号）、《中华人民共和国农业机械化促进法》，</w:t>
      </w:r>
      <w:bookmarkEnd w:id="2"/>
      <w:r>
        <w:rPr>
          <w:rFonts w:hint="eastAsia" w:ascii="仿宋_GB2312" w:hAnsi="仿宋_GB2312" w:cs="仿宋_GB2312"/>
          <w:sz w:val="28"/>
          <w:szCs w:val="28"/>
        </w:rPr>
        <w:t>要建立由农业农村部、工业和信息化部牵头的国家农业机械化发展协调推进机制，各省级人民政府要结合实际制定实施意见，重点在公共服务等方面提供支持。要充分尊重农民意愿，从根本上依靠市场力量和农民的创造性，因地制宜有序推进。</w:t>
      </w:r>
    </w:p>
    <w:p w14:paraId="367CD148">
      <w:pPr>
        <w:spacing w:line="560" w:lineRule="exact"/>
        <w:ind w:left="402" w:firstLine="280" w:firstLineChars="100"/>
        <w:jc w:val="left"/>
        <w:rPr>
          <w:rFonts w:ascii="仿宋_GB2312" w:hAnsi="仿宋_GB2312" w:cs="仿宋_GB2312"/>
          <w:sz w:val="28"/>
          <w:szCs w:val="28"/>
        </w:rPr>
      </w:pPr>
      <w:r>
        <w:rPr>
          <w:rFonts w:hint="eastAsia" w:ascii="仿宋_GB2312" w:hAnsi="仿宋_GB2312" w:cs="仿宋_GB2312"/>
          <w:sz w:val="28"/>
          <w:szCs w:val="28"/>
        </w:rPr>
        <w:t>农业机械化和农机装备是转变农业发展方式、提高农村生产力的重要基础。以服务乡村振兴战略、满足农民对机械化生产的需要为目标，以农机农艺融合、机械化信息化融合、农机服务模式与农业适度规模经营相适应、机械化生产与农田建设相适应为路径，以科技创新、机制创新、政策创新为动力，补短板、强弱项、促协调，推动农机装备产业向高质量发展转型，推动农业机械化向全程全面高质高效升级。</w:t>
      </w:r>
    </w:p>
    <w:p w14:paraId="6D758BD3">
      <w:pPr>
        <w:pStyle w:val="9"/>
      </w:pPr>
    </w:p>
    <w:p w14:paraId="5182013B">
      <w:pPr>
        <w:numPr>
          <w:ilvl w:val="0"/>
          <w:numId w:val="1"/>
        </w:numPr>
        <w:spacing w:line="360" w:lineRule="auto"/>
        <w:ind w:firstLine="600" w:firstLineChars="200"/>
      </w:pPr>
      <w:r>
        <w:rPr>
          <w:rFonts w:hint="eastAsia" w:ascii="仿宋_GB2312"/>
        </w:rPr>
        <w:t>主要内容</w:t>
      </w:r>
      <w:r>
        <w:rPr>
          <w:rFonts w:hint="eastAsia"/>
        </w:rPr>
        <w:t>及</w:t>
      </w:r>
      <w:r>
        <w:rPr>
          <w:rFonts w:hint="eastAsia" w:ascii="仿宋_GB2312"/>
        </w:rPr>
        <w:t>实施情况：</w:t>
      </w:r>
    </w:p>
    <w:p w14:paraId="03761DB6">
      <w:pPr>
        <w:spacing w:line="560" w:lineRule="exact"/>
        <w:ind w:left="402" w:firstLine="300" w:firstLineChars="100"/>
        <w:jc w:val="left"/>
        <w:rPr>
          <w:rFonts w:ascii="仿宋_GB2312"/>
          <w:color w:val="FF0000"/>
        </w:rPr>
      </w:pPr>
      <w:r>
        <w:rPr>
          <w:rFonts w:hint="eastAsia" w:ascii="仿宋_GB2312"/>
        </w:rPr>
        <w:t>主要内容：</w:t>
      </w:r>
      <w:r>
        <w:rPr>
          <w:rFonts w:hint="eastAsia" w:ascii="仿宋_GB2312" w:hAnsi="仿宋_GB2312" w:cs="仿宋_GB2312"/>
          <w:sz w:val="28"/>
          <w:szCs w:val="28"/>
        </w:rPr>
        <w:t>（1）主要内容：2023年下达农机购置补贴1316万元，用于扶持本县辖区从事农业生产的农牧民和服务组织购置拖拉机和配套农具，通过农机购置补贴政策积极引导农牧民购置先进适用的农业机械，大力提升我县农业机械化水平，提高农牧民收入。</w:t>
      </w:r>
    </w:p>
    <w:p w14:paraId="655E8A75">
      <w:pPr>
        <w:spacing w:line="360" w:lineRule="auto"/>
        <w:ind w:firstLine="600" w:firstLineChars="200"/>
        <w:rPr>
          <w:rFonts w:ascii="仿宋_GB2312"/>
        </w:rPr>
      </w:pPr>
      <w:r>
        <w:rPr>
          <w:rFonts w:hint="eastAsia" w:ascii="仿宋_GB2312"/>
        </w:rPr>
        <w:t>实施情况：2023年1月开始项目实施，2023年7月完成购置拖拉机和配套农具 521套，农业机械购置补贴资金拨付执行率达100%，本县辖区从事农业生产享受农机购置补贴受益农户达384户，最大限度减轻农牧民生产支出负担，全力提升我县农业机械化水平，提高农牧民收入，得到农牧民满意认可。</w:t>
      </w:r>
    </w:p>
    <w:p w14:paraId="76F2A54F">
      <w:pPr>
        <w:spacing w:line="360" w:lineRule="auto"/>
        <w:ind w:firstLine="600" w:firstLineChars="200"/>
        <w:rPr>
          <w:rFonts w:ascii="仿宋_GB2312"/>
        </w:rPr>
      </w:pPr>
      <w:r>
        <w:rPr>
          <w:rFonts w:hint="eastAsia" w:ascii="仿宋_GB2312"/>
        </w:rPr>
        <w:t>3、资金投入和使用情况</w:t>
      </w:r>
    </w:p>
    <w:p w14:paraId="55BCBCBC">
      <w:pPr>
        <w:spacing w:line="560" w:lineRule="exact"/>
        <w:ind w:left="402" w:firstLine="300" w:firstLineChars="100"/>
        <w:jc w:val="left"/>
        <w:rPr>
          <w:color w:val="FF0000"/>
        </w:rPr>
      </w:pPr>
      <w:r>
        <w:rPr>
          <w:rFonts w:hint="eastAsia"/>
        </w:rPr>
        <w:t>资金投入情况：</w:t>
      </w:r>
      <w:r>
        <w:rPr>
          <w:rFonts w:hint="eastAsia" w:ascii="仿宋_GB2312" w:hAnsi="仿宋_GB2312" w:cs="仿宋_GB2312"/>
          <w:sz w:val="28"/>
          <w:szCs w:val="28"/>
        </w:rPr>
        <w:t>该项目年初预算数1316万元，全年预算数1316万元，实际总投入1316万元，该项目资金已全部落实到位，资金来源为中央专项资金  。</w:t>
      </w:r>
    </w:p>
    <w:p w14:paraId="44A16E02">
      <w:pPr>
        <w:spacing w:line="360" w:lineRule="auto"/>
        <w:ind w:firstLine="600" w:firstLineChars="200"/>
        <w:rPr>
          <w:color w:val="FF0000"/>
        </w:rPr>
      </w:pPr>
      <w:r>
        <w:rPr>
          <w:rFonts w:hint="eastAsia"/>
        </w:rPr>
        <w:t>资金使用情况：</w:t>
      </w:r>
      <w:r>
        <w:rPr>
          <w:rFonts w:hint="eastAsia" w:ascii="仿宋_GB2312" w:hAnsi="仿宋_GB2312" w:cs="仿宋_GB2312"/>
          <w:sz w:val="28"/>
          <w:szCs w:val="28"/>
        </w:rPr>
        <w:t>该项目年初预算数1316万元，全年预算数1316万元，全年执行数 1316万元，预算执行率为100%，用</w:t>
      </w:r>
      <w:r>
        <w:rPr>
          <w:rFonts w:hint="eastAsia" w:ascii="华文仿宋" w:hAnsi="华文仿宋" w:eastAsia="华文仿宋" w:cs="华文仿宋"/>
          <w:color w:val="000000" w:themeColor="text1"/>
          <w:sz w:val="32"/>
          <w:szCs w:val="32"/>
          <w14:textFill>
            <w14:solidFill>
              <w14:schemeClr w14:val="tx1"/>
            </w14:solidFill>
          </w14:textFill>
        </w:rPr>
        <w:t>于</w:t>
      </w:r>
      <w:r>
        <w:rPr>
          <w:rFonts w:hint="eastAsia" w:ascii="仿宋_GB2312" w:hAnsi="仿宋_GB2312" w:cs="仿宋_GB2312"/>
          <w:sz w:val="28"/>
          <w:szCs w:val="28"/>
        </w:rPr>
        <w:t>：购置拖拉机和配套农具补贴1316万元</w:t>
      </w:r>
    </w:p>
    <w:p w14:paraId="00062A48">
      <w:pPr>
        <w:pStyle w:val="4"/>
        <w:spacing w:line="360" w:lineRule="auto"/>
        <w:ind w:firstLine="640" w:firstLineChars="200"/>
        <w:rPr>
          <w:rFonts w:ascii="仿宋_GB2312" w:eastAsia="仿宋_GB2312"/>
          <w:b w:val="0"/>
          <w:bCs w:val="0"/>
        </w:rPr>
      </w:pPr>
      <w:bookmarkStart w:id="3" w:name="_Toc68703829"/>
      <w:r>
        <w:rPr>
          <w:rFonts w:hint="eastAsia" w:ascii="仿宋_GB2312" w:eastAsia="仿宋_GB2312"/>
          <w:b w:val="0"/>
          <w:bCs w:val="0"/>
        </w:rPr>
        <w:t>（二）项目绩效目标。</w:t>
      </w:r>
      <w:bookmarkEnd w:id="3"/>
    </w:p>
    <w:p w14:paraId="0790C0AF">
      <w:pPr>
        <w:spacing w:line="560" w:lineRule="exact"/>
        <w:ind w:left="402" w:firstLine="300" w:firstLineChars="100"/>
        <w:jc w:val="left"/>
      </w:pPr>
      <w:r>
        <w:rPr>
          <w:rFonts w:hint="eastAsia"/>
        </w:rPr>
        <w:t>1、总体目标：</w:t>
      </w:r>
      <w:r>
        <w:rPr>
          <w:rFonts w:hint="eastAsia" w:ascii="仿宋_GB2312" w:hAnsi="仿宋_GB2312" w:cs="仿宋_GB2312"/>
          <w:sz w:val="28"/>
          <w:szCs w:val="28"/>
        </w:rPr>
        <w:t>通过扶持本县辖区从事农业生产的农牧民和服务组织购置拖拉机和配套农具通过农机购置补贴政策积极引导农牧民购置先进适用的农业机械，大力提升我县农业机械化水平，提高农牧民收入。</w:t>
      </w:r>
    </w:p>
    <w:p w14:paraId="37F66FAD">
      <w:pPr>
        <w:spacing w:line="560" w:lineRule="exact"/>
        <w:ind w:left="402" w:firstLine="300" w:firstLineChars="100"/>
        <w:jc w:val="left"/>
      </w:pPr>
      <w:r>
        <w:t>2</w:t>
      </w:r>
      <w:r>
        <w:rPr>
          <w:rFonts w:hint="eastAsia"/>
        </w:rPr>
        <w:t>、阶段性目标：</w:t>
      </w:r>
    </w:p>
    <w:p w14:paraId="573CB9B7">
      <w:pPr>
        <w:spacing w:line="560" w:lineRule="exact"/>
        <w:ind w:left="402" w:firstLine="280" w:firstLineChars="100"/>
        <w:jc w:val="left"/>
        <w:rPr>
          <w:rFonts w:ascii="仿宋_GB2312" w:hAnsi="仿宋_GB2312" w:cs="仿宋_GB2312"/>
          <w:sz w:val="28"/>
          <w:szCs w:val="28"/>
        </w:rPr>
      </w:pPr>
      <w:r>
        <w:rPr>
          <w:rFonts w:hint="eastAsia" w:ascii="仿宋_GB2312" w:hAnsi="仿宋_GB2312" w:cs="仿宋_GB2312"/>
          <w:sz w:val="28"/>
          <w:szCs w:val="28"/>
        </w:rPr>
        <w:t>阶段一：成立以县主管领导为组长，以监察局、财政局、农业农村局等部门主要负责人为成员的农机购置补贴工作领导</w:t>
      </w:r>
      <w:r>
        <w:rPr>
          <w:rFonts w:hint="eastAsia" w:ascii="华文仿宋" w:hAnsi="华文仿宋" w:eastAsia="华文仿宋" w:cs="华文仿宋"/>
          <w:color w:val="000000" w:themeColor="text1"/>
          <w:sz w:val="32"/>
          <w:szCs w:val="32"/>
          <w14:textFill>
            <w14:solidFill>
              <w14:schemeClr w14:val="tx1"/>
            </w14:solidFill>
          </w14:textFill>
        </w:rPr>
        <w:t>小</w:t>
      </w:r>
      <w:r>
        <w:rPr>
          <w:rFonts w:hint="eastAsia" w:ascii="仿宋_GB2312" w:hAnsi="仿宋_GB2312" w:cs="仿宋_GB2312"/>
          <w:sz w:val="28"/>
          <w:szCs w:val="28"/>
        </w:rPr>
        <w:t>组。各乡镇场也建立了组织机构，要求各乡镇场主要领导负总责、分管领导负全责、工作人员直接负责，建立健全乡级农机购置补贴工作机制和廉政风险防控约束机制。</w:t>
      </w:r>
    </w:p>
    <w:p w14:paraId="4FAD7532">
      <w:pPr>
        <w:spacing w:line="560" w:lineRule="exact"/>
        <w:ind w:left="402" w:firstLine="280" w:firstLineChars="100"/>
        <w:jc w:val="left"/>
        <w:rPr>
          <w:rFonts w:ascii="仿宋_GB2312" w:hAnsi="仿宋_GB2312" w:cs="仿宋_GB2312"/>
          <w:sz w:val="28"/>
          <w:szCs w:val="28"/>
        </w:rPr>
      </w:pPr>
      <w:r>
        <w:rPr>
          <w:rFonts w:hint="eastAsia" w:ascii="仿宋_GB2312" w:hAnsi="仿宋_GB2312" w:cs="仿宋_GB2312"/>
          <w:sz w:val="28"/>
          <w:szCs w:val="28"/>
        </w:rPr>
        <w:t>阶段二：县监察局、农业农村局、财政局等部门密切配合，形成工作合力，制定实施方案、操作程序和补贴资金兑付办法，并多次联合督促检查，确保我县农机购置补贴工作顺利开展。</w:t>
      </w:r>
    </w:p>
    <w:p w14:paraId="4C75CD04">
      <w:pPr>
        <w:spacing w:line="360" w:lineRule="auto"/>
        <w:ind w:firstLine="560" w:firstLineChars="200"/>
      </w:pPr>
      <w:r>
        <w:rPr>
          <w:rFonts w:hint="eastAsia" w:ascii="仿宋_GB2312" w:hAnsi="仿宋_GB2312" w:cs="仿宋_GB2312"/>
          <w:sz w:val="28"/>
          <w:szCs w:val="28"/>
        </w:rPr>
        <w:t>阶段三：全县2023年1月-7月完成扶持本县辖区从事农业生产的农牧民和服务组织购置拖拉机和配套农具521台（架），通过农机购置补贴政策积极引导农牧民购置先进适用的农业机械，大力提升我县农业机械化水平，农机购置补贴受益不少于384户，使项目受益农牧民满意度提升。</w:t>
      </w:r>
    </w:p>
    <w:p w14:paraId="5E46E1BA">
      <w:pPr>
        <w:pStyle w:val="3"/>
        <w:spacing w:line="360" w:lineRule="auto"/>
        <w:rPr>
          <w:rFonts w:ascii="宋体" w:hAnsi="宋体" w:eastAsia="宋体"/>
          <w:sz w:val="32"/>
          <w:szCs w:val="32"/>
        </w:rPr>
      </w:pPr>
      <w:bookmarkStart w:id="4" w:name="_Toc68703830"/>
      <w:r>
        <w:rPr>
          <w:rFonts w:hint="eastAsia" w:ascii="宋体" w:hAnsi="宋体" w:eastAsia="宋体"/>
          <w:sz w:val="32"/>
          <w:szCs w:val="32"/>
        </w:rPr>
        <w:t>二、绩效评价工作开展情况</w:t>
      </w:r>
      <w:bookmarkEnd w:id="4"/>
    </w:p>
    <w:p w14:paraId="604E7D27">
      <w:pPr>
        <w:pStyle w:val="4"/>
        <w:spacing w:line="360" w:lineRule="auto"/>
        <w:rPr>
          <w:rFonts w:ascii="仿宋_GB2312" w:eastAsia="仿宋_GB2312"/>
          <w:b w:val="0"/>
          <w:bCs w:val="0"/>
        </w:rPr>
      </w:pPr>
      <w:bookmarkStart w:id="5" w:name="_Toc68703831"/>
      <w:r>
        <w:rPr>
          <w:rFonts w:hint="eastAsia" w:ascii="仿宋_GB2312" w:eastAsia="仿宋_GB2312"/>
          <w:b w:val="0"/>
          <w:bCs w:val="0"/>
        </w:rPr>
        <w:t>（一）绩效评价目的、对象和范围。</w:t>
      </w:r>
      <w:bookmarkEnd w:id="5"/>
    </w:p>
    <w:p w14:paraId="3E24202D">
      <w:pPr>
        <w:spacing w:line="360" w:lineRule="auto"/>
      </w:pPr>
      <w:r>
        <w:rPr>
          <w:rFonts w:hint="eastAsia"/>
        </w:rPr>
        <w:t>1、绩效评价目的：</w:t>
      </w:r>
    </w:p>
    <w:p w14:paraId="0AF3447A">
      <w:pPr>
        <w:spacing w:line="360" w:lineRule="auto"/>
        <w:ind w:firstLine="560" w:firstLineChars="200"/>
        <w:jc w:val="left"/>
        <w:rPr>
          <w:rFonts w:ascii="仿宋_GB2312" w:hAnsi="仿宋_GB2312" w:cs="仿宋_GB2312"/>
          <w:sz w:val="28"/>
          <w:szCs w:val="28"/>
        </w:rPr>
      </w:pPr>
      <w:r>
        <w:rPr>
          <w:rFonts w:hint="eastAsia" w:ascii="仿宋_GB2312" w:hAnsi="仿宋_GB2312" w:cs="仿宋_GB2312"/>
          <w:sz w:val="28"/>
          <w:szCs w:val="28"/>
        </w:rPr>
        <w:t>绩效评价旨在通过评价改善预算部门的财政支出管理，优化资源配置及提高公共服务水平。运用科学、规范的绩效评价方法，按照焉耆县财政局的相关要求，对焉耆县农机购置补贴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从专项资金的角度提出有针对性的建议，提高对专项资金的有效利用度，进一步提绩效工作的水平</w:t>
      </w:r>
    </w:p>
    <w:p w14:paraId="3196C5E7">
      <w:pPr>
        <w:spacing w:line="360" w:lineRule="auto"/>
        <w:ind w:firstLine="600" w:firstLineChars="200"/>
        <w:jc w:val="left"/>
      </w:pPr>
      <w:r>
        <w:rPr>
          <w:rFonts w:hint="eastAsia"/>
        </w:rPr>
        <w:t>2、绩效评价对象：</w:t>
      </w:r>
    </w:p>
    <w:p w14:paraId="0032F0A2">
      <w:pPr>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2023年农机购置补贴项目</w:t>
      </w:r>
    </w:p>
    <w:p w14:paraId="3D4635CB">
      <w:pPr>
        <w:spacing w:line="360" w:lineRule="auto"/>
        <w:ind w:firstLine="600" w:firstLineChars="200"/>
      </w:pPr>
      <w:r>
        <w:rPr>
          <w:rFonts w:hint="eastAsia"/>
        </w:rPr>
        <w:t>3、绩效评价范围：</w:t>
      </w:r>
    </w:p>
    <w:p w14:paraId="498A7667">
      <w:pPr>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本次评价从项目决策（包括绩效目标、决策过程）、项目管理（包括项目资金、项目实施）、项目产出（包括项目产出数量、产出质量、产出时效和产出成本）项目效益四个维度进行2023年农机购置补贴项目资金评价，评价核心为专项资金的支出完成情况和效果。</w:t>
      </w:r>
      <w:bookmarkStart w:id="6" w:name="_Toc68703832"/>
    </w:p>
    <w:p w14:paraId="5FED247C">
      <w:pPr>
        <w:spacing w:line="360" w:lineRule="auto"/>
        <w:ind w:firstLine="600" w:firstLineChars="200"/>
        <w:rPr>
          <w:rFonts w:ascii="仿宋_GB2312"/>
        </w:rPr>
      </w:pPr>
      <w:r>
        <w:rPr>
          <w:rFonts w:hint="eastAsia" w:ascii="仿宋_GB2312"/>
        </w:rPr>
        <w:t>（二）绩效评价原则、评价指标体系、评价方法、评价标准等。</w:t>
      </w:r>
      <w:bookmarkEnd w:id="6"/>
    </w:p>
    <w:p w14:paraId="279D856F">
      <w:pPr>
        <w:spacing w:line="360" w:lineRule="auto"/>
      </w:pPr>
      <w:r>
        <w:rPr>
          <w:rFonts w:hint="eastAsia"/>
        </w:rPr>
        <w:t>1、绩效评价原则</w:t>
      </w:r>
    </w:p>
    <w:p w14:paraId="6114CBBD">
      <w:pPr>
        <w:spacing w:line="560" w:lineRule="exact"/>
        <w:ind w:left="402" w:firstLine="280" w:firstLineChars="100"/>
        <w:jc w:val="left"/>
        <w:rPr>
          <w:rFonts w:ascii="仿宋_GB2312" w:hAnsi="仿宋_GB2312" w:cs="仿宋_GB2312"/>
          <w:sz w:val="28"/>
          <w:szCs w:val="28"/>
        </w:rPr>
      </w:pPr>
      <w:r>
        <w:rPr>
          <w:rFonts w:hint="eastAsia" w:ascii="仿宋_GB2312" w:hAnsi="仿宋_GB2312" w:cs="仿宋_GB2312"/>
          <w:sz w:val="28"/>
          <w:szCs w:val="28"/>
        </w:rPr>
        <w:t>（1）科学公正。本次自评采用项目执行部门审查与外部协作单位抽查相结合的方式，按照前期准备、组织实施、分析评价的程序进行，采取绩效自评和他评相结合，通过材料核查、座谈询问、问卷调查等方式，综合运用对比分析等方法进行评价，确保评价过程及结果客观、公正。</w:t>
      </w:r>
    </w:p>
    <w:p w14:paraId="75D8F862">
      <w:pPr>
        <w:spacing w:line="560" w:lineRule="exact"/>
        <w:ind w:left="402" w:firstLine="280" w:firstLineChars="100"/>
        <w:jc w:val="left"/>
        <w:rPr>
          <w:rFonts w:ascii="仿宋_GB2312" w:hAnsi="仿宋_GB2312" w:cs="仿宋_GB2312"/>
          <w:sz w:val="28"/>
          <w:szCs w:val="28"/>
        </w:rPr>
      </w:pPr>
      <w:r>
        <w:rPr>
          <w:rFonts w:hint="eastAsia" w:ascii="仿宋_GB2312" w:hAnsi="仿宋_GB2312" w:cs="仿宋_GB2312"/>
          <w:sz w:val="28"/>
          <w:szCs w:val="28"/>
        </w:rPr>
        <w:t>（2）统筹兼顾。焉耆</w:t>
      </w:r>
      <w:r>
        <w:rPr>
          <w:rFonts w:hint="eastAsia" w:ascii="仿宋_GB2312" w:hAnsi="仿宋_GB2312" w:cs="仿宋_GB2312"/>
          <w:sz w:val="28"/>
          <w:szCs w:val="28"/>
          <w:lang w:eastAsia="zh-CN"/>
        </w:rPr>
        <w:t>县农业农村局</w:t>
      </w:r>
      <w:r>
        <w:rPr>
          <w:rFonts w:hint="eastAsia" w:ascii="仿宋_GB2312" w:hAnsi="仿宋_GB2312" w:cs="仿宋_GB2312"/>
          <w:sz w:val="28"/>
          <w:szCs w:val="28"/>
        </w:rPr>
        <w:t>召集各项目负责人会议，领会绩效评价会议精神，根据规范程序布置工作任务，统一自评标准，制定了工作方案，确保绩效评价工作扎实、开展。依据工作方案，各股室按照绩效目标进行评价，根据综合意见形成自评报告。</w:t>
      </w:r>
    </w:p>
    <w:p w14:paraId="1FBDC8EE">
      <w:pPr>
        <w:spacing w:line="560" w:lineRule="exact"/>
        <w:ind w:left="402" w:firstLine="280" w:firstLineChars="100"/>
        <w:jc w:val="left"/>
        <w:rPr>
          <w:rFonts w:ascii="仿宋_GB2312" w:hAnsi="仿宋_GB2312" w:cs="仿宋_GB2312"/>
          <w:sz w:val="28"/>
          <w:szCs w:val="28"/>
        </w:rPr>
      </w:pPr>
      <w:r>
        <w:rPr>
          <w:rFonts w:hint="eastAsia" w:ascii="仿宋_GB2312" w:hAnsi="仿宋_GB2312" w:cs="仿宋_GB2312"/>
          <w:sz w:val="28"/>
          <w:szCs w:val="28"/>
        </w:rPr>
        <w:t>（3）激励约束。绩效评价结果应与资金分配挂钩，建立健全评价结果</w:t>
      </w:r>
      <w:bookmarkStart w:id="22" w:name="_GoBack"/>
      <w:bookmarkEnd w:id="22"/>
      <w:r>
        <w:rPr>
          <w:rFonts w:hint="eastAsia" w:ascii="仿宋_GB2312" w:hAnsi="仿宋_GB2312" w:cs="仿宋_GB2312"/>
          <w:sz w:val="28"/>
          <w:szCs w:val="28"/>
          <w:lang w:eastAsia="zh-CN"/>
        </w:rPr>
        <w:t>与</w:t>
      </w:r>
      <w:r>
        <w:rPr>
          <w:rFonts w:hint="eastAsia" w:ascii="仿宋_GB2312" w:hAnsi="仿宋_GB2312" w:cs="仿宋_GB2312"/>
          <w:sz w:val="28"/>
          <w:szCs w:val="28"/>
        </w:rPr>
        <w:t>财政预算资金分配挂钩，并作为改进管理、完善政策的重要依据，向上一年度绩效评价考核优秀的部门倾斜。</w:t>
      </w:r>
    </w:p>
    <w:p w14:paraId="4ED219B8">
      <w:pPr>
        <w:spacing w:line="360" w:lineRule="auto"/>
      </w:pPr>
      <w:r>
        <w:rPr>
          <w:rFonts w:hint="eastAsia" w:ascii="仿宋_GB2312" w:hAnsi="仿宋_GB2312" w:cs="仿宋_GB2312"/>
          <w:sz w:val="28"/>
          <w:szCs w:val="28"/>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14:paraId="6D3177B7">
      <w:pPr>
        <w:spacing w:line="360" w:lineRule="auto"/>
      </w:pPr>
      <w:r>
        <w:rPr>
          <w:rFonts w:hint="eastAsia"/>
        </w:rPr>
        <w:t>2、评价指标体系（附表说明）</w:t>
      </w:r>
    </w:p>
    <w:p w14:paraId="1DCA9973">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2023年农机购置补贴项目支出绩效评价指标体系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36A2E6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7" w:hRule="atLeast"/>
          <w:tblHeader/>
          <w:jc w:val="center"/>
        </w:trPr>
        <w:tc>
          <w:tcPr>
            <w:tcW w:w="757" w:type="dxa"/>
            <w:shd w:val="clear" w:color="auto" w:fill="FFFFFF"/>
            <w:vAlign w:val="center"/>
          </w:tcPr>
          <w:p w14:paraId="006D8EE6">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060FB0ED">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23031D63">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498B2129">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7983F34D">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5619CB8E">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4BC31B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3" w:hRule="atLeast"/>
          <w:jc w:val="center"/>
        </w:trPr>
        <w:tc>
          <w:tcPr>
            <w:tcW w:w="757" w:type="dxa"/>
            <w:vMerge w:val="restart"/>
            <w:shd w:val="clear" w:color="auto" w:fill="FFFFFF"/>
            <w:vAlign w:val="center"/>
          </w:tcPr>
          <w:p w14:paraId="2279FC6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3CD4FA4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519216C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6C800DA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0799BA0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2F839004">
            <w:pPr>
              <w:spacing w:line="600" w:lineRule="auto"/>
              <w:jc w:val="center"/>
              <w:rPr>
                <w:sz w:val="21"/>
                <w:szCs w:val="21"/>
              </w:rPr>
            </w:pPr>
            <w:r>
              <w:rPr>
                <w:rFonts w:hint="eastAsia"/>
                <w:sz w:val="21"/>
                <w:szCs w:val="21"/>
              </w:rPr>
              <w:t>5</w:t>
            </w:r>
          </w:p>
        </w:tc>
        <w:tc>
          <w:tcPr>
            <w:tcW w:w="874" w:type="dxa"/>
            <w:tcBorders>
              <w:bottom w:val="single" w:color="auto" w:sz="4" w:space="0"/>
            </w:tcBorders>
            <w:shd w:val="clear" w:color="auto" w:fill="FFFFFF"/>
          </w:tcPr>
          <w:p w14:paraId="6538B6A1">
            <w:pPr>
              <w:spacing w:line="600" w:lineRule="auto"/>
              <w:jc w:val="center"/>
              <w:rPr>
                <w:sz w:val="21"/>
                <w:szCs w:val="21"/>
              </w:rPr>
            </w:pPr>
            <w:r>
              <w:rPr>
                <w:rFonts w:hint="eastAsia"/>
                <w:sz w:val="21"/>
                <w:szCs w:val="21"/>
              </w:rPr>
              <w:t>5</w:t>
            </w:r>
          </w:p>
        </w:tc>
      </w:tr>
      <w:tr w14:paraId="3F6AEA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1" w:hRule="atLeast"/>
          <w:jc w:val="center"/>
        </w:trPr>
        <w:tc>
          <w:tcPr>
            <w:tcW w:w="757" w:type="dxa"/>
            <w:vMerge w:val="continue"/>
            <w:shd w:val="clear" w:color="auto" w:fill="FFFFFF"/>
            <w:vAlign w:val="center"/>
          </w:tcPr>
          <w:p w14:paraId="170D5A3E">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64BB1CB">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0F0BE9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3ECBAA6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2654F03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23900356">
            <w:pPr>
              <w:spacing w:line="600" w:lineRule="auto"/>
              <w:jc w:val="center"/>
              <w:rPr>
                <w:sz w:val="21"/>
                <w:szCs w:val="21"/>
              </w:rPr>
            </w:pPr>
            <w:r>
              <w:rPr>
                <w:rFonts w:hint="eastAsia"/>
                <w:sz w:val="21"/>
                <w:szCs w:val="21"/>
              </w:rPr>
              <w:t>5</w:t>
            </w:r>
          </w:p>
        </w:tc>
        <w:tc>
          <w:tcPr>
            <w:tcW w:w="874" w:type="dxa"/>
            <w:shd w:val="clear" w:color="auto" w:fill="FFFFFF"/>
          </w:tcPr>
          <w:p w14:paraId="66DCCB2A">
            <w:pPr>
              <w:spacing w:line="600" w:lineRule="auto"/>
              <w:jc w:val="center"/>
              <w:rPr>
                <w:sz w:val="21"/>
                <w:szCs w:val="21"/>
              </w:rPr>
            </w:pPr>
            <w:r>
              <w:rPr>
                <w:rFonts w:hint="eastAsia"/>
                <w:sz w:val="21"/>
                <w:szCs w:val="21"/>
              </w:rPr>
              <w:t>5</w:t>
            </w:r>
          </w:p>
        </w:tc>
      </w:tr>
      <w:tr w14:paraId="34594E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5" w:hRule="atLeast"/>
          <w:jc w:val="center"/>
        </w:trPr>
        <w:tc>
          <w:tcPr>
            <w:tcW w:w="757" w:type="dxa"/>
            <w:vMerge w:val="continue"/>
            <w:shd w:val="clear" w:color="auto" w:fill="FFFFFF"/>
            <w:vAlign w:val="center"/>
          </w:tcPr>
          <w:p w14:paraId="03BA5961">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1F037FE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644DC9E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17489E9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57F87BE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72B6AC47">
            <w:pPr>
              <w:spacing w:line="600" w:lineRule="auto"/>
              <w:jc w:val="center"/>
              <w:rPr>
                <w:i/>
                <w:iCs/>
                <w:sz w:val="21"/>
                <w:szCs w:val="21"/>
              </w:rPr>
            </w:pPr>
            <w:r>
              <w:rPr>
                <w:rFonts w:hint="eastAsia"/>
                <w:sz w:val="21"/>
                <w:szCs w:val="21"/>
              </w:rPr>
              <w:t>2</w:t>
            </w:r>
            <w:r>
              <w:rPr>
                <w:sz w:val="21"/>
                <w:szCs w:val="21"/>
              </w:rPr>
              <w:t>.5</w:t>
            </w:r>
          </w:p>
        </w:tc>
        <w:tc>
          <w:tcPr>
            <w:tcW w:w="874" w:type="dxa"/>
            <w:shd w:val="clear" w:color="000000" w:fill="FFFFFF"/>
          </w:tcPr>
          <w:p w14:paraId="64FC0BB0">
            <w:pPr>
              <w:spacing w:line="600" w:lineRule="auto"/>
              <w:jc w:val="center"/>
              <w:rPr>
                <w:i/>
                <w:iCs/>
                <w:sz w:val="21"/>
                <w:szCs w:val="21"/>
              </w:rPr>
            </w:pPr>
            <w:r>
              <w:rPr>
                <w:sz w:val="21"/>
                <w:szCs w:val="21"/>
              </w:rPr>
              <w:t>2.5</w:t>
            </w:r>
          </w:p>
        </w:tc>
      </w:tr>
      <w:tr w14:paraId="60C3C7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611FD6B8">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D7D2CA2">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662609E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5C56046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6AF4EE4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51667029">
            <w:pPr>
              <w:spacing w:line="600" w:lineRule="auto"/>
              <w:jc w:val="center"/>
              <w:rPr>
                <w:i/>
                <w:iCs/>
                <w:sz w:val="21"/>
                <w:szCs w:val="21"/>
              </w:rPr>
            </w:pPr>
            <w:r>
              <w:rPr>
                <w:rFonts w:hint="eastAsia"/>
                <w:sz w:val="21"/>
                <w:szCs w:val="21"/>
              </w:rPr>
              <w:t>2</w:t>
            </w:r>
            <w:r>
              <w:rPr>
                <w:sz w:val="21"/>
                <w:szCs w:val="21"/>
              </w:rPr>
              <w:t>.5</w:t>
            </w:r>
          </w:p>
        </w:tc>
        <w:tc>
          <w:tcPr>
            <w:tcW w:w="874" w:type="dxa"/>
            <w:tcBorders>
              <w:bottom w:val="single" w:color="auto" w:sz="4" w:space="0"/>
            </w:tcBorders>
            <w:shd w:val="clear" w:color="000000" w:fill="FFFFFF"/>
          </w:tcPr>
          <w:p w14:paraId="61E9C8A8">
            <w:pPr>
              <w:spacing w:line="600" w:lineRule="auto"/>
              <w:jc w:val="center"/>
              <w:rPr>
                <w:i/>
                <w:iCs/>
                <w:sz w:val="21"/>
                <w:szCs w:val="21"/>
              </w:rPr>
            </w:pPr>
            <w:r>
              <w:rPr>
                <w:rFonts w:hint="eastAsia"/>
                <w:sz w:val="21"/>
                <w:szCs w:val="21"/>
              </w:rPr>
              <w:t>2</w:t>
            </w:r>
            <w:r>
              <w:rPr>
                <w:sz w:val="21"/>
                <w:szCs w:val="21"/>
              </w:rPr>
              <w:t>.5</w:t>
            </w:r>
          </w:p>
        </w:tc>
      </w:tr>
      <w:tr w14:paraId="78B0C6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51BEA8A7">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1A58EB6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604CAFDA">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790336A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0B558E0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6C373E4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1E5DBE95">
            <w:pPr>
              <w:spacing w:line="600" w:lineRule="auto"/>
              <w:jc w:val="center"/>
              <w:rPr>
                <w:i/>
                <w:iCs/>
                <w:sz w:val="21"/>
                <w:szCs w:val="21"/>
              </w:rPr>
            </w:pPr>
            <w:r>
              <w:rPr>
                <w:rFonts w:hint="eastAsia"/>
                <w:sz w:val="21"/>
                <w:szCs w:val="21"/>
              </w:rPr>
              <w:t>2</w:t>
            </w:r>
            <w:r>
              <w:rPr>
                <w:sz w:val="21"/>
                <w:szCs w:val="21"/>
              </w:rPr>
              <w:t>.5</w:t>
            </w:r>
          </w:p>
        </w:tc>
        <w:tc>
          <w:tcPr>
            <w:tcW w:w="874" w:type="dxa"/>
            <w:tcBorders>
              <w:bottom w:val="single" w:color="auto" w:sz="4" w:space="0"/>
            </w:tcBorders>
            <w:shd w:val="clear" w:color="auto" w:fill="FFFFFF"/>
          </w:tcPr>
          <w:p w14:paraId="0D650D02">
            <w:pPr>
              <w:spacing w:line="600" w:lineRule="auto"/>
              <w:jc w:val="center"/>
              <w:rPr>
                <w:i/>
                <w:iCs/>
                <w:sz w:val="21"/>
                <w:szCs w:val="21"/>
              </w:rPr>
            </w:pPr>
            <w:r>
              <w:rPr>
                <w:rFonts w:hint="eastAsia"/>
                <w:sz w:val="21"/>
                <w:szCs w:val="21"/>
              </w:rPr>
              <w:t>2</w:t>
            </w:r>
            <w:r>
              <w:rPr>
                <w:sz w:val="21"/>
                <w:szCs w:val="21"/>
              </w:rPr>
              <w:t>.5</w:t>
            </w:r>
          </w:p>
        </w:tc>
      </w:tr>
      <w:tr w14:paraId="61A95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30A95B73">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C261614">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0C29EC2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3F55B42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55EC9B59">
            <w:pPr>
              <w:widowControl/>
              <w:spacing w:line="0" w:lineRule="atLeast"/>
              <w:jc w:val="center"/>
              <w:rPr>
                <w:rFonts w:ascii="宋体" w:hAnsi="宋体" w:cs="宋体"/>
                <w:color w:val="000000"/>
                <w:kern w:val="0"/>
                <w:sz w:val="22"/>
              </w:rPr>
            </w:pPr>
            <w:r>
              <w:rPr>
                <w:rFonts w:hint="eastAsia" w:ascii="宋体" w:hAnsi="宋体" w:cs="宋体"/>
                <w:color w:val="000000"/>
                <w:kern w:val="0"/>
                <w:sz w:val="20"/>
                <w:szCs w:val="20"/>
              </w:rPr>
              <w:t>项目预算资金分配是否有测算依据，与补助单位或地方实际是否相适应，用以反映和考核项目预算资金分配的科性、合理性情况。</w:t>
            </w:r>
          </w:p>
        </w:tc>
        <w:tc>
          <w:tcPr>
            <w:tcW w:w="990" w:type="dxa"/>
            <w:tcBorders>
              <w:left w:val="single" w:color="auto" w:sz="4" w:space="0"/>
            </w:tcBorders>
            <w:shd w:val="clear" w:color="auto" w:fill="FFFFFF"/>
          </w:tcPr>
          <w:p w14:paraId="7110901A">
            <w:pPr>
              <w:spacing w:line="600" w:lineRule="auto"/>
              <w:jc w:val="center"/>
              <w:rPr>
                <w:i/>
                <w:iCs/>
                <w:sz w:val="21"/>
                <w:szCs w:val="21"/>
              </w:rPr>
            </w:pPr>
            <w:r>
              <w:rPr>
                <w:rFonts w:hint="eastAsia"/>
                <w:sz w:val="21"/>
                <w:szCs w:val="21"/>
              </w:rPr>
              <w:t>2</w:t>
            </w:r>
            <w:r>
              <w:rPr>
                <w:sz w:val="21"/>
                <w:szCs w:val="21"/>
              </w:rPr>
              <w:t>.5</w:t>
            </w:r>
          </w:p>
        </w:tc>
        <w:tc>
          <w:tcPr>
            <w:tcW w:w="874" w:type="dxa"/>
            <w:shd w:val="clear" w:color="auto" w:fill="FFFFFF"/>
          </w:tcPr>
          <w:p w14:paraId="23752F6E">
            <w:pPr>
              <w:spacing w:line="600" w:lineRule="auto"/>
              <w:jc w:val="center"/>
              <w:rPr>
                <w:i/>
                <w:iCs/>
                <w:sz w:val="21"/>
                <w:szCs w:val="21"/>
              </w:rPr>
            </w:pPr>
            <w:r>
              <w:rPr>
                <w:rFonts w:hint="eastAsia"/>
                <w:sz w:val="21"/>
                <w:szCs w:val="21"/>
              </w:rPr>
              <w:t>2</w:t>
            </w:r>
            <w:r>
              <w:rPr>
                <w:sz w:val="21"/>
                <w:szCs w:val="21"/>
              </w:rPr>
              <w:t>.5</w:t>
            </w:r>
          </w:p>
        </w:tc>
      </w:tr>
      <w:tr w14:paraId="7A9D10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397CE549">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0774F70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2D35119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67F0D67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1D5FD8A4">
            <w:pPr>
              <w:spacing w:line="600" w:lineRule="auto"/>
              <w:jc w:val="center"/>
              <w:rPr>
                <w:i/>
                <w:iCs/>
                <w:sz w:val="21"/>
                <w:szCs w:val="21"/>
              </w:rPr>
            </w:pPr>
            <w:r>
              <w:rPr>
                <w:rFonts w:hint="eastAsia"/>
                <w:sz w:val="21"/>
                <w:szCs w:val="21"/>
              </w:rPr>
              <w:t>4</w:t>
            </w:r>
          </w:p>
        </w:tc>
        <w:tc>
          <w:tcPr>
            <w:tcW w:w="874" w:type="dxa"/>
            <w:tcBorders>
              <w:bottom w:val="single" w:color="auto" w:sz="4" w:space="0"/>
            </w:tcBorders>
            <w:shd w:val="clear" w:color="000000" w:fill="FFFFFF"/>
          </w:tcPr>
          <w:p w14:paraId="0106BD69">
            <w:pPr>
              <w:spacing w:line="600" w:lineRule="auto"/>
              <w:jc w:val="center"/>
              <w:rPr>
                <w:i/>
                <w:iCs/>
                <w:sz w:val="21"/>
                <w:szCs w:val="21"/>
              </w:rPr>
            </w:pPr>
            <w:r>
              <w:rPr>
                <w:rFonts w:hint="eastAsia"/>
                <w:sz w:val="21"/>
                <w:szCs w:val="21"/>
              </w:rPr>
              <w:t>4</w:t>
            </w:r>
          </w:p>
        </w:tc>
      </w:tr>
      <w:tr w14:paraId="2A36A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7692CB45">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88D0E06">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65FF50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3A485A0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04B26669">
            <w:pPr>
              <w:spacing w:line="600" w:lineRule="auto"/>
              <w:jc w:val="center"/>
              <w:rPr>
                <w:i/>
                <w:iCs/>
                <w:sz w:val="21"/>
                <w:szCs w:val="21"/>
              </w:rPr>
            </w:pPr>
            <w:r>
              <w:rPr>
                <w:rFonts w:hint="eastAsia"/>
                <w:sz w:val="21"/>
                <w:szCs w:val="21"/>
              </w:rPr>
              <w:t>4</w:t>
            </w:r>
          </w:p>
        </w:tc>
        <w:tc>
          <w:tcPr>
            <w:tcW w:w="874" w:type="dxa"/>
            <w:tcBorders>
              <w:bottom w:val="single" w:color="auto" w:sz="4" w:space="0"/>
            </w:tcBorders>
            <w:shd w:val="clear" w:color="auto" w:fill="FFFFFF"/>
          </w:tcPr>
          <w:p w14:paraId="4B0F6F89">
            <w:pPr>
              <w:spacing w:line="600" w:lineRule="auto"/>
              <w:jc w:val="center"/>
              <w:rPr>
                <w:i/>
                <w:iCs/>
                <w:sz w:val="21"/>
                <w:szCs w:val="21"/>
              </w:rPr>
            </w:pPr>
            <w:r>
              <w:rPr>
                <w:rFonts w:hint="eastAsia"/>
                <w:sz w:val="21"/>
                <w:szCs w:val="21"/>
              </w:rPr>
              <w:t>4</w:t>
            </w:r>
          </w:p>
        </w:tc>
      </w:tr>
      <w:tr w14:paraId="3C90C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0DA7CE46">
            <w:pPr>
              <w:spacing w:line="0" w:lineRule="atLeast"/>
              <w:jc w:val="center"/>
              <w:rPr>
                <w:rFonts w:ascii="宋体" w:hAnsi="宋体" w:cs="宋体"/>
                <w:color w:val="000000"/>
                <w:kern w:val="0"/>
                <w:sz w:val="22"/>
              </w:rPr>
            </w:pPr>
          </w:p>
        </w:tc>
        <w:tc>
          <w:tcPr>
            <w:tcW w:w="1478" w:type="dxa"/>
            <w:shd w:val="clear" w:color="auto" w:fill="FFFFFF"/>
            <w:vAlign w:val="center"/>
          </w:tcPr>
          <w:p w14:paraId="79A1019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30C6AD2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50ECE2D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2AC83F9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5F3CF8CB">
            <w:pPr>
              <w:spacing w:line="600" w:lineRule="auto"/>
              <w:jc w:val="center"/>
              <w:rPr>
                <w:sz w:val="21"/>
                <w:szCs w:val="21"/>
              </w:rPr>
            </w:pPr>
            <w:r>
              <w:rPr>
                <w:rFonts w:hint="eastAsia"/>
                <w:sz w:val="21"/>
                <w:szCs w:val="21"/>
              </w:rPr>
              <w:t>4</w:t>
            </w:r>
          </w:p>
        </w:tc>
        <w:tc>
          <w:tcPr>
            <w:tcW w:w="874" w:type="dxa"/>
            <w:tcBorders>
              <w:bottom w:val="single" w:color="auto" w:sz="4" w:space="0"/>
            </w:tcBorders>
            <w:shd w:val="clear" w:color="000000" w:fill="FFFFFF"/>
          </w:tcPr>
          <w:p w14:paraId="41217BA2">
            <w:pPr>
              <w:spacing w:line="600" w:lineRule="auto"/>
              <w:jc w:val="center"/>
              <w:rPr>
                <w:sz w:val="21"/>
                <w:szCs w:val="21"/>
              </w:rPr>
            </w:pPr>
            <w:r>
              <w:rPr>
                <w:rFonts w:hint="eastAsia"/>
                <w:sz w:val="21"/>
                <w:szCs w:val="21"/>
              </w:rPr>
              <w:t>4</w:t>
            </w:r>
          </w:p>
        </w:tc>
      </w:tr>
      <w:tr w14:paraId="6488C1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1854A3CE">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021CE0D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28EA6B21">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441C8E5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168E20D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658E7B2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26182120">
            <w:pPr>
              <w:spacing w:line="600" w:lineRule="auto"/>
              <w:jc w:val="center"/>
              <w:rPr>
                <w:sz w:val="21"/>
                <w:szCs w:val="21"/>
              </w:rPr>
            </w:pPr>
            <w:r>
              <w:rPr>
                <w:rFonts w:hint="eastAsia"/>
                <w:sz w:val="21"/>
                <w:szCs w:val="21"/>
              </w:rPr>
              <w:t>4</w:t>
            </w:r>
          </w:p>
        </w:tc>
        <w:tc>
          <w:tcPr>
            <w:tcW w:w="874" w:type="dxa"/>
            <w:tcBorders>
              <w:bottom w:val="single" w:color="auto" w:sz="4" w:space="0"/>
            </w:tcBorders>
            <w:shd w:val="clear" w:color="000000" w:fill="FFFFFF"/>
          </w:tcPr>
          <w:p w14:paraId="06BB8FD0">
            <w:pPr>
              <w:spacing w:line="600" w:lineRule="auto"/>
              <w:jc w:val="center"/>
              <w:rPr>
                <w:sz w:val="21"/>
                <w:szCs w:val="21"/>
              </w:rPr>
            </w:pPr>
            <w:r>
              <w:rPr>
                <w:sz w:val="21"/>
                <w:szCs w:val="21"/>
              </w:rPr>
              <w:t>4</w:t>
            </w:r>
          </w:p>
        </w:tc>
      </w:tr>
      <w:tr w14:paraId="1B2CB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6D64F888">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559F5D6F">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DD0580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1CCE8D5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3B11194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1A045885">
            <w:pPr>
              <w:spacing w:line="600" w:lineRule="auto"/>
              <w:jc w:val="center"/>
              <w:rPr>
                <w:sz w:val="21"/>
                <w:szCs w:val="21"/>
              </w:rPr>
            </w:pPr>
            <w:r>
              <w:rPr>
                <w:rFonts w:hint="eastAsia"/>
                <w:sz w:val="21"/>
                <w:szCs w:val="21"/>
              </w:rPr>
              <w:t>4</w:t>
            </w:r>
          </w:p>
        </w:tc>
        <w:tc>
          <w:tcPr>
            <w:tcW w:w="874" w:type="dxa"/>
            <w:tcBorders>
              <w:bottom w:val="single" w:color="auto" w:sz="4" w:space="0"/>
            </w:tcBorders>
            <w:shd w:val="clear" w:color="000000" w:fill="FFFFFF"/>
          </w:tcPr>
          <w:p w14:paraId="33C4ACFA">
            <w:pPr>
              <w:spacing w:line="600" w:lineRule="auto"/>
              <w:jc w:val="center"/>
              <w:rPr>
                <w:sz w:val="21"/>
                <w:szCs w:val="21"/>
              </w:rPr>
            </w:pPr>
            <w:r>
              <w:rPr>
                <w:sz w:val="21"/>
                <w:szCs w:val="21"/>
              </w:rPr>
              <w:t>4</w:t>
            </w:r>
          </w:p>
        </w:tc>
      </w:tr>
      <w:tr w14:paraId="47EB9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1C9B104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03CC087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456DE8E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248C51F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3632249D">
            <w:pPr>
              <w:spacing w:line="600" w:lineRule="auto"/>
              <w:jc w:val="center"/>
              <w:rPr>
                <w:sz w:val="21"/>
                <w:szCs w:val="21"/>
              </w:rPr>
            </w:pPr>
            <w:r>
              <w:rPr>
                <w:rFonts w:hint="eastAsia"/>
                <w:sz w:val="21"/>
                <w:szCs w:val="21"/>
              </w:rPr>
              <w:t>1</w:t>
            </w:r>
            <w:r>
              <w:rPr>
                <w:sz w:val="21"/>
                <w:szCs w:val="21"/>
              </w:rPr>
              <w:t>0</w:t>
            </w:r>
          </w:p>
        </w:tc>
        <w:tc>
          <w:tcPr>
            <w:tcW w:w="874" w:type="dxa"/>
            <w:shd w:val="clear" w:color="000000" w:fill="FFFFFF"/>
          </w:tcPr>
          <w:p w14:paraId="3CB35C60">
            <w:pPr>
              <w:spacing w:line="600" w:lineRule="auto"/>
              <w:jc w:val="center"/>
              <w:rPr>
                <w:sz w:val="21"/>
                <w:szCs w:val="21"/>
              </w:rPr>
            </w:pPr>
            <w:r>
              <w:rPr>
                <w:sz w:val="21"/>
                <w:szCs w:val="21"/>
              </w:rPr>
              <w:t>10</w:t>
            </w:r>
          </w:p>
        </w:tc>
      </w:tr>
      <w:tr w14:paraId="17012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33336E81">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572311A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7769BFE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2EF431F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692DFFB0">
            <w:pPr>
              <w:spacing w:line="600" w:lineRule="auto"/>
              <w:jc w:val="center"/>
              <w:rPr>
                <w:sz w:val="21"/>
                <w:szCs w:val="21"/>
              </w:rPr>
            </w:pPr>
            <w:r>
              <w:rPr>
                <w:rFonts w:hint="eastAsia"/>
                <w:sz w:val="21"/>
                <w:szCs w:val="21"/>
              </w:rPr>
              <w:t>1</w:t>
            </w:r>
            <w:r>
              <w:rPr>
                <w:sz w:val="21"/>
                <w:szCs w:val="21"/>
              </w:rPr>
              <w:t>0</w:t>
            </w:r>
          </w:p>
        </w:tc>
        <w:tc>
          <w:tcPr>
            <w:tcW w:w="874" w:type="dxa"/>
            <w:shd w:val="clear" w:color="000000" w:fill="FFFFFF"/>
          </w:tcPr>
          <w:p w14:paraId="24B6E1CC">
            <w:pPr>
              <w:spacing w:line="600" w:lineRule="auto"/>
              <w:jc w:val="center"/>
              <w:rPr>
                <w:sz w:val="21"/>
                <w:szCs w:val="21"/>
              </w:rPr>
            </w:pPr>
            <w:r>
              <w:rPr>
                <w:rFonts w:hint="eastAsia"/>
                <w:sz w:val="21"/>
                <w:szCs w:val="21"/>
              </w:rPr>
              <w:t>1</w:t>
            </w:r>
            <w:r>
              <w:rPr>
                <w:sz w:val="21"/>
                <w:szCs w:val="21"/>
              </w:rPr>
              <w:t>0</w:t>
            </w:r>
          </w:p>
        </w:tc>
      </w:tr>
      <w:tr w14:paraId="09D2AA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1" w:hRule="atLeast"/>
          <w:jc w:val="center"/>
        </w:trPr>
        <w:tc>
          <w:tcPr>
            <w:tcW w:w="757" w:type="dxa"/>
            <w:vMerge w:val="continue"/>
            <w:shd w:val="clear" w:color="auto" w:fill="FFFFFF"/>
            <w:vAlign w:val="center"/>
          </w:tcPr>
          <w:p w14:paraId="224D86CC">
            <w:pPr>
              <w:spacing w:line="0" w:lineRule="atLeast"/>
              <w:jc w:val="center"/>
              <w:rPr>
                <w:rFonts w:ascii="宋体" w:hAnsi="宋体" w:cs="宋体"/>
                <w:color w:val="000000"/>
                <w:kern w:val="0"/>
                <w:sz w:val="22"/>
              </w:rPr>
            </w:pPr>
          </w:p>
        </w:tc>
        <w:tc>
          <w:tcPr>
            <w:tcW w:w="1478" w:type="dxa"/>
            <w:shd w:val="clear" w:color="auto" w:fill="FFFFFF"/>
            <w:vAlign w:val="center"/>
          </w:tcPr>
          <w:p w14:paraId="13390113">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0CEAFBE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2DCDFFF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52E19207">
            <w:pPr>
              <w:spacing w:line="600" w:lineRule="auto"/>
              <w:jc w:val="center"/>
              <w:rPr>
                <w:sz w:val="21"/>
                <w:szCs w:val="21"/>
              </w:rPr>
            </w:pPr>
            <w:r>
              <w:rPr>
                <w:rFonts w:hint="eastAsia"/>
                <w:sz w:val="21"/>
                <w:szCs w:val="21"/>
              </w:rPr>
              <w:t>1</w:t>
            </w:r>
            <w:r>
              <w:rPr>
                <w:sz w:val="21"/>
                <w:szCs w:val="21"/>
              </w:rPr>
              <w:t>0</w:t>
            </w:r>
          </w:p>
        </w:tc>
        <w:tc>
          <w:tcPr>
            <w:tcW w:w="874" w:type="dxa"/>
            <w:shd w:val="clear" w:color="000000" w:fill="FFFFFF"/>
          </w:tcPr>
          <w:p w14:paraId="32ABF494">
            <w:pPr>
              <w:spacing w:line="600" w:lineRule="auto"/>
              <w:jc w:val="center"/>
              <w:rPr>
                <w:sz w:val="21"/>
                <w:szCs w:val="21"/>
              </w:rPr>
            </w:pPr>
            <w:r>
              <w:rPr>
                <w:rFonts w:hint="eastAsia"/>
                <w:sz w:val="21"/>
                <w:szCs w:val="21"/>
              </w:rPr>
              <w:t>1</w:t>
            </w:r>
            <w:r>
              <w:rPr>
                <w:sz w:val="21"/>
                <w:szCs w:val="21"/>
              </w:rPr>
              <w:t>0</w:t>
            </w:r>
          </w:p>
        </w:tc>
      </w:tr>
      <w:tr w14:paraId="2363E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71D1CDB2">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18CD08D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0CDA195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260C1A7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39612A77">
            <w:pPr>
              <w:spacing w:line="600" w:lineRule="auto"/>
              <w:jc w:val="center"/>
              <w:rPr>
                <w:sz w:val="21"/>
                <w:szCs w:val="21"/>
              </w:rPr>
            </w:pPr>
            <w:r>
              <w:rPr>
                <w:rFonts w:hint="eastAsia"/>
                <w:sz w:val="21"/>
                <w:szCs w:val="21"/>
              </w:rPr>
              <w:t>1</w:t>
            </w:r>
            <w:r>
              <w:rPr>
                <w:sz w:val="21"/>
                <w:szCs w:val="21"/>
              </w:rPr>
              <w:t>0</w:t>
            </w:r>
          </w:p>
        </w:tc>
        <w:tc>
          <w:tcPr>
            <w:tcW w:w="874" w:type="dxa"/>
            <w:shd w:val="clear" w:color="auto" w:fill="FFFFFF"/>
          </w:tcPr>
          <w:p w14:paraId="5FA6F723">
            <w:pPr>
              <w:spacing w:line="600" w:lineRule="auto"/>
              <w:jc w:val="center"/>
              <w:rPr>
                <w:sz w:val="21"/>
                <w:szCs w:val="21"/>
              </w:rPr>
            </w:pPr>
            <w:r>
              <w:rPr>
                <w:rFonts w:hint="eastAsia"/>
                <w:sz w:val="21"/>
                <w:szCs w:val="21"/>
              </w:rPr>
              <w:t>1</w:t>
            </w:r>
            <w:r>
              <w:rPr>
                <w:sz w:val="21"/>
                <w:szCs w:val="21"/>
              </w:rPr>
              <w:t>0</w:t>
            </w:r>
          </w:p>
        </w:tc>
      </w:tr>
      <w:tr w14:paraId="24164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6" w:hRule="atLeast"/>
          <w:jc w:val="center"/>
        </w:trPr>
        <w:tc>
          <w:tcPr>
            <w:tcW w:w="757" w:type="dxa"/>
            <w:vMerge w:val="restart"/>
            <w:shd w:val="clear" w:color="auto" w:fill="FFFFFF"/>
            <w:vAlign w:val="center"/>
          </w:tcPr>
          <w:p w14:paraId="4A979F2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35C1616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56C1814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5889861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14:paraId="2EE9FF84">
            <w:pPr>
              <w:spacing w:line="600" w:lineRule="auto"/>
              <w:jc w:val="center"/>
              <w:rPr>
                <w:sz w:val="21"/>
                <w:szCs w:val="21"/>
              </w:rPr>
            </w:pPr>
            <w:r>
              <w:rPr>
                <w:rFonts w:hint="eastAsia"/>
                <w:sz w:val="21"/>
                <w:szCs w:val="21"/>
              </w:rPr>
              <w:t>1</w:t>
            </w:r>
            <w:r>
              <w:rPr>
                <w:sz w:val="21"/>
                <w:szCs w:val="21"/>
              </w:rPr>
              <w:t>5</w:t>
            </w:r>
          </w:p>
        </w:tc>
        <w:tc>
          <w:tcPr>
            <w:tcW w:w="874" w:type="dxa"/>
            <w:shd w:val="clear" w:color="auto" w:fill="FFFFFF"/>
          </w:tcPr>
          <w:p w14:paraId="61FC38A7">
            <w:pPr>
              <w:spacing w:line="600" w:lineRule="auto"/>
              <w:jc w:val="center"/>
              <w:rPr>
                <w:sz w:val="21"/>
                <w:szCs w:val="21"/>
              </w:rPr>
            </w:pPr>
            <w:r>
              <w:rPr>
                <w:rFonts w:hint="eastAsia"/>
                <w:sz w:val="21"/>
                <w:szCs w:val="21"/>
              </w:rPr>
              <w:t>1</w:t>
            </w:r>
            <w:r>
              <w:rPr>
                <w:sz w:val="21"/>
                <w:szCs w:val="21"/>
              </w:rPr>
              <w:t>5</w:t>
            </w:r>
          </w:p>
        </w:tc>
      </w:tr>
      <w:tr w14:paraId="6E199E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05966CFA">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6DF6AB7">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40DDBA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52B0622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14:paraId="53B2F6FE">
            <w:pPr>
              <w:spacing w:line="600" w:lineRule="auto"/>
              <w:jc w:val="center"/>
              <w:rPr>
                <w:sz w:val="21"/>
                <w:szCs w:val="21"/>
              </w:rPr>
            </w:pPr>
            <w:r>
              <w:rPr>
                <w:rFonts w:hint="eastAsia"/>
                <w:sz w:val="21"/>
                <w:szCs w:val="21"/>
              </w:rPr>
              <w:t>5</w:t>
            </w:r>
          </w:p>
        </w:tc>
        <w:tc>
          <w:tcPr>
            <w:tcW w:w="874" w:type="dxa"/>
            <w:shd w:val="clear" w:color="000000" w:fill="FFFFFF"/>
          </w:tcPr>
          <w:p w14:paraId="13BA5348">
            <w:pPr>
              <w:spacing w:line="600" w:lineRule="auto"/>
              <w:jc w:val="center"/>
              <w:rPr>
                <w:sz w:val="21"/>
                <w:szCs w:val="21"/>
              </w:rPr>
            </w:pPr>
            <w:r>
              <w:rPr>
                <w:rFonts w:hint="eastAsia"/>
                <w:sz w:val="21"/>
                <w:szCs w:val="21"/>
              </w:rPr>
              <w:t>5</w:t>
            </w:r>
          </w:p>
        </w:tc>
      </w:tr>
      <w:tr w14:paraId="305ED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67F3365A">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7878FA87">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542FF31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100</w:t>
            </w:r>
          </w:p>
        </w:tc>
        <w:tc>
          <w:tcPr>
            <w:tcW w:w="874" w:type="dxa"/>
            <w:shd w:val="clear" w:color="auto" w:fill="FFFFFF"/>
            <w:vAlign w:val="center"/>
          </w:tcPr>
          <w:p w14:paraId="4E8DC8D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100</w:t>
            </w:r>
          </w:p>
        </w:tc>
      </w:tr>
    </w:tbl>
    <w:p w14:paraId="6098DD34">
      <w:pPr>
        <w:sectPr>
          <w:pgSz w:w="11906" w:h="16838"/>
          <w:pgMar w:top="1928" w:right="1531" w:bottom="1701" w:left="1531" w:header="737" w:footer="851" w:gutter="0"/>
          <w:cols w:space="720" w:num="1"/>
          <w:docGrid w:type="lines" w:linePitch="408" w:charSpace="0"/>
        </w:sectPr>
      </w:pPr>
    </w:p>
    <w:p w14:paraId="5D967CC2">
      <w:pPr>
        <w:spacing w:line="360" w:lineRule="auto"/>
      </w:pPr>
      <w:r>
        <w:rPr>
          <w:rFonts w:hint="eastAsia"/>
        </w:rPr>
        <w:t>3、评价方法</w:t>
      </w:r>
    </w:p>
    <w:p w14:paraId="713CF4B7">
      <w:pPr>
        <w:spacing w:line="360" w:lineRule="auto"/>
        <w:ind w:firstLine="560" w:firstLineChars="200"/>
        <w:rPr>
          <w:rFonts w:ascii="仿宋_GB2312" w:hAnsi="仿宋" w:cs="宋体"/>
          <w:color w:val="333333"/>
          <w:sz w:val="28"/>
          <w:szCs w:val="28"/>
        </w:rPr>
      </w:pPr>
      <w:r>
        <w:rPr>
          <w:rFonts w:hint="eastAsia" w:ascii="仿宋_GB2312"/>
          <w:sz w:val="28"/>
          <w:szCs w:val="28"/>
        </w:rPr>
        <w:t>本次评价</w:t>
      </w:r>
      <w:r>
        <w:rPr>
          <w:rFonts w:hint="eastAsia" w:ascii="仿宋_GB2312" w:hAnsi="仿宋" w:cs="宋体"/>
          <w:color w:val="333333"/>
          <w:sz w:val="28"/>
          <w:szCs w:val="28"/>
        </w:rPr>
        <w:t>主要采用了因素分析法、成本效益分析法等。主要原因：通过综合分析项目立项依据、绩效目标、资金投入、使用、产出及效益等方面，将投入与产出、效益进行关联性进行分析，能够清楚明了的体现出项目实施情况，并在此基础上进行评价</w:t>
      </w:r>
    </w:p>
    <w:p w14:paraId="4A85134E">
      <w:pPr>
        <w:spacing w:line="360" w:lineRule="auto"/>
      </w:pPr>
      <w:r>
        <w:rPr>
          <w:rFonts w:hint="eastAsia"/>
          <w:bCs/>
          <w:color w:val="FF0000"/>
          <w:sz w:val="32"/>
          <w:szCs w:val="32"/>
        </w:rPr>
        <w:t xml:space="preserve"> </w:t>
      </w:r>
      <w:r>
        <w:rPr>
          <w:rFonts w:hint="eastAsia"/>
        </w:rPr>
        <w:t>4、评价标准</w:t>
      </w:r>
    </w:p>
    <w:p w14:paraId="6E4276DE">
      <w:pPr>
        <w:spacing w:line="560" w:lineRule="exact"/>
        <w:ind w:firstLine="640" w:firstLineChars="200"/>
        <w:jc w:val="left"/>
        <w:rPr>
          <w:rFonts w:ascii="仿宋_GB2312"/>
          <w:sz w:val="28"/>
          <w:szCs w:val="28"/>
        </w:rPr>
      </w:pPr>
      <w:bookmarkStart w:id="7" w:name="_Toc68703833"/>
      <w:r>
        <w:rPr>
          <w:rFonts w:hint="eastAsia"/>
          <w:bCs/>
          <w:color w:val="FF0000"/>
          <w:sz w:val="32"/>
          <w:szCs w:val="32"/>
        </w:rPr>
        <w:t xml:space="preserve"> </w:t>
      </w:r>
      <w:r>
        <w:rPr>
          <w:rFonts w:hint="eastAsia" w:ascii="仿宋_GB2312"/>
          <w:sz w:val="28"/>
          <w:szCs w:val="28"/>
        </w:rPr>
        <w:t>本次项目采用计划标准，原因是本项目通过项目预先制定的目标、计划、预算指标数据确定三级指标进行自评，可提高预算编制和预算额度测算准确率，使评价结果更加科学真实。</w:t>
      </w:r>
    </w:p>
    <w:p w14:paraId="06D71332">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（三）绩效评价工作过程。</w:t>
      </w:r>
      <w:bookmarkEnd w:id="7"/>
    </w:p>
    <w:p w14:paraId="0408120D">
      <w:pPr>
        <w:spacing w:line="580" w:lineRule="exact"/>
        <w:ind w:firstLine="640" w:firstLineChars="200"/>
        <w:rPr>
          <w:rFonts w:ascii="仿宋" w:hAnsi="仿宋" w:eastAsia="仿宋" w:cs="仿宋"/>
          <w:sz w:val="32"/>
          <w:szCs w:val="32"/>
        </w:rPr>
      </w:pPr>
      <w:bookmarkStart w:id="8" w:name="_Toc68703834"/>
      <w:r>
        <w:rPr>
          <w:rFonts w:hint="eastAsia" w:ascii="仿宋" w:hAnsi="仿宋" w:eastAsia="仿宋" w:cs="仿宋"/>
          <w:sz w:val="32"/>
          <w:szCs w:val="32"/>
        </w:rPr>
        <w:t>1、前期准备：</w:t>
      </w:r>
    </w:p>
    <w:p w14:paraId="44A928A1">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2023年1</w:t>
      </w:r>
      <w:r>
        <w:rPr>
          <w:rFonts w:ascii="仿宋" w:hAnsi="仿宋" w:eastAsia="仿宋" w:cs="仿宋"/>
          <w:sz w:val="32"/>
          <w:szCs w:val="32"/>
        </w:rPr>
        <w:t>2</w:t>
      </w:r>
      <w:r>
        <w:rPr>
          <w:rFonts w:hint="eastAsia" w:ascii="仿宋" w:hAnsi="仿宋" w:eastAsia="仿宋" w:cs="仿宋"/>
          <w:sz w:val="32"/>
          <w:szCs w:val="32"/>
        </w:rPr>
        <w:t>月15日，</w:t>
      </w:r>
      <w:r>
        <w:rPr>
          <w:rFonts w:hint="eastAsia" w:ascii="仿宋" w:hAnsi="仿宋" w:eastAsia="仿宋" w:cs="仿宋"/>
          <w:sz w:val="32"/>
          <w:szCs w:val="32"/>
          <w:lang w:val="zh-CN"/>
        </w:rPr>
        <w:t>开始前期准备工作，评价组通过前期调研</w:t>
      </w:r>
      <w:r>
        <w:rPr>
          <w:rFonts w:hint="eastAsia" w:ascii="仿宋" w:hAnsi="仿宋" w:eastAsia="仿宋" w:cs="仿宋"/>
          <w:sz w:val="32"/>
          <w:szCs w:val="32"/>
        </w:rPr>
        <w:t>确定绩效评价对象和范围，</w:t>
      </w:r>
      <w:r>
        <w:rPr>
          <w:rFonts w:hint="eastAsia" w:ascii="仿宋" w:hAnsi="仿宋" w:eastAsia="仿宋" w:cs="仿宋"/>
          <w:sz w:val="32"/>
          <w:szCs w:val="32"/>
          <w:lang w:val="zh-CN"/>
        </w:rPr>
        <w:t>确定了评价的目的、方法以及评价的原则，根据项目的内容和特征制定了评价指标体系及评价标准以及评价实施方案，修正并确定所需资料清单，最终确定</w:t>
      </w:r>
      <w:r>
        <w:rPr>
          <w:rFonts w:hint="eastAsia" w:ascii="仿宋" w:hAnsi="仿宋" w:eastAsia="仿宋" w:cs="仿宋"/>
          <w:sz w:val="32"/>
          <w:szCs w:val="32"/>
        </w:rPr>
        <w:t>绩效评价工作方案；</w:t>
      </w:r>
    </w:p>
    <w:p w14:paraId="28889343">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2、组织实施：</w:t>
      </w:r>
    </w:p>
    <w:p w14:paraId="1A8644F6">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2024年 1月1日- 1月15日，评价工作进入实施阶段，评价组收集绩效评价相关数据资料，进行现场调研、座谈；并与项目实施负责人沟通，了解资金的内容、操作流程、管理机制、资金使用方向等情况，分析形成初步结论。 </w:t>
      </w:r>
    </w:p>
    <w:p w14:paraId="2C10601E">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3、分析评价：</w:t>
      </w:r>
    </w:p>
    <w:p w14:paraId="0B443512">
      <w:pPr>
        <w:spacing w:line="580" w:lineRule="exact"/>
        <w:ind w:firstLine="640" w:firstLineChars="200"/>
      </w:pPr>
      <w:r>
        <w:rPr>
          <w:rFonts w:hint="eastAsia" w:ascii="仿宋" w:hAnsi="仿宋" w:eastAsia="仿宋" w:cs="仿宋"/>
          <w:sz w:val="32"/>
          <w:szCs w:val="32"/>
        </w:rPr>
        <w:t>2024年2月1日-2月15日，评价组按照绩效评价的原则和规范，对取得的资料进行审查核实，对采集的数据进行分析，按照绩效评价指标评分表逐项进行打分、分析，汇总各方评价结果，综合分析并形成评价结论。</w:t>
      </w:r>
    </w:p>
    <w:p w14:paraId="52B4A2AB">
      <w:pPr>
        <w:pStyle w:val="3"/>
        <w:spacing w:line="360" w:lineRule="auto"/>
        <w:rPr>
          <w:rFonts w:ascii="宋体" w:hAnsi="宋体" w:eastAsia="宋体"/>
          <w:sz w:val="32"/>
          <w:szCs w:val="32"/>
        </w:rPr>
      </w:pPr>
      <w:r>
        <w:rPr>
          <w:rFonts w:hint="eastAsia" w:ascii="宋体" w:hAnsi="宋体" w:eastAsia="宋体"/>
          <w:sz w:val="32"/>
          <w:szCs w:val="32"/>
        </w:rPr>
        <w:t>三、综合评价情况及评价结论</w:t>
      </w:r>
      <w:bookmarkEnd w:id="8"/>
    </w:p>
    <w:p w14:paraId="76D15D9F">
      <w:pPr>
        <w:pStyle w:val="4"/>
        <w:spacing w:line="360" w:lineRule="auto"/>
        <w:rPr>
          <w:rFonts w:ascii="仿宋_GB2312" w:eastAsia="仿宋_GB2312"/>
          <w:b w:val="0"/>
          <w:bCs w:val="0"/>
        </w:rPr>
      </w:pPr>
      <w:bookmarkStart w:id="9" w:name="_Toc68703835"/>
      <w:r>
        <w:rPr>
          <w:rFonts w:hint="eastAsia" w:ascii="仿宋_GB2312" w:eastAsia="仿宋_GB2312"/>
          <w:b w:val="0"/>
          <w:bCs w:val="0"/>
        </w:rPr>
        <w:t>（一）综合评价情况</w:t>
      </w:r>
      <w:bookmarkEnd w:id="9"/>
    </w:p>
    <w:p w14:paraId="5901A55B">
      <w:pPr>
        <w:spacing w:line="580" w:lineRule="exact"/>
        <w:ind w:firstLine="640" w:firstLineChars="200"/>
        <w:jc w:val="left"/>
      </w:pPr>
      <w:r>
        <w:rPr>
          <w:rFonts w:hint="eastAsia" w:ascii="仿宋" w:hAnsi="仿宋" w:eastAsia="仿宋" w:cs="仿宋"/>
          <w:sz w:val="32"/>
          <w:szCs w:val="32"/>
        </w:rPr>
        <w:t>本项目严格按照绩效评价原则、评价指标体系、评价方法、评价标准绩效评价原则，采用因素分析法和成本效益分析法评价方法，坚持计划标准绩效评价标准对本项目的立项、项绩效目标、资金投入、资金管理、组织实施、产出数量、产出质量、产出时效、产出成本、项目效益进行了综合评价。</w:t>
      </w:r>
    </w:p>
    <w:p w14:paraId="2F3172FE">
      <w:pPr>
        <w:spacing w:line="360" w:lineRule="auto"/>
        <w:ind w:firstLine="600" w:firstLineChars="200"/>
        <w:jc w:val="center"/>
        <w:rPr>
          <w:color w:val="auto"/>
          <w:highlight w:val="none"/>
        </w:rPr>
      </w:pPr>
      <w:r>
        <w:rPr>
          <w:rFonts w:hint="eastAsia"/>
          <w:color w:val="auto"/>
          <w:highlight w:val="none"/>
        </w:rPr>
        <w:t>农机购置补贴项目评价得分情况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0D5FC69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715596F">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914C507">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CD75EE2">
            <w:pPr>
              <w:jc w:val="center"/>
              <w:rPr>
                <w:b/>
                <w:bCs/>
                <w:color w:val="000000"/>
                <w:sz w:val="22"/>
              </w:rPr>
            </w:pPr>
            <w:r>
              <w:rPr>
                <w:rFonts w:hint="eastAsia"/>
                <w:b/>
                <w:bCs/>
                <w:color w:val="000000"/>
                <w:sz w:val="22"/>
              </w:rPr>
              <w:t>得分</w:t>
            </w:r>
          </w:p>
        </w:tc>
      </w:tr>
      <w:tr w14:paraId="587DFC5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516093">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2F2AE37">
            <w:pPr>
              <w:ind w:firstLine="640" w:firstLineChars="200"/>
              <w:contextualSpacing/>
              <w:rPr>
                <w:color w:val="000000"/>
                <w:sz w:val="22"/>
              </w:rPr>
            </w:pPr>
            <w:r>
              <w:rPr>
                <w:rFonts w:hint="eastAsia" w:ascii="仿宋_GB2312" w:hAnsi="仿宋" w:cs="宋体"/>
                <w:color w:val="333333"/>
                <w:sz w:val="32"/>
                <w:szCs w:val="32"/>
              </w:rPr>
              <w:t>20</w:t>
            </w:r>
          </w:p>
        </w:tc>
        <w:tc>
          <w:tcPr>
            <w:tcW w:w="2278" w:type="dxa"/>
            <w:tcBorders>
              <w:top w:val="nil"/>
              <w:left w:val="nil"/>
              <w:bottom w:val="single" w:color="auto" w:sz="4" w:space="0"/>
              <w:right w:val="single" w:color="auto" w:sz="4" w:space="0"/>
            </w:tcBorders>
            <w:shd w:val="clear" w:color="auto" w:fill="auto"/>
            <w:vAlign w:val="center"/>
          </w:tcPr>
          <w:p w14:paraId="33121A0C">
            <w:pPr>
              <w:ind w:firstLine="640" w:firstLineChars="200"/>
              <w:contextualSpacing/>
              <w:rPr>
                <w:color w:val="000000"/>
                <w:sz w:val="22"/>
              </w:rPr>
            </w:pPr>
            <w:r>
              <w:rPr>
                <w:rFonts w:hint="eastAsia" w:ascii="仿宋_GB2312" w:hAnsi="仿宋" w:cs="宋体"/>
                <w:color w:val="333333"/>
                <w:sz w:val="32"/>
                <w:szCs w:val="32"/>
              </w:rPr>
              <w:t>100%</w:t>
            </w:r>
          </w:p>
        </w:tc>
      </w:tr>
      <w:tr w14:paraId="55ADCE5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445F54F">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AE0CCE3">
            <w:pPr>
              <w:ind w:firstLine="640" w:firstLineChars="200"/>
              <w:contextualSpacing/>
              <w:rPr>
                <w:color w:val="000000"/>
                <w:sz w:val="22"/>
              </w:rPr>
            </w:pPr>
            <w:r>
              <w:rPr>
                <w:rFonts w:hint="eastAsia" w:ascii="仿宋_GB2312" w:hAnsi="仿宋" w:cs="宋体"/>
                <w:color w:val="333333"/>
                <w:sz w:val="32"/>
                <w:szCs w:val="32"/>
              </w:rPr>
              <w:t>20</w:t>
            </w:r>
          </w:p>
        </w:tc>
        <w:tc>
          <w:tcPr>
            <w:tcW w:w="2278" w:type="dxa"/>
            <w:tcBorders>
              <w:top w:val="nil"/>
              <w:left w:val="nil"/>
              <w:bottom w:val="single" w:color="auto" w:sz="4" w:space="0"/>
              <w:right w:val="single" w:color="auto" w:sz="4" w:space="0"/>
            </w:tcBorders>
            <w:shd w:val="clear" w:color="auto" w:fill="auto"/>
            <w:vAlign w:val="center"/>
          </w:tcPr>
          <w:p w14:paraId="5D20FD99">
            <w:pPr>
              <w:ind w:firstLine="640" w:firstLineChars="200"/>
              <w:contextualSpacing/>
              <w:rPr>
                <w:color w:val="000000"/>
                <w:sz w:val="22"/>
              </w:rPr>
            </w:pPr>
            <w:r>
              <w:rPr>
                <w:rFonts w:hint="eastAsia" w:ascii="仿宋_GB2312" w:hAnsi="仿宋" w:cs="宋体"/>
                <w:color w:val="333333"/>
                <w:sz w:val="32"/>
                <w:szCs w:val="32"/>
              </w:rPr>
              <w:t>100%</w:t>
            </w:r>
          </w:p>
        </w:tc>
      </w:tr>
      <w:tr w14:paraId="2D4C772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D0DD4F">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2C6D80B">
            <w:pPr>
              <w:ind w:firstLine="640" w:firstLineChars="200"/>
              <w:contextualSpacing/>
              <w:rPr>
                <w:color w:val="000000"/>
                <w:sz w:val="22"/>
              </w:rPr>
            </w:pPr>
            <w:r>
              <w:rPr>
                <w:rFonts w:hint="eastAsia" w:ascii="仿宋_GB2312" w:hAnsi="仿宋" w:cs="宋体"/>
                <w:color w:val="333333"/>
                <w:sz w:val="32"/>
                <w:szCs w:val="32"/>
              </w:rPr>
              <w:t>40</w:t>
            </w:r>
          </w:p>
        </w:tc>
        <w:tc>
          <w:tcPr>
            <w:tcW w:w="2278" w:type="dxa"/>
            <w:tcBorders>
              <w:top w:val="nil"/>
              <w:left w:val="nil"/>
              <w:bottom w:val="single" w:color="auto" w:sz="4" w:space="0"/>
              <w:right w:val="single" w:color="auto" w:sz="4" w:space="0"/>
            </w:tcBorders>
            <w:shd w:val="clear" w:color="auto" w:fill="auto"/>
            <w:vAlign w:val="center"/>
          </w:tcPr>
          <w:p w14:paraId="515B0E9D">
            <w:pPr>
              <w:ind w:firstLine="640" w:firstLineChars="200"/>
              <w:contextualSpacing/>
              <w:rPr>
                <w:color w:val="000000"/>
                <w:sz w:val="22"/>
              </w:rPr>
            </w:pPr>
            <w:r>
              <w:rPr>
                <w:rFonts w:hint="eastAsia" w:ascii="仿宋_GB2312" w:hAnsi="仿宋" w:cs="宋体"/>
                <w:color w:val="333333"/>
                <w:sz w:val="32"/>
                <w:szCs w:val="32"/>
              </w:rPr>
              <w:t>100%</w:t>
            </w:r>
          </w:p>
        </w:tc>
      </w:tr>
      <w:tr w14:paraId="4618D90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84C087">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4DAEA50">
            <w:pPr>
              <w:ind w:firstLine="640" w:firstLineChars="200"/>
              <w:contextualSpacing/>
              <w:rPr>
                <w:color w:val="000000"/>
                <w:sz w:val="22"/>
              </w:rPr>
            </w:pPr>
            <w:r>
              <w:rPr>
                <w:rFonts w:hint="eastAsia" w:ascii="仿宋_GB2312" w:hAnsi="仿宋" w:cs="宋体"/>
                <w:color w:val="333333"/>
                <w:sz w:val="32"/>
                <w:szCs w:val="32"/>
              </w:rPr>
              <w:t>20</w:t>
            </w:r>
          </w:p>
        </w:tc>
        <w:tc>
          <w:tcPr>
            <w:tcW w:w="2278" w:type="dxa"/>
            <w:tcBorders>
              <w:top w:val="nil"/>
              <w:left w:val="nil"/>
              <w:bottom w:val="single" w:color="auto" w:sz="4" w:space="0"/>
              <w:right w:val="single" w:color="auto" w:sz="4" w:space="0"/>
            </w:tcBorders>
            <w:shd w:val="clear" w:color="auto" w:fill="auto"/>
            <w:vAlign w:val="center"/>
          </w:tcPr>
          <w:p w14:paraId="7D5BCEC8">
            <w:pPr>
              <w:ind w:firstLine="640" w:firstLineChars="200"/>
              <w:contextualSpacing/>
              <w:rPr>
                <w:color w:val="000000"/>
                <w:sz w:val="22"/>
              </w:rPr>
            </w:pPr>
            <w:r>
              <w:rPr>
                <w:rFonts w:hint="eastAsia" w:ascii="仿宋_GB2312" w:hAnsi="仿宋" w:cs="宋体"/>
                <w:color w:val="333333"/>
                <w:sz w:val="32"/>
                <w:szCs w:val="32"/>
              </w:rPr>
              <w:t>100%</w:t>
            </w:r>
          </w:p>
        </w:tc>
      </w:tr>
      <w:tr w14:paraId="480E6EB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24B8E15">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796849B">
            <w:pPr>
              <w:ind w:firstLine="640" w:firstLineChars="200"/>
              <w:contextualSpacing/>
              <w:rPr>
                <w:b/>
                <w:bCs/>
                <w:color w:val="000000"/>
                <w:sz w:val="22"/>
              </w:rPr>
            </w:pPr>
            <w:r>
              <w:rPr>
                <w:rFonts w:hint="eastAsia" w:ascii="仿宋_GB2312" w:hAnsi="仿宋" w:cs="宋体"/>
                <w:color w:val="333333"/>
                <w:sz w:val="32"/>
                <w:szCs w:val="32"/>
              </w:rPr>
              <w:t>100</w:t>
            </w:r>
          </w:p>
        </w:tc>
        <w:tc>
          <w:tcPr>
            <w:tcW w:w="2278" w:type="dxa"/>
            <w:tcBorders>
              <w:top w:val="nil"/>
              <w:left w:val="nil"/>
              <w:bottom w:val="single" w:color="auto" w:sz="4" w:space="0"/>
              <w:right w:val="single" w:color="auto" w:sz="4" w:space="0"/>
            </w:tcBorders>
            <w:shd w:val="clear" w:color="auto" w:fill="auto"/>
            <w:vAlign w:val="center"/>
          </w:tcPr>
          <w:p w14:paraId="146A2B5E">
            <w:pPr>
              <w:ind w:firstLine="640" w:firstLineChars="200"/>
              <w:contextualSpacing/>
              <w:rPr>
                <w:b/>
                <w:bCs/>
                <w:color w:val="000000"/>
                <w:sz w:val="22"/>
              </w:rPr>
            </w:pPr>
            <w:r>
              <w:rPr>
                <w:rFonts w:hint="eastAsia" w:ascii="仿宋_GB2312" w:hAnsi="仿宋" w:cs="宋体"/>
                <w:color w:val="333333"/>
                <w:sz w:val="32"/>
                <w:szCs w:val="32"/>
              </w:rPr>
              <w:t>100%</w:t>
            </w:r>
          </w:p>
        </w:tc>
      </w:tr>
    </w:tbl>
    <w:p w14:paraId="6CB96952">
      <w:pPr>
        <w:pStyle w:val="4"/>
        <w:spacing w:line="360" w:lineRule="auto"/>
        <w:rPr>
          <w:rFonts w:ascii="仿宋_GB2312" w:eastAsia="仿宋_GB2312"/>
          <w:b w:val="0"/>
          <w:bCs w:val="0"/>
        </w:rPr>
      </w:pPr>
      <w:bookmarkStart w:id="10" w:name="_Toc68703836"/>
      <w:r>
        <w:rPr>
          <w:rFonts w:hint="eastAsia" w:ascii="仿宋_GB2312" w:eastAsia="仿宋_GB2312"/>
          <w:b w:val="0"/>
          <w:bCs w:val="0"/>
        </w:rPr>
        <w:t>（二）评价结论</w:t>
      </w:r>
      <w:bookmarkEnd w:id="10"/>
    </w:p>
    <w:p w14:paraId="200A53A5">
      <w:pPr>
        <w:spacing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本项目的项目决策、项目过程、项目产出、项目效益均达到了预期要求，项目达成年度指标，最终项目绩效评价得分为</w:t>
      </w:r>
      <w:r>
        <w:rPr>
          <w:rFonts w:ascii="仿宋" w:hAnsi="仿宋" w:eastAsia="仿宋" w:cs="仿宋"/>
          <w:sz w:val="32"/>
          <w:szCs w:val="32"/>
        </w:rPr>
        <w:t>100</w:t>
      </w:r>
      <w:r>
        <w:rPr>
          <w:rFonts w:hint="eastAsia" w:ascii="仿宋" w:hAnsi="仿宋" w:eastAsia="仿宋" w:cs="仿宋"/>
          <w:sz w:val="32"/>
          <w:szCs w:val="32"/>
        </w:rPr>
        <w:t>分。</w:t>
      </w:r>
      <w:bookmarkStart w:id="11" w:name="_Toc68703837"/>
    </w:p>
    <w:p w14:paraId="4737A74D">
      <w:pPr>
        <w:spacing w:line="580" w:lineRule="exact"/>
        <w:ind w:firstLine="640" w:firstLineChars="200"/>
        <w:jc w:val="left"/>
        <w:rPr>
          <w:rFonts w:ascii="宋体" w:hAnsi="宋体" w:eastAsia="宋体"/>
          <w:sz w:val="32"/>
          <w:szCs w:val="32"/>
        </w:rPr>
      </w:pPr>
      <w:r>
        <w:rPr>
          <w:rFonts w:hint="eastAsia" w:ascii="宋体" w:hAnsi="宋体" w:eastAsia="宋体"/>
          <w:sz w:val="32"/>
          <w:szCs w:val="32"/>
        </w:rPr>
        <w:t>四、绩效评价指标分析</w:t>
      </w:r>
      <w:bookmarkEnd w:id="11"/>
    </w:p>
    <w:p w14:paraId="3D19FDF4">
      <w:pPr>
        <w:pStyle w:val="4"/>
        <w:spacing w:line="360" w:lineRule="auto"/>
        <w:rPr>
          <w:rFonts w:ascii="仿宋_GB2312" w:eastAsia="仿宋_GB2312"/>
          <w:b w:val="0"/>
          <w:bCs w:val="0"/>
        </w:rPr>
      </w:pPr>
      <w:bookmarkStart w:id="12" w:name="_Toc68703838"/>
      <w:r>
        <w:rPr>
          <w:rFonts w:hint="eastAsia" w:ascii="仿宋_GB2312" w:eastAsia="仿宋_GB2312"/>
          <w:b w:val="0"/>
          <w:bCs w:val="0"/>
        </w:rPr>
        <w:t>（一）项目决策情况。</w:t>
      </w:r>
      <w:bookmarkEnd w:id="12"/>
    </w:p>
    <w:p w14:paraId="29305056">
      <w:pPr>
        <w:spacing w:line="360" w:lineRule="auto"/>
      </w:pPr>
      <w:r>
        <w:rPr>
          <w:rFonts w:hint="eastAsia"/>
        </w:rPr>
        <w:t>1、立项依据充分性</w:t>
      </w:r>
    </w:p>
    <w:p w14:paraId="3D86ACCA">
      <w:pPr>
        <w:spacing w:line="580" w:lineRule="exact"/>
        <w:ind w:firstLine="640" w:firstLineChars="200"/>
        <w:rPr>
          <w:color w:val="FF0000"/>
        </w:rPr>
      </w:pPr>
      <w:r>
        <w:rPr>
          <w:rFonts w:hint="eastAsia" w:ascii="仿宋" w:hAnsi="仿宋" w:eastAsia="仿宋" w:cs="仿宋"/>
          <w:sz w:val="32"/>
          <w:szCs w:val="32"/>
        </w:rPr>
        <w:t>该项目立项是符合国家法律法规、国民经济发展规划和相关政策；根据《国务院关于加快推进农业机械化和农机装备产业转型升级的指导意见》（国发[2018]42号）、《中华人民共和国农业机械化促进法》，项目立项与部门职责范围相符，属于部门履职所需；项目符合中央、地方事权支出责任划分原则。</w:t>
      </w:r>
    </w:p>
    <w:p w14:paraId="729F880A">
      <w:pPr>
        <w:spacing w:line="360" w:lineRule="auto"/>
      </w:pPr>
      <w:r>
        <w:rPr>
          <w:rFonts w:hint="eastAsia"/>
        </w:rPr>
        <w:t>2、立项程序规范性</w:t>
      </w:r>
    </w:p>
    <w:p w14:paraId="6D32CC7C">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该项目按照规定的程序申请设立；审批文件、材料符合相关要求；事前已经过必要的风险评估、绩效评估、集体决策。</w:t>
      </w:r>
    </w:p>
    <w:p w14:paraId="50DB9DC4">
      <w:pPr>
        <w:spacing w:line="360" w:lineRule="auto"/>
      </w:pPr>
      <w:r>
        <w:rPr>
          <w:rFonts w:hint="eastAsia"/>
        </w:rPr>
        <w:t>3、绩效目标合理性</w:t>
      </w:r>
    </w:p>
    <w:p w14:paraId="144057A0">
      <w:pPr>
        <w:spacing w:line="580" w:lineRule="exact"/>
        <w:ind w:firstLine="640" w:firstLineChars="200"/>
        <w:rPr>
          <w:rFonts w:ascii="仿宋" w:hAnsi="仿宋" w:eastAsia="仿宋" w:cs="仿宋"/>
          <w:sz w:val="32"/>
          <w:szCs w:val="32"/>
        </w:rPr>
      </w:pPr>
      <w:bookmarkStart w:id="13" w:name="_Hlk98609202"/>
      <w:r>
        <w:rPr>
          <w:rFonts w:ascii="仿宋" w:hAnsi="仿宋" w:eastAsia="仿宋" w:cs="仿宋"/>
          <w:sz w:val="32"/>
          <w:szCs w:val="32"/>
        </w:rPr>
        <w:t>202</w:t>
      </w:r>
      <w:r>
        <w:rPr>
          <w:rFonts w:hint="eastAsia" w:ascii="仿宋" w:hAnsi="仿宋" w:eastAsia="仿宋" w:cs="仿宋"/>
          <w:sz w:val="32"/>
          <w:szCs w:val="32"/>
        </w:rPr>
        <w:t>3年农机购置补贴项目</w:t>
      </w:r>
      <w:bookmarkEnd w:id="13"/>
      <w:r>
        <w:rPr>
          <w:rFonts w:hint="eastAsia" w:ascii="仿宋" w:hAnsi="仿宋" w:eastAsia="仿宋" w:cs="仿宋"/>
          <w:sz w:val="32"/>
          <w:szCs w:val="32"/>
        </w:rPr>
        <w:t>设立了项目绩效目标，与</w:t>
      </w:r>
      <w:r>
        <w:rPr>
          <w:rFonts w:ascii="仿宋" w:hAnsi="仿宋" w:eastAsia="仿宋" w:cs="仿宋"/>
          <w:sz w:val="32"/>
          <w:szCs w:val="32"/>
        </w:rPr>
        <w:t>202</w:t>
      </w:r>
      <w:r>
        <w:rPr>
          <w:rFonts w:hint="eastAsia" w:ascii="仿宋" w:hAnsi="仿宋" w:eastAsia="仿宋" w:cs="仿宋"/>
          <w:sz w:val="32"/>
          <w:szCs w:val="32"/>
        </w:rPr>
        <w:t>3年农机购置补贴项目具有相关性，项目的预期产出效益和效果也均能符合正常的业绩水平，并且与预算确定的项目投资额或资金量相匹配。</w:t>
      </w:r>
    </w:p>
    <w:p w14:paraId="036E4C6D">
      <w:pPr>
        <w:spacing w:line="360" w:lineRule="auto"/>
      </w:pPr>
      <w:r>
        <w:rPr>
          <w:rFonts w:hint="eastAsia"/>
        </w:rPr>
        <w:t>4、绩效指标明确性</w:t>
      </w:r>
    </w:p>
    <w:p w14:paraId="3976A706">
      <w:pPr>
        <w:spacing w:line="580" w:lineRule="exact"/>
        <w:ind w:firstLine="640" w:firstLineChars="200"/>
        <w:rPr>
          <w:rFonts w:ascii="仿宋" w:hAnsi="仿宋" w:eastAsia="仿宋" w:cs="仿宋"/>
          <w:sz w:val="32"/>
          <w:szCs w:val="32"/>
        </w:rPr>
      </w:pPr>
      <w:bookmarkStart w:id="14" w:name="_Hlk68699917"/>
      <w:r>
        <w:rPr>
          <w:rFonts w:hint="eastAsia" w:ascii="仿宋" w:hAnsi="仿宋" w:eastAsia="仿宋" w:cs="仿宋"/>
          <w:sz w:val="32"/>
          <w:szCs w:val="32"/>
        </w:rPr>
        <w:t>2023年农机购置补贴项目将项目绩效目标细化分解为具体的绩效指标，一级指标共4条，二级指标共6条，三级指标共7条，其中量化指标条数共7条，所有绩效指标均通过清晰、可衡量的指标值予以体现，并且做到了与项目目标任务数或计划数相对应。</w:t>
      </w:r>
    </w:p>
    <w:bookmarkEnd w:id="14"/>
    <w:p w14:paraId="17F25837">
      <w:pPr>
        <w:spacing w:line="360" w:lineRule="auto"/>
      </w:pPr>
      <w:r>
        <w:rPr>
          <w:rFonts w:hint="eastAsia"/>
        </w:rPr>
        <w:t>5、预算编制科学性</w:t>
      </w:r>
    </w:p>
    <w:p w14:paraId="472EF0F3">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预算编制经过科学论证；预算内容与项目内容匹配；预算额度测算依据充分，按照标准编制；预算确定的项目资金量与工作任务相匹配。</w:t>
      </w:r>
    </w:p>
    <w:p w14:paraId="6EDE723E">
      <w:pPr>
        <w:spacing w:line="360" w:lineRule="auto"/>
      </w:pPr>
      <w:r>
        <w:rPr>
          <w:rFonts w:hint="eastAsia"/>
        </w:rPr>
        <w:t>6、资金分配合理性</w:t>
      </w:r>
    </w:p>
    <w:p w14:paraId="66D197CD">
      <w:pPr>
        <w:spacing w:line="560" w:lineRule="exact"/>
        <w:ind w:firstLine="560" w:firstLineChars="200"/>
        <w:jc w:val="left"/>
        <w:rPr>
          <w:rFonts w:ascii="仿宋" w:hAnsi="仿宋" w:eastAsia="仿宋" w:cs="仿宋"/>
          <w:sz w:val="32"/>
          <w:szCs w:val="32"/>
        </w:rPr>
      </w:pPr>
      <w:bookmarkStart w:id="15" w:name="_Toc68703839"/>
      <w:r>
        <w:rPr>
          <w:rFonts w:hint="eastAsia" w:ascii="仿宋_GB2312" w:hAnsi="仿宋_GB2312" w:cs="仿宋_GB2312"/>
          <w:sz w:val="28"/>
          <w:szCs w:val="28"/>
        </w:rPr>
        <w:t>预算资金分配依据充分，资金分配额度合理，与项目相适应。</w:t>
      </w:r>
    </w:p>
    <w:p w14:paraId="11B9873D">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5"/>
    </w:p>
    <w:p w14:paraId="1585FAFE">
      <w:pPr>
        <w:spacing w:line="360" w:lineRule="auto"/>
      </w:pPr>
      <w:r>
        <w:rPr>
          <w:rFonts w:hint="eastAsia"/>
        </w:rPr>
        <w:t>1、资金到位率：</w:t>
      </w:r>
    </w:p>
    <w:p w14:paraId="4FFA8EDB">
      <w:pPr>
        <w:spacing w:line="560" w:lineRule="exact"/>
        <w:ind w:firstLine="560" w:firstLineChars="200"/>
        <w:jc w:val="left"/>
        <w:rPr>
          <w:rFonts w:ascii="仿宋_GB2312" w:hAnsi="仿宋_GB2312" w:cs="仿宋_GB2312"/>
          <w:sz w:val="28"/>
          <w:szCs w:val="28"/>
        </w:rPr>
      </w:pPr>
      <w:r>
        <w:rPr>
          <w:rFonts w:hint="eastAsia" w:ascii="仿宋_GB2312" w:hAnsi="仿宋_GB2312" w:cs="仿宋_GB2312"/>
          <w:sz w:val="28"/>
          <w:szCs w:val="28"/>
        </w:rPr>
        <w:t>1、资金到位率：实际到位资金1316万元，预算资金1316万元，资金到位率100%。</w:t>
      </w:r>
    </w:p>
    <w:p w14:paraId="5A474452">
      <w:pPr>
        <w:spacing w:line="360" w:lineRule="auto"/>
      </w:pPr>
      <w:r>
        <w:rPr>
          <w:rFonts w:hint="eastAsia"/>
        </w:rPr>
        <w:t>2、预算执行率</w:t>
      </w:r>
    </w:p>
    <w:p w14:paraId="7B14D2AE">
      <w:pPr>
        <w:spacing w:line="560" w:lineRule="exact"/>
        <w:ind w:firstLine="560" w:firstLineChars="200"/>
        <w:jc w:val="left"/>
        <w:rPr>
          <w:rFonts w:ascii="仿宋_GB2312" w:hAnsi="仿宋_GB2312" w:cs="仿宋_GB2312"/>
          <w:sz w:val="28"/>
          <w:szCs w:val="28"/>
        </w:rPr>
      </w:pPr>
      <w:r>
        <w:rPr>
          <w:rFonts w:hint="eastAsia" w:ascii="仿宋_GB2312" w:hAnsi="仿宋_GB2312" w:cs="仿宋_GB2312"/>
          <w:sz w:val="28"/>
          <w:szCs w:val="28"/>
        </w:rPr>
        <w:t>年初预算数1316万元，全年预算数1316万元，全年执行数1316万元，预算执行率为100%。</w:t>
      </w:r>
    </w:p>
    <w:p w14:paraId="68E355B2">
      <w:pPr>
        <w:spacing w:line="360" w:lineRule="auto"/>
      </w:pPr>
      <w:r>
        <w:rPr>
          <w:rFonts w:hint="eastAsia"/>
        </w:rPr>
        <w:t>3、资金使用合规性</w:t>
      </w:r>
    </w:p>
    <w:p w14:paraId="745B6A7F">
      <w:pPr>
        <w:spacing w:line="560" w:lineRule="exact"/>
        <w:ind w:firstLine="560" w:firstLineChars="200"/>
        <w:jc w:val="left"/>
        <w:rPr>
          <w:rFonts w:ascii="仿宋_GB2312" w:hAnsi="仿宋_GB2312" w:cs="仿宋_GB2312"/>
          <w:sz w:val="28"/>
          <w:szCs w:val="28"/>
        </w:rPr>
      </w:pPr>
      <w:r>
        <w:rPr>
          <w:rFonts w:hint="eastAsia" w:ascii="仿宋_GB2312" w:hAnsi="仿宋_GB2312" w:cs="仿宋_GB2312"/>
          <w:sz w:val="28"/>
          <w:szCs w:val="28"/>
        </w:rPr>
        <w:t>该项目符合国家财经法规和财务管理制度以及有关专项资金管理办法的规定；资金的拨付有完整的审批程序和手续；符合项目预算批复或合同规定的用途；不存在截留、挤占、挪用、虚列支出等情况。</w:t>
      </w:r>
    </w:p>
    <w:p w14:paraId="72118C5C">
      <w:pPr>
        <w:spacing w:line="360" w:lineRule="auto"/>
      </w:pPr>
      <w:r>
        <w:rPr>
          <w:rFonts w:hint="eastAsia"/>
        </w:rPr>
        <w:t>4、管理制度健全性</w:t>
      </w:r>
    </w:p>
    <w:p w14:paraId="264299F0">
      <w:pPr>
        <w:spacing w:line="560" w:lineRule="exact"/>
        <w:ind w:firstLine="560" w:firstLineChars="200"/>
        <w:jc w:val="left"/>
        <w:rPr>
          <w:rFonts w:ascii="仿宋_GB2312" w:hAnsi="仿宋_GB2312" w:cs="仿宋_GB2312"/>
          <w:sz w:val="28"/>
          <w:szCs w:val="28"/>
        </w:rPr>
      </w:pPr>
      <w:r>
        <w:rPr>
          <w:rFonts w:hint="eastAsia" w:ascii="仿宋_GB2312" w:hAnsi="仿宋_GB2312" w:cs="仿宋_GB2312"/>
          <w:sz w:val="28"/>
          <w:szCs w:val="28"/>
        </w:rPr>
        <w:t>我部门已制定《焉耆县农业农村局财务管理制度》财务管理制度，财务制度是合法、合规、完整，但缺少业务专项管理制度。</w:t>
      </w:r>
    </w:p>
    <w:p w14:paraId="6418510B">
      <w:pPr>
        <w:spacing w:line="360" w:lineRule="auto"/>
      </w:pPr>
      <w:r>
        <w:rPr>
          <w:rFonts w:hint="eastAsia"/>
        </w:rPr>
        <w:t>5、制度执行有效性</w:t>
      </w:r>
    </w:p>
    <w:p w14:paraId="13EA106E">
      <w:pPr>
        <w:spacing w:line="560" w:lineRule="exact"/>
        <w:ind w:firstLine="560" w:firstLineChars="200"/>
        <w:jc w:val="left"/>
        <w:rPr>
          <w:rFonts w:ascii="仿宋_GB2312" w:hAnsi="仿宋_GB2312" w:cs="仿宋_GB2312"/>
          <w:sz w:val="28"/>
          <w:szCs w:val="28"/>
        </w:rPr>
      </w:pPr>
      <w:bookmarkStart w:id="16" w:name="_Toc68703840"/>
      <w:r>
        <w:rPr>
          <w:rFonts w:hint="eastAsia" w:ascii="仿宋_GB2312" w:hAnsi="仿宋_GB2312" w:cs="仿宋_GB2312"/>
          <w:sz w:val="28"/>
          <w:szCs w:val="28"/>
        </w:rPr>
        <w:t>该项目遵守相关法律法规和相关管理规定；项目调整及支出调整手续完备；补贴资料齐全并及时归档；项目实施的人员条件、场地设备等落实到位。</w:t>
      </w:r>
    </w:p>
    <w:p w14:paraId="158501FD">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6"/>
    </w:p>
    <w:p w14:paraId="2AA9F8F7">
      <w:pPr>
        <w:spacing w:line="520" w:lineRule="exact"/>
        <w:ind w:firstLine="560" w:firstLineChars="200"/>
        <w:contextualSpacing/>
        <w:rPr>
          <w:rFonts w:ascii="仿宋_GB2312" w:hAnsi="仿宋_GB2312" w:cs="仿宋_GB2312"/>
          <w:sz w:val="28"/>
          <w:szCs w:val="28"/>
        </w:rPr>
      </w:pPr>
      <w:bookmarkStart w:id="17" w:name="_Toc68703841"/>
      <w:r>
        <w:rPr>
          <w:rFonts w:hint="eastAsia" w:ascii="仿宋_GB2312" w:hAnsi="仿宋_GB2312" w:cs="仿宋_GB2312"/>
          <w:sz w:val="28"/>
          <w:szCs w:val="28"/>
        </w:rPr>
        <w:t>1、数量指标：指标1： 购置拖拉机和配套农具 ，指标值：</w:t>
      </w:r>
      <w:r>
        <w:rPr>
          <w:rFonts w:ascii="Arial" w:hAnsi="Arial" w:cs="Arial"/>
          <w:sz w:val="28"/>
          <w:szCs w:val="28"/>
        </w:rPr>
        <w:t>≥</w:t>
      </w:r>
      <w:r>
        <w:rPr>
          <w:rFonts w:hint="eastAsia" w:ascii="仿宋_GB2312" w:hAnsi="仿宋_GB2312" w:cs="仿宋_GB2312"/>
          <w:sz w:val="28"/>
          <w:szCs w:val="28"/>
        </w:rPr>
        <w:t>521台，实际完成值521台，指标完成率100% ，无偏差；指标2：补贴次数1次，实际完成1次，指标完成率100%，无偏差。</w:t>
      </w:r>
    </w:p>
    <w:p w14:paraId="55C0DC18">
      <w:pPr>
        <w:spacing w:line="520" w:lineRule="exact"/>
        <w:ind w:firstLine="560" w:firstLineChars="200"/>
        <w:contextualSpacing/>
        <w:rPr>
          <w:rFonts w:ascii="仿宋_GB2312" w:hAnsi="仿宋_GB2312" w:cs="仿宋_GB2312"/>
          <w:sz w:val="28"/>
          <w:szCs w:val="28"/>
        </w:rPr>
      </w:pPr>
      <w:r>
        <w:rPr>
          <w:rFonts w:hint="eastAsia" w:ascii="仿宋_GB2312" w:hAnsi="仿宋_GB2312" w:cs="仿宋_GB2312"/>
          <w:sz w:val="28"/>
          <w:szCs w:val="28"/>
        </w:rPr>
        <w:t>2质量指标：指标：农作物耕种收综合机械化率 ，指标值：</w:t>
      </w:r>
      <w:r>
        <w:rPr>
          <w:rFonts w:ascii="Arial" w:hAnsi="Arial" w:cs="Arial"/>
          <w:sz w:val="28"/>
          <w:szCs w:val="28"/>
        </w:rPr>
        <w:t>≥</w:t>
      </w:r>
      <w:r>
        <w:rPr>
          <w:rFonts w:hint="eastAsia" w:ascii="仿宋_GB2312" w:hAnsi="仿宋_GB2312" w:cs="仿宋_GB2312"/>
          <w:sz w:val="28"/>
          <w:szCs w:val="28"/>
        </w:rPr>
        <w:t>90% ，实际完成值93.1%，指标完成率103.4%，偏差原因:农机装备短板补齐，机械化程度提高。</w:t>
      </w:r>
    </w:p>
    <w:p w14:paraId="62C85FAE">
      <w:pPr>
        <w:spacing w:line="520" w:lineRule="exact"/>
        <w:ind w:firstLine="560" w:firstLineChars="200"/>
        <w:contextualSpacing/>
        <w:rPr>
          <w:rFonts w:ascii="仿宋_GB2312" w:hAnsi="仿宋_GB2312" w:cs="仿宋_GB2312"/>
          <w:sz w:val="28"/>
          <w:szCs w:val="28"/>
        </w:rPr>
      </w:pPr>
      <w:r>
        <w:rPr>
          <w:rFonts w:hint="eastAsia" w:ascii="仿宋_GB2312" w:hAnsi="仿宋_GB2312" w:cs="仿宋_GB2312"/>
          <w:sz w:val="28"/>
          <w:szCs w:val="28"/>
        </w:rPr>
        <w:t xml:space="preserve"> 3.时效指标：指标 ：补贴资金支付及时率</w:t>
      </w:r>
      <w:r>
        <w:rPr>
          <w:rFonts w:ascii="仿宋_GB2312" w:hAnsi="仿宋_GB2312" w:cs="仿宋_GB2312"/>
          <w:sz w:val="28"/>
          <w:szCs w:val="28"/>
        </w:rPr>
        <w:t>:</w:t>
      </w:r>
      <w:r>
        <w:rPr>
          <w:rFonts w:hint="eastAsia" w:ascii="仿宋_GB2312" w:hAnsi="仿宋_GB2312" w:cs="仿宋_GB2312"/>
          <w:sz w:val="28"/>
          <w:szCs w:val="28"/>
        </w:rPr>
        <w:t>=</w:t>
      </w:r>
      <w:r>
        <w:rPr>
          <w:rFonts w:ascii="仿宋_GB2312" w:hAnsi="仿宋_GB2312" w:cs="仿宋_GB2312"/>
          <w:sz w:val="28"/>
          <w:szCs w:val="28"/>
        </w:rPr>
        <w:t>100</w:t>
      </w:r>
      <w:r>
        <w:rPr>
          <w:rFonts w:hint="eastAsia" w:ascii="仿宋_GB2312" w:hAnsi="仿宋_GB2312" w:cs="仿宋_GB2312"/>
          <w:sz w:val="28"/>
          <w:szCs w:val="28"/>
        </w:rPr>
        <w:t xml:space="preserve"> %，实际完成值100%，无偏差.</w:t>
      </w:r>
    </w:p>
    <w:p w14:paraId="3C0B83AF">
      <w:pPr>
        <w:spacing w:line="520" w:lineRule="exact"/>
        <w:ind w:firstLine="560" w:firstLineChars="200"/>
        <w:contextualSpacing/>
        <w:rPr>
          <w:rFonts w:ascii="仿宋_GB2312" w:hAnsi="仿宋_GB2312" w:cs="仿宋_GB2312"/>
          <w:sz w:val="28"/>
          <w:szCs w:val="28"/>
        </w:rPr>
      </w:pPr>
      <w:r>
        <w:rPr>
          <w:rFonts w:hint="eastAsia" w:ascii="仿宋_GB2312" w:hAnsi="仿宋_GB2312" w:cs="仿宋_GB2312"/>
          <w:sz w:val="28"/>
          <w:szCs w:val="28"/>
        </w:rPr>
        <w:t>4</w:t>
      </w:r>
      <w:r>
        <w:rPr>
          <w:rFonts w:ascii="仿宋_GB2312" w:hAnsi="仿宋_GB2312" w:cs="仿宋_GB2312"/>
          <w:sz w:val="28"/>
          <w:szCs w:val="28"/>
        </w:rPr>
        <w:t>.</w:t>
      </w:r>
      <w:r>
        <w:rPr>
          <w:rFonts w:hint="eastAsia" w:ascii="仿宋_GB2312" w:hAnsi="仿宋_GB2312" w:cs="仿宋_GB2312"/>
          <w:sz w:val="28"/>
          <w:szCs w:val="28"/>
        </w:rPr>
        <w:t xml:space="preserve">成本指标：指标：预算控制率 </w:t>
      </w:r>
      <w:r>
        <w:rPr>
          <w:rFonts w:hint="eastAsia" w:ascii="宋体" w:hAnsi="宋体" w:eastAsia="宋体" w:cs="宋体"/>
          <w:sz w:val="28"/>
          <w:szCs w:val="28"/>
        </w:rPr>
        <w:t>≦</w:t>
      </w:r>
      <w:r>
        <w:rPr>
          <w:rFonts w:hint="eastAsia" w:ascii="宋体" w:hAnsi="宋体" w:cs="宋体"/>
          <w:sz w:val="28"/>
          <w:szCs w:val="28"/>
        </w:rPr>
        <w:t>100</w:t>
      </w:r>
      <w:r>
        <w:rPr>
          <w:rFonts w:hint="eastAsia" w:ascii="仿宋_GB2312" w:hAnsi="仿宋_GB2312" w:cs="仿宋_GB2312"/>
          <w:sz w:val="28"/>
          <w:szCs w:val="28"/>
        </w:rPr>
        <w:t>% ，实际完成值100%，指标完成率 100%，</w:t>
      </w:r>
      <w:r>
        <w:rPr>
          <w:rFonts w:hint="eastAsia" w:ascii="华文仿宋" w:hAnsi="华文仿宋" w:eastAsia="华文仿宋" w:cs="华文仿宋"/>
          <w:color w:val="000000" w:themeColor="text1"/>
          <w:sz w:val="32"/>
          <w:szCs w:val="32"/>
          <w14:textFill>
            <w14:solidFill>
              <w14:schemeClr w14:val="tx1"/>
            </w14:solidFill>
          </w14:textFill>
        </w:rPr>
        <w:t>无偏差。</w:t>
      </w:r>
    </w:p>
    <w:p w14:paraId="20C79283">
      <w:pPr>
        <w:spacing w:line="520" w:lineRule="exact"/>
        <w:ind w:firstLine="560" w:firstLineChars="200"/>
        <w:contextualSpacing/>
        <w:rPr>
          <w:rFonts w:ascii="仿宋_GB2312" w:hAnsi="仿宋_GB2312" w:cs="仿宋_GB2312"/>
          <w:sz w:val="28"/>
          <w:szCs w:val="28"/>
        </w:rPr>
      </w:pPr>
      <w:r>
        <w:rPr>
          <w:rFonts w:hint="eastAsia" w:ascii="仿宋_GB2312" w:hAnsi="仿宋_GB2312" w:cs="仿宋_GB2312"/>
          <w:sz w:val="28"/>
          <w:szCs w:val="28"/>
        </w:rPr>
        <w:t>（四）项目效益情况</w:t>
      </w:r>
    </w:p>
    <w:p w14:paraId="234C7F70">
      <w:pPr>
        <w:ind w:firstLine="640" w:firstLineChars="200"/>
        <w:contextualSpacing/>
        <w:rPr>
          <w:rFonts w:ascii="仿宋_GB2312" w:hAnsi="仿宋" w:cs="宋体"/>
          <w:color w:val="333333"/>
          <w:sz w:val="32"/>
          <w:szCs w:val="32"/>
        </w:rPr>
      </w:pPr>
      <w:r>
        <w:rPr>
          <w:rFonts w:hint="eastAsia" w:ascii="仿宋_GB2312" w:hAnsi="仿宋" w:cs="宋体"/>
          <w:color w:val="333333"/>
          <w:sz w:val="32"/>
          <w:szCs w:val="32"/>
        </w:rPr>
        <w:t>1. 效益指标：</w:t>
      </w:r>
    </w:p>
    <w:p w14:paraId="48C1A8FB">
      <w:pPr>
        <w:ind w:firstLine="640" w:firstLineChars="200"/>
        <w:contextualSpacing/>
        <w:rPr>
          <w:rFonts w:ascii="仿宋_GB2312" w:hAnsi="仿宋" w:cs="宋体"/>
          <w:color w:val="333333"/>
          <w:sz w:val="32"/>
          <w:szCs w:val="32"/>
        </w:rPr>
      </w:pPr>
      <w:r>
        <w:rPr>
          <w:rFonts w:hint="eastAsia" w:ascii="仿宋_GB2312" w:hAnsi="仿宋" w:cs="宋体"/>
          <w:color w:val="333333"/>
          <w:sz w:val="32"/>
          <w:szCs w:val="32"/>
        </w:rPr>
        <w:t xml:space="preserve"> 社会效益指标：农机购置补贴收益农户指标：</w:t>
      </w:r>
      <w:bookmarkStart w:id="18" w:name="_Hlk98608692"/>
      <w:bookmarkStart w:id="19" w:name="_Hlk98607522"/>
      <w:r>
        <w:rPr>
          <w:rFonts w:hint="eastAsia" w:ascii="仿宋_GB2312" w:hAnsi="仿宋" w:cs="宋体"/>
          <w:color w:val="333333"/>
          <w:sz w:val="32"/>
          <w:szCs w:val="32"/>
        </w:rPr>
        <w:t>指标值：≥384户，实际完成值386户，指标完成率 100.5%，偏差原因</w:t>
      </w:r>
      <w:bookmarkEnd w:id="18"/>
      <w:r>
        <w:rPr>
          <w:rFonts w:hint="eastAsia" w:ascii="仿宋_GB2312" w:hAnsi="仿宋" w:cs="宋体"/>
          <w:color w:val="333333"/>
          <w:sz w:val="32"/>
          <w:szCs w:val="32"/>
        </w:rPr>
        <w:t>:项目实施前期准备充分，农机购置补贴工作按时开展，补贴工作专人负责，分工明确，落实责任，使更多农户受益。</w:t>
      </w:r>
      <w:bookmarkEnd w:id="19"/>
    </w:p>
    <w:p w14:paraId="487C6EFD">
      <w:pPr>
        <w:ind w:firstLine="640" w:firstLineChars="200"/>
        <w:contextualSpacing/>
        <w:rPr>
          <w:rFonts w:ascii="仿宋_GB2312" w:hAnsi="仿宋" w:cs="宋体"/>
          <w:color w:val="333333"/>
          <w:sz w:val="32"/>
          <w:szCs w:val="32"/>
        </w:rPr>
      </w:pPr>
      <w:r>
        <w:rPr>
          <w:rFonts w:hint="eastAsia" w:ascii="仿宋_GB2312" w:hAnsi="仿宋" w:cs="宋体"/>
          <w:color w:val="333333"/>
          <w:sz w:val="32"/>
          <w:szCs w:val="32"/>
        </w:rPr>
        <w:t xml:space="preserve">  满意度指标：购机农户满意度指标值：≥90%，实际完成值100%，指标完成率111%，偏差原因：政策宣传、工作落实措施得力，农户惠农政策知晓率高。</w:t>
      </w:r>
    </w:p>
    <w:bookmarkEnd w:id="17"/>
    <w:p w14:paraId="68BAB686">
      <w:pPr>
        <w:spacing w:line="520" w:lineRule="exact"/>
        <w:ind w:firstLine="600" w:firstLineChars="200"/>
        <w:rPr>
          <w:rFonts w:eastAsia="方正黑体_GBK" w:asciiTheme="minorHAnsi" w:hAnsiTheme="minorHAnsi"/>
          <w:color w:val="000000" w:themeColor="text1"/>
          <w:sz w:val="32"/>
          <w:szCs w:val="32"/>
          <w14:textFill>
            <w14:solidFill>
              <w14:schemeClr w14:val="tx1"/>
            </w14:solidFill>
          </w14:textFill>
        </w:rPr>
      </w:pPr>
      <w:r>
        <w:rPr>
          <w:rFonts w:hint="eastAsia" w:ascii="仿宋_GB2312"/>
        </w:rPr>
        <w:t xml:space="preserve"> </w:t>
      </w:r>
      <w:r>
        <w:rPr>
          <w:rFonts w:hint="eastAsia" w:eastAsia="方正黑体_GBK" w:asciiTheme="minorHAnsi" w:hAnsiTheme="minorHAnsi"/>
          <w:color w:val="000000" w:themeColor="text1"/>
          <w:sz w:val="32"/>
          <w:szCs w:val="32"/>
          <w14:textFill>
            <w14:solidFill>
              <w14:schemeClr w14:val="tx1"/>
            </w14:solidFill>
          </w14:textFill>
        </w:rPr>
        <w:t>五、主要经验及做法、存在的问题及原因分析</w:t>
      </w:r>
    </w:p>
    <w:p w14:paraId="5DF931FB">
      <w:pPr>
        <w:ind w:firstLine="640" w:firstLineChars="200"/>
        <w:contextualSpacing/>
        <w:rPr>
          <w:rFonts w:ascii="仿宋_GB2312" w:hAnsi="仿宋" w:cs="宋体"/>
          <w:color w:val="333333"/>
          <w:sz w:val="32"/>
          <w:szCs w:val="32"/>
        </w:rPr>
      </w:pPr>
      <w:r>
        <w:rPr>
          <w:rFonts w:hint="eastAsia" w:ascii="华文仿宋" w:hAnsi="华文仿宋" w:eastAsia="华文仿宋" w:cs="华文仿宋"/>
          <w:color w:val="000000" w:themeColor="text1"/>
          <w:sz w:val="32"/>
          <w:szCs w:val="32"/>
          <w14:textFill>
            <w14:solidFill>
              <w14:schemeClr w14:val="tx1"/>
            </w14:solidFill>
          </w14:textFill>
        </w:rPr>
        <w:t xml:space="preserve"> </w:t>
      </w:r>
      <w:r>
        <w:rPr>
          <w:rFonts w:hint="eastAsia" w:ascii="仿宋_GB2312" w:hAnsi="仿宋" w:cs="宋体"/>
          <w:color w:val="333333"/>
          <w:sz w:val="32"/>
          <w:szCs w:val="32"/>
        </w:rPr>
        <w:t>（一）主要经验及做法</w:t>
      </w:r>
    </w:p>
    <w:p w14:paraId="3BFF5B53">
      <w:pPr>
        <w:ind w:firstLine="640" w:firstLineChars="200"/>
        <w:contextualSpacing/>
        <w:rPr>
          <w:rFonts w:ascii="仿宋_GB2312" w:hAnsi="仿宋" w:cs="宋体"/>
          <w:color w:val="333333"/>
          <w:sz w:val="32"/>
          <w:szCs w:val="32"/>
        </w:rPr>
      </w:pPr>
      <w:r>
        <w:rPr>
          <w:rFonts w:hint="eastAsia" w:ascii="仿宋_GB2312" w:hAnsi="仿宋" w:cs="宋体"/>
          <w:color w:val="333333"/>
          <w:sz w:val="32"/>
          <w:szCs w:val="32"/>
        </w:rPr>
        <w:t>项目实施过程中，我单位加强科室配合，监管有力，及时按年初预算进度支付经费，为项目实施做好资金保障。项目执行科室农机推广站提出项目资金的使用计划和工作方案，较为规范地组织实施，有条不紊开展相关工作，并做好资料收集整理工作。时进行协调和提出整改措施，确保项目支出绩效实施工作正常运行，达到预期绩效目标。</w:t>
      </w:r>
    </w:p>
    <w:p w14:paraId="4E5F63A1">
      <w:pPr>
        <w:ind w:firstLine="640" w:firstLineChars="200"/>
        <w:contextualSpacing/>
        <w:rPr>
          <w:rFonts w:ascii="仿宋_GB2312" w:hAnsi="仿宋" w:cs="宋体"/>
          <w:color w:val="333333"/>
          <w:sz w:val="32"/>
          <w:szCs w:val="32"/>
        </w:rPr>
      </w:pPr>
      <w:r>
        <w:rPr>
          <w:rFonts w:hint="eastAsia" w:ascii="仿宋_GB2312" w:hAnsi="仿宋" w:cs="宋体"/>
          <w:color w:val="333333"/>
          <w:sz w:val="32"/>
          <w:szCs w:val="32"/>
        </w:rPr>
        <w:t>（二）存在的问题及原因分析</w:t>
      </w:r>
    </w:p>
    <w:p w14:paraId="5A4519AE">
      <w:pPr>
        <w:ind w:firstLine="640" w:firstLineChars="200"/>
        <w:contextualSpacing/>
        <w:rPr>
          <w:rFonts w:ascii="仿宋_GB2312" w:hAnsi="仿宋" w:cs="宋体"/>
          <w:color w:val="333333"/>
          <w:sz w:val="32"/>
          <w:szCs w:val="32"/>
        </w:rPr>
      </w:pPr>
      <w:r>
        <w:rPr>
          <w:rFonts w:hint="eastAsia" w:ascii="仿宋_GB2312" w:hAnsi="仿宋" w:cs="宋体"/>
          <w:color w:val="333333"/>
          <w:sz w:val="32"/>
          <w:szCs w:val="32"/>
        </w:rPr>
        <w:t>1、存在的问题：参与绩效管理工作的人员经验不足，绩效管理水平有待提高。</w:t>
      </w:r>
    </w:p>
    <w:p w14:paraId="3C7E0795">
      <w:pPr>
        <w:ind w:firstLine="640" w:firstLineChars="200"/>
        <w:contextualSpacing/>
        <w:rPr>
          <w:rFonts w:ascii="仿宋_GB2312" w:hAnsi="仿宋" w:cs="宋体"/>
          <w:color w:val="333333"/>
          <w:sz w:val="32"/>
          <w:szCs w:val="32"/>
        </w:rPr>
      </w:pPr>
      <w:r>
        <w:rPr>
          <w:rFonts w:hint="eastAsia" w:ascii="仿宋_GB2312" w:hAnsi="仿宋" w:cs="宋体"/>
          <w:color w:val="333333"/>
          <w:sz w:val="32"/>
          <w:szCs w:val="32"/>
        </w:rPr>
        <w:t>2、原因分析：绩效管理意识有待进一步提高，应按照财政支出绩效管理的要求，继续完善绩效评价的评价体系及工作流程，提高财政资金使用管理的水平和效率。</w:t>
      </w:r>
    </w:p>
    <w:p w14:paraId="49F5AEC7">
      <w:pPr>
        <w:pStyle w:val="2"/>
      </w:pPr>
    </w:p>
    <w:p w14:paraId="713EE55A">
      <w:pPr>
        <w:spacing w:line="560" w:lineRule="exact"/>
        <w:ind w:firstLine="640" w:firstLineChars="200"/>
        <w:rPr>
          <w:rFonts w:eastAsia="方正黑体_GBK" w:asciiTheme="minorHAnsi" w:hAnsiTheme="minorHAnsi"/>
          <w:color w:val="000000" w:themeColor="text1"/>
          <w:sz w:val="32"/>
          <w:szCs w:val="32"/>
          <w14:textFill>
            <w14:solidFill>
              <w14:schemeClr w14:val="tx1"/>
            </w14:solidFill>
          </w14:textFill>
        </w:rPr>
      </w:pPr>
      <w:r>
        <w:rPr>
          <w:rFonts w:hint="eastAsia" w:eastAsia="方正黑体_GBK" w:asciiTheme="minorHAnsi" w:hAnsiTheme="minorHAnsi"/>
          <w:color w:val="000000" w:themeColor="text1"/>
          <w:sz w:val="32"/>
          <w:szCs w:val="32"/>
          <w14:textFill>
            <w14:solidFill>
              <w14:schemeClr w14:val="tx1"/>
            </w14:solidFill>
          </w14:textFill>
        </w:rPr>
        <w:t>六、有关建议</w:t>
      </w:r>
    </w:p>
    <w:p w14:paraId="14F19E77">
      <w:pPr>
        <w:spacing w:line="560" w:lineRule="exact"/>
        <w:ind w:firstLine="640" w:firstLineChars="200"/>
        <w:rPr>
          <w:rFonts w:ascii="仿宋_GB2312" w:hAnsi="仿宋" w:cs="宋体"/>
          <w:color w:val="333333"/>
          <w:sz w:val="32"/>
          <w:szCs w:val="32"/>
        </w:rPr>
      </w:pPr>
      <w:r>
        <w:rPr>
          <w:rFonts w:hint="eastAsia" w:ascii="仿宋_GB2312" w:hAnsi="仿宋" w:cs="宋体"/>
          <w:color w:val="333333"/>
          <w:sz w:val="32"/>
          <w:szCs w:val="32"/>
        </w:rPr>
        <w:t>加</w:t>
      </w:r>
      <w:bookmarkStart w:id="20" w:name="_Hlk166753165"/>
      <w:r>
        <w:rPr>
          <w:rFonts w:hint="eastAsia" w:ascii="仿宋_GB2312" w:hAnsi="仿宋" w:cs="宋体"/>
          <w:color w:val="333333"/>
          <w:sz w:val="32"/>
          <w:szCs w:val="32"/>
        </w:rPr>
        <w:t>大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bookmarkEnd w:id="20"/>
    </w:p>
    <w:p w14:paraId="1458FCF2">
      <w:pPr>
        <w:pStyle w:val="2"/>
      </w:pPr>
    </w:p>
    <w:p w14:paraId="34EC8EDB">
      <w:pPr>
        <w:ind w:firstLine="640" w:firstLineChars="200"/>
        <w:contextualSpacing/>
        <w:rPr>
          <w:rFonts w:ascii="方正黑体_GBK" w:hAnsi="黑体" w:eastAsia="方正黑体_GBK"/>
          <w:sz w:val="32"/>
          <w:szCs w:val="32"/>
        </w:rPr>
      </w:pPr>
      <w:r>
        <w:rPr>
          <w:rFonts w:hint="eastAsia" w:ascii="方正黑体_GBK" w:hAnsi="黑体" w:eastAsia="方正黑体_GBK"/>
          <w:sz w:val="32"/>
          <w:szCs w:val="32"/>
        </w:rPr>
        <w:t>七、其他需要说明的问题</w:t>
      </w:r>
    </w:p>
    <w:p w14:paraId="1979DBBB">
      <w:pPr>
        <w:spacing w:line="560" w:lineRule="exact"/>
        <w:ind w:firstLine="640" w:firstLineChars="200"/>
        <w:jc w:val="left"/>
        <w:rPr>
          <w:rFonts w:hint="eastAsia" w:ascii="仿宋_GB2312" w:hAnsi="仿宋" w:cs="宋体"/>
          <w:color w:val="333333"/>
          <w:sz w:val="32"/>
          <w:szCs w:val="32"/>
        </w:rPr>
      </w:pPr>
      <w:bookmarkStart w:id="21" w:name="_Hlk166753123"/>
      <w:r>
        <w:rPr>
          <w:rFonts w:hint="eastAsia" w:ascii="仿宋_GB2312" w:hAnsi="仿宋" w:cs="宋体"/>
          <w:color w:val="333333"/>
          <w:sz w:val="32"/>
          <w:szCs w:val="32"/>
        </w:rPr>
        <w:t>本次预算绩效评价所采集的数据因为采集时间、数据来源等诸多因素的影响，可能会出现一定的偏差，进而对评价结果存在影响。</w:t>
      </w:r>
      <w:bookmarkEnd w:id="21"/>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华文仿宋">
    <w:altName w:val="仿宋"/>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A00002BF" w:usb1="38CF7CFA" w:usb2="00082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33EC9C"/>
    <w:multiLevelType w:val="singleLevel"/>
    <w:tmpl w:val="2233EC9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7D49C5"/>
    <w:rsid w:val="000B223C"/>
    <w:rsid w:val="00376D6A"/>
    <w:rsid w:val="00437B04"/>
    <w:rsid w:val="0044329A"/>
    <w:rsid w:val="004850D4"/>
    <w:rsid w:val="00571796"/>
    <w:rsid w:val="00614288"/>
    <w:rsid w:val="007D49C5"/>
    <w:rsid w:val="008032CD"/>
    <w:rsid w:val="00813DC8"/>
    <w:rsid w:val="008464B5"/>
    <w:rsid w:val="008C631D"/>
    <w:rsid w:val="00911087"/>
    <w:rsid w:val="00977705"/>
    <w:rsid w:val="00987A38"/>
    <w:rsid w:val="00A8535D"/>
    <w:rsid w:val="00A87696"/>
    <w:rsid w:val="00AF28AB"/>
    <w:rsid w:val="00BA7845"/>
    <w:rsid w:val="00CA327F"/>
    <w:rsid w:val="00E5319E"/>
    <w:rsid w:val="00EF1FE3"/>
    <w:rsid w:val="00F1464E"/>
    <w:rsid w:val="00FD64F0"/>
    <w:rsid w:val="15DA37C6"/>
    <w:rsid w:val="1C000599"/>
    <w:rsid w:val="25BD54EF"/>
    <w:rsid w:val="2732278A"/>
    <w:rsid w:val="3ECB5B9A"/>
    <w:rsid w:val="3F3020FF"/>
    <w:rsid w:val="5934151A"/>
    <w:rsid w:val="622575EA"/>
    <w:rsid w:val="64187A96"/>
    <w:rsid w:val="65EA1CD5"/>
    <w:rsid w:val="698E3BFE"/>
    <w:rsid w:val="762C3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sz w:val="18"/>
      <w:szCs w:val="18"/>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qFormat/>
    <w:uiPriority w:val="9"/>
    <w:rPr>
      <w:rFonts w:asciiTheme="majorHAnsi" w:hAnsiTheme="majorHAnsi" w:eastAsiaTheme="majorEastAsia" w:cstheme="majorBidi"/>
      <w:b/>
      <w:bCs/>
      <w:sz w:val="32"/>
      <w:szCs w:val="32"/>
    </w:rPr>
  </w:style>
  <w:style w:type="paragraph" w:customStyle="1" w:styleId="15">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autoRedefine/>
    <w:qFormat/>
    <w:uiPriority w:val="99"/>
    <w:rPr>
      <w:rFonts w:ascii="Times New Roman" w:hAnsi="Times New Roman" w:eastAsia="仿宋_GB2312" w:cs="Times New Roman"/>
      <w:sz w:val="18"/>
      <w:szCs w:val="18"/>
    </w:rPr>
  </w:style>
  <w:style w:type="character" w:customStyle="1" w:styleId="17">
    <w:name w:val="页脚 字符"/>
    <w:basedOn w:val="11"/>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5916</Words>
  <Characters>6167</Characters>
  <Lines>55</Lines>
  <Paragraphs>15</Paragraphs>
  <TotalTime>20</TotalTime>
  <ScaleCrop>false</ScaleCrop>
  <LinksUpToDate>false</LinksUpToDate>
  <CharactersWithSpaces>6271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2025-03-05T02:49:31Z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