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B9056">
      <w:pPr>
        <w:jc w:val="center"/>
        <w:rPr>
          <w:rFonts w:ascii="宋体" w:hAnsi="宋体" w:eastAsia="宋体" w:cs="Arial"/>
          <w:b/>
          <w:bCs/>
          <w:sz w:val="48"/>
          <w:szCs w:val="48"/>
        </w:rPr>
      </w:pPr>
    </w:p>
    <w:p w14:paraId="70DD38D6">
      <w:pPr>
        <w:jc w:val="center"/>
        <w:rPr>
          <w:rFonts w:ascii="宋体" w:hAnsi="宋体" w:eastAsia="宋体" w:cs="Arial"/>
          <w:b/>
          <w:bCs/>
          <w:sz w:val="48"/>
          <w:szCs w:val="48"/>
        </w:rPr>
      </w:pPr>
    </w:p>
    <w:p w14:paraId="71DA64D9">
      <w:pPr>
        <w:jc w:val="center"/>
        <w:rPr>
          <w:rFonts w:ascii="宋体" w:hAnsi="宋体" w:eastAsia="宋体" w:cs="Arial"/>
          <w:b/>
          <w:bCs/>
          <w:sz w:val="48"/>
          <w:szCs w:val="48"/>
        </w:rPr>
      </w:pPr>
    </w:p>
    <w:p w14:paraId="625BC374">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75662542">
      <w:pPr>
        <w:jc w:val="center"/>
        <w:rPr>
          <w:rFonts w:ascii="宋体" w:hAnsi="宋体" w:eastAsia="宋体" w:cs="Arial"/>
          <w:b/>
          <w:bCs/>
          <w:sz w:val="48"/>
          <w:szCs w:val="48"/>
        </w:rPr>
      </w:pPr>
    </w:p>
    <w:p w14:paraId="6AB0594C">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kern w:val="0"/>
          <w:sz w:val="36"/>
          <w:szCs w:val="36"/>
        </w:rPr>
        <w:t>（2</w:t>
      </w:r>
      <w:r>
        <w:rPr>
          <w:rFonts w:ascii="方正小标宋简体" w:hAnsi="方正小标宋简体" w:eastAsia="方正小标宋简体" w:cs="方正小标宋简体"/>
          <w:kern w:val="0"/>
          <w:sz w:val="36"/>
          <w:szCs w:val="36"/>
        </w:rPr>
        <w:t>02</w:t>
      </w:r>
      <w:r>
        <w:rPr>
          <w:rFonts w:hint="eastAsia" w:ascii="方正小标宋简体" w:hAnsi="方正小标宋简体" w:eastAsia="方正小标宋简体" w:cs="方正小标宋简体"/>
          <w:kern w:val="0"/>
          <w:sz w:val="36"/>
          <w:szCs w:val="36"/>
        </w:rPr>
        <w:t>3年度）</w:t>
      </w:r>
    </w:p>
    <w:p w14:paraId="0A5EB06C">
      <w:pPr>
        <w:spacing w:line="480" w:lineRule="auto"/>
        <w:jc w:val="center"/>
        <w:rPr>
          <w:rFonts w:ascii="仿宋_GB2312" w:hAnsi="仿宋_GB2312" w:cs="仿宋_GB2312"/>
          <w:b/>
          <w:kern w:val="0"/>
          <w:sz w:val="50"/>
          <w:szCs w:val="50"/>
          <w:lang w:bidi="en-US"/>
        </w:rPr>
      </w:pPr>
    </w:p>
    <w:p w14:paraId="6DA2E3B7">
      <w:pPr>
        <w:spacing w:line="480" w:lineRule="auto"/>
        <w:jc w:val="center"/>
        <w:rPr>
          <w:rFonts w:ascii="仿宋_GB2312" w:hAnsi="仿宋_GB2312" w:cs="仿宋_GB2312"/>
          <w:b/>
          <w:kern w:val="0"/>
          <w:sz w:val="50"/>
          <w:szCs w:val="50"/>
          <w:lang w:bidi="en-US"/>
        </w:rPr>
      </w:pPr>
    </w:p>
    <w:p w14:paraId="2C764107">
      <w:pPr>
        <w:spacing w:line="480" w:lineRule="auto"/>
        <w:rPr>
          <w:rFonts w:ascii="仿宋_GB2312" w:hAnsi="仿宋_GB2312" w:cs="仿宋_GB2312"/>
          <w:b/>
          <w:kern w:val="0"/>
          <w:sz w:val="50"/>
          <w:szCs w:val="50"/>
          <w:lang w:bidi="en-US"/>
        </w:rPr>
      </w:pPr>
    </w:p>
    <w:p w14:paraId="4FA9870E">
      <w:pPr>
        <w:spacing w:line="480" w:lineRule="auto"/>
        <w:jc w:val="center"/>
        <w:rPr>
          <w:rFonts w:ascii="仿宋_GB2312" w:hAnsi="仿宋_GB2312" w:cs="仿宋_GB2312"/>
          <w:b/>
          <w:kern w:val="0"/>
          <w:sz w:val="50"/>
          <w:szCs w:val="50"/>
          <w:lang w:bidi="en-US"/>
        </w:rPr>
      </w:pPr>
    </w:p>
    <w:p w14:paraId="35AEF1F0">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rPr>
        <w:t>耕地地力保护补贴资金</w:t>
      </w:r>
    </w:p>
    <w:p w14:paraId="13845377">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kern w:val="0"/>
          <w:sz w:val="32"/>
          <w:szCs w:val="32"/>
        </w:rPr>
        <w:t>实施单位（公章）：焉耆县农业农村局</w:t>
      </w:r>
      <w:r>
        <w:rPr>
          <w:rFonts w:ascii="宋体" w:hAnsi="宋体" w:eastAsia="宋体" w:cs="宋体"/>
          <w:kern w:val="0"/>
          <w:sz w:val="32"/>
          <w:szCs w:val="32"/>
        </w:rPr>
        <w:t xml:space="preserve"> </w:t>
      </w:r>
    </w:p>
    <w:p w14:paraId="5682B673">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kern w:val="0"/>
          <w:sz w:val="32"/>
          <w:szCs w:val="32"/>
        </w:rPr>
        <w:t>主管部门（公章）：</w:t>
      </w:r>
      <w:r>
        <w:rPr>
          <w:rFonts w:ascii="宋体" w:hAnsi="宋体" w:eastAsia="宋体" w:cs="宋体"/>
          <w:kern w:val="0"/>
          <w:sz w:val="32"/>
          <w:szCs w:val="32"/>
        </w:rPr>
        <w:t xml:space="preserve"> </w:t>
      </w:r>
      <w:r>
        <w:rPr>
          <w:rFonts w:hint="eastAsia" w:ascii="宋体" w:hAnsi="宋体" w:eastAsia="宋体" w:cs="仿宋_GB2312"/>
          <w:b/>
          <w:bCs/>
          <w:kern w:val="0"/>
          <w:sz w:val="32"/>
          <w:szCs w:val="32"/>
        </w:rPr>
        <w:t>焉耆县农业农村局</w:t>
      </w:r>
      <w:r>
        <w:rPr>
          <w:rFonts w:ascii="宋体" w:hAnsi="宋体" w:eastAsia="宋体" w:cs="宋体"/>
          <w:kern w:val="0"/>
          <w:sz w:val="32"/>
          <w:szCs w:val="32"/>
        </w:rPr>
        <w:t xml:space="preserve"> </w:t>
      </w:r>
    </w:p>
    <w:p w14:paraId="6F9E38C9">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rPr>
        <w:t>索卫华</w:t>
      </w:r>
    </w:p>
    <w:p w14:paraId="23F55D26">
      <w:pPr>
        <w:spacing w:line="560" w:lineRule="exact"/>
        <w:ind w:firstLine="321" w:firstLineChars="100"/>
        <w:rPr>
          <w:rFonts w:ascii="宋体" w:hAnsi="宋体" w:eastAsia="宋体" w:cs="仿宋_GB2312"/>
          <w:kern w:val="0"/>
          <w:sz w:val="32"/>
          <w:szCs w:val="32"/>
        </w:rPr>
      </w:pPr>
      <w:r>
        <w:rPr>
          <w:rFonts w:hint="eastAsia" w:ascii="宋体" w:hAnsi="宋体" w:eastAsia="宋体" w:cs="仿宋_GB2312"/>
          <w:b/>
          <w:bCs/>
          <w:kern w:val="0"/>
          <w:sz w:val="32"/>
          <w:szCs w:val="32"/>
        </w:rPr>
        <w:t>填报时间：</w:t>
      </w:r>
      <w:r>
        <w:rPr>
          <w:rFonts w:hint="eastAsia" w:ascii="宋体" w:hAnsi="宋体" w:eastAsia="宋体" w:cs="仿宋_GB2312"/>
          <w:kern w:val="0"/>
          <w:sz w:val="32"/>
          <w:szCs w:val="32"/>
        </w:rPr>
        <w:t>2024年04月20日</w:t>
      </w:r>
    </w:p>
    <w:p w14:paraId="73662B8B">
      <w:pPr>
        <w:widowControl/>
        <w:jc w:val="left"/>
        <w:rPr>
          <w:rFonts w:ascii="宋体" w:hAnsi="宋体" w:eastAsia="宋体" w:cs="Arial"/>
          <w:b/>
          <w:bCs/>
          <w:sz w:val="36"/>
          <w:szCs w:val="36"/>
        </w:rPr>
      </w:pP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31A17B0B">
          <w:pPr>
            <w:pStyle w:val="21"/>
            <w:jc w:val="center"/>
            <w:rPr>
              <w:rFonts w:ascii="宋体" w:hAnsi="宋体" w:eastAsia="宋体"/>
              <w:b/>
              <w:bCs/>
              <w:color w:val="auto"/>
              <w:lang w:val="zh-CN"/>
            </w:rPr>
          </w:pPr>
          <w:r>
            <w:rPr>
              <w:rFonts w:ascii="宋体" w:hAnsi="宋体" w:eastAsia="宋体"/>
              <w:b/>
              <w:bCs/>
              <w:color w:val="auto"/>
              <w:lang w:val="zh-CN"/>
            </w:rPr>
            <w:t>目录</w:t>
          </w:r>
        </w:p>
        <w:p w14:paraId="1AFA1F1A">
          <w:pPr>
            <w:pStyle w:val="10"/>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8"/>
              <w:rFonts w:ascii="宋体" w:hAnsi="宋体" w:eastAsia="宋体"/>
              <w:color w:val="auto"/>
            </w:rPr>
            <w:t>一、基本情况</w:t>
          </w:r>
          <w:r>
            <w:tab/>
          </w:r>
          <w:r>
            <w:fldChar w:fldCharType="begin"/>
          </w:r>
          <w:r>
            <w:instrText xml:space="preserve"> PAGEREF _Toc68703827 \h </w:instrText>
          </w:r>
          <w:r>
            <w:fldChar w:fldCharType="separate"/>
          </w:r>
          <w:r>
            <w:t>3</w:t>
          </w:r>
          <w:r>
            <w:fldChar w:fldCharType="end"/>
          </w:r>
          <w:r>
            <w:fldChar w:fldCharType="end"/>
          </w:r>
        </w:p>
        <w:p w14:paraId="0887F493">
          <w:pPr>
            <w:pStyle w:val="12"/>
            <w:tabs>
              <w:tab w:val="right" w:leader="dot" w:pos="8834"/>
            </w:tabs>
            <w:rPr>
              <w:rFonts w:cstheme="minorBidi"/>
              <w:kern w:val="2"/>
              <w:sz w:val="21"/>
            </w:rPr>
          </w:pPr>
          <w:r>
            <w:fldChar w:fldCharType="begin"/>
          </w:r>
          <w:r>
            <w:instrText xml:space="preserve"> HYPERLINK \l "_Toc68703828" </w:instrText>
          </w:r>
          <w:r>
            <w:fldChar w:fldCharType="separate"/>
          </w:r>
          <w:r>
            <w:rPr>
              <w:rStyle w:val="18"/>
              <w:rFonts w:ascii="仿宋_GB2312" w:eastAsia="仿宋_GB2312"/>
              <w:color w:val="auto"/>
            </w:rPr>
            <w:t>（一）项目概况。</w:t>
          </w:r>
          <w:r>
            <w:tab/>
          </w:r>
          <w:r>
            <w:fldChar w:fldCharType="begin"/>
          </w:r>
          <w:r>
            <w:instrText xml:space="preserve"> PAGEREF _Toc68703828 \h </w:instrText>
          </w:r>
          <w:r>
            <w:fldChar w:fldCharType="separate"/>
          </w:r>
          <w:r>
            <w:t>3</w:t>
          </w:r>
          <w:r>
            <w:fldChar w:fldCharType="end"/>
          </w:r>
          <w:r>
            <w:fldChar w:fldCharType="end"/>
          </w:r>
        </w:p>
        <w:p w14:paraId="62BE73DB">
          <w:pPr>
            <w:pStyle w:val="12"/>
            <w:tabs>
              <w:tab w:val="right" w:leader="dot" w:pos="8834"/>
            </w:tabs>
            <w:rPr>
              <w:rFonts w:cstheme="minorBidi"/>
              <w:kern w:val="2"/>
              <w:sz w:val="21"/>
            </w:rPr>
          </w:pPr>
          <w:r>
            <w:fldChar w:fldCharType="begin"/>
          </w:r>
          <w:r>
            <w:instrText xml:space="preserve"> HYPERLINK \l "_Toc68703829" </w:instrText>
          </w:r>
          <w:r>
            <w:fldChar w:fldCharType="separate"/>
          </w:r>
          <w:r>
            <w:rPr>
              <w:rStyle w:val="18"/>
              <w:rFonts w:ascii="仿宋_GB2312" w:eastAsia="仿宋_GB2312"/>
              <w:color w:val="auto"/>
            </w:rPr>
            <w:t>（二）项目绩效目标。</w:t>
          </w:r>
          <w:r>
            <w:tab/>
          </w:r>
          <w:r>
            <w:fldChar w:fldCharType="begin"/>
          </w:r>
          <w:r>
            <w:instrText xml:space="preserve"> PAGEREF _Toc68703829 \h </w:instrText>
          </w:r>
          <w:r>
            <w:fldChar w:fldCharType="separate"/>
          </w:r>
          <w:r>
            <w:t>4</w:t>
          </w:r>
          <w:r>
            <w:fldChar w:fldCharType="end"/>
          </w:r>
          <w:r>
            <w:fldChar w:fldCharType="end"/>
          </w:r>
        </w:p>
        <w:p w14:paraId="3F6F8B33">
          <w:pPr>
            <w:pStyle w:val="10"/>
            <w:tabs>
              <w:tab w:val="right" w:leader="dot" w:pos="8834"/>
            </w:tabs>
            <w:rPr>
              <w:rFonts w:cstheme="minorBidi"/>
              <w:kern w:val="2"/>
              <w:sz w:val="21"/>
            </w:rPr>
          </w:pPr>
          <w:r>
            <w:fldChar w:fldCharType="begin"/>
          </w:r>
          <w:r>
            <w:instrText xml:space="preserve"> HYPERLINK \l "_Toc68703830" </w:instrText>
          </w:r>
          <w:r>
            <w:fldChar w:fldCharType="separate"/>
          </w:r>
          <w:r>
            <w:rPr>
              <w:rStyle w:val="18"/>
              <w:rFonts w:ascii="宋体" w:hAnsi="宋体" w:eastAsia="宋体"/>
              <w:color w:val="auto"/>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353BF9EC">
          <w:pPr>
            <w:pStyle w:val="12"/>
            <w:tabs>
              <w:tab w:val="right" w:leader="dot" w:pos="8834"/>
            </w:tabs>
            <w:rPr>
              <w:rFonts w:cstheme="minorBidi"/>
              <w:kern w:val="2"/>
              <w:sz w:val="21"/>
            </w:rPr>
          </w:pPr>
          <w:r>
            <w:fldChar w:fldCharType="begin"/>
          </w:r>
          <w:r>
            <w:instrText xml:space="preserve"> HYPERLINK \l "_Toc68703831" </w:instrText>
          </w:r>
          <w:r>
            <w:fldChar w:fldCharType="separate"/>
          </w:r>
          <w:r>
            <w:rPr>
              <w:rStyle w:val="18"/>
              <w:rFonts w:ascii="仿宋_GB2312" w:eastAsia="仿宋_GB2312"/>
              <w:color w:val="auto"/>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58EF96C5">
          <w:pPr>
            <w:pStyle w:val="12"/>
            <w:tabs>
              <w:tab w:val="right" w:leader="dot" w:pos="8834"/>
            </w:tabs>
            <w:rPr>
              <w:rFonts w:cstheme="minorBidi"/>
              <w:kern w:val="2"/>
              <w:sz w:val="21"/>
            </w:rPr>
          </w:pPr>
          <w:r>
            <w:fldChar w:fldCharType="begin"/>
          </w:r>
          <w:r>
            <w:instrText xml:space="preserve"> HYPERLINK \l "_Toc68703832" </w:instrText>
          </w:r>
          <w:r>
            <w:fldChar w:fldCharType="separate"/>
          </w:r>
          <w:r>
            <w:rPr>
              <w:rStyle w:val="18"/>
              <w:rFonts w:ascii="仿宋_GB2312" w:eastAsia="仿宋_GB2312"/>
              <w:color w:val="auto"/>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7A77DAB4">
          <w:pPr>
            <w:pStyle w:val="12"/>
            <w:tabs>
              <w:tab w:val="right" w:leader="dot" w:pos="8834"/>
            </w:tabs>
            <w:rPr>
              <w:rFonts w:cstheme="minorBidi"/>
              <w:kern w:val="2"/>
              <w:sz w:val="21"/>
            </w:rPr>
          </w:pPr>
          <w:r>
            <w:fldChar w:fldCharType="begin"/>
          </w:r>
          <w:r>
            <w:instrText xml:space="preserve"> HYPERLINK \l "_Toc68703833" </w:instrText>
          </w:r>
          <w:r>
            <w:fldChar w:fldCharType="separate"/>
          </w:r>
          <w:r>
            <w:rPr>
              <w:rStyle w:val="18"/>
              <w:rFonts w:ascii="仿宋_GB2312" w:eastAsia="仿宋_GB2312"/>
              <w:color w:val="auto"/>
            </w:rPr>
            <w:t>（三）绩效评价工作过程。</w:t>
          </w:r>
          <w:r>
            <w:tab/>
          </w:r>
          <w:r>
            <w:fldChar w:fldCharType="begin"/>
          </w:r>
          <w:r>
            <w:instrText xml:space="preserve"> PAGEREF _Toc68703833 \h </w:instrText>
          </w:r>
          <w:r>
            <w:fldChar w:fldCharType="separate"/>
          </w:r>
          <w:r>
            <w:t>9</w:t>
          </w:r>
          <w:r>
            <w:fldChar w:fldCharType="end"/>
          </w:r>
          <w:r>
            <w:fldChar w:fldCharType="end"/>
          </w:r>
        </w:p>
        <w:p w14:paraId="630E351B">
          <w:pPr>
            <w:pStyle w:val="10"/>
            <w:tabs>
              <w:tab w:val="right" w:leader="dot" w:pos="8834"/>
            </w:tabs>
            <w:rPr>
              <w:rFonts w:cstheme="minorBidi"/>
              <w:kern w:val="2"/>
              <w:sz w:val="21"/>
            </w:rPr>
          </w:pPr>
          <w:r>
            <w:fldChar w:fldCharType="begin"/>
          </w:r>
          <w:r>
            <w:instrText xml:space="preserve"> HYPERLINK \l "_Toc68703834" </w:instrText>
          </w:r>
          <w:r>
            <w:fldChar w:fldCharType="separate"/>
          </w:r>
          <w:r>
            <w:rPr>
              <w:rStyle w:val="18"/>
              <w:rFonts w:ascii="宋体" w:hAnsi="宋体" w:eastAsia="宋体"/>
              <w:color w:val="auto"/>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3318479E">
          <w:pPr>
            <w:pStyle w:val="12"/>
            <w:tabs>
              <w:tab w:val="right" w:leader="dot" w:pos="8834"/>
            </w:tabs>
            <w:rPr>
              <w:rFonts w:cstheme="minorBidi"/>
              <w:kern w:val="2"/>
              <w:sz w:val="21"/>
            </w:rPr>
          </w:pPr>
          <w:r>
            <w:fldChar w:fldCharType="begin"/>
          </w:r>
          <w:r>
            <w:instrText xml:space="preserve"> HYPERLINK \l "_Toc68703835" </w:instrText>
          </w:r>
          <w:r>
            <w:fldChar w:fldCharType="separate"/>
          </w:r>
          <w:r>
            <w:rPr>
              <w:rStyle w:val="18"/>
              <w:rFonts w:ascii="仿宋_GB2312" w:eastAsia="仿宋_GB2312"/>
              <w:color w:val="auto"/>
            </w:rPr>
            <w:t>（一）综合评价情况</w:t>
          </w:r>
          <w:r>
            <w:tab/>
          </w:r>
          <w:r>
            <w:fldChar w:fldCharType="begin"/>
          </w:r>
          <w:r>
            <w:instrText xml:space="preserve"> PAGEREF _Toc68703835 \h </w:instrText>
          </w:r>
          <w:r>
            <w:fldChar w:fldCharType="separate"/>
          </w:r>
          <w:r>
            <w:t>10</w:t>
          </w:r>
          <w:r>
            <w:fldChar w:fldCharType="end"/>
          </w:r>
          <w:r>
            <w:fldChar w:fldCharType="end"/>
          </w:r>
        </w:p>
        <w:p w14:paraId="45804713">
          <w:pPr>
            <w:pStyle w:val="12"/>
            <w:tabs>
              <w:tab w:val="right" w:leader="dot" w:pos="8834"/>
            </w:tabs>
            <w:rPr>
              <w:rFonts w:cstheme="minorBidi"/>
              <w:kern w:val="2"/>
              <w:sz w:val="21"/>
            </w:rPr>
          </w:pPr>
          <w:r>
            <w:fldChar w:fldCharType="begin"/>
          </w:r>
          <w:r>
            <w:instrText xml:space="preserve"> HYPERLINK \l "_Toc68703836" </w:instrText>
          </w:r>
          <w:r>
            <w:fldChar w:fldCharType="separate"/>
          </w:r>
          <w:r>
            <w:rPr>
              <w:rStyle w:val="18"/>
              <w:rFonts w:ascii="仿宋_GB2312" w:eastAsia="仿宋_GB2312"/>
              <w:color w:val="auto"/>
            </w:rPr>
            <w:t>（二）评价结论</w:t>
          </w:r>
          <w:r>
            <w:tab/>
          </w:r>
          <w:r>
            <w:fldChar w:fldCharType="begin"/>
          </w:r>
          <w:r>
            <w:instrText xml:space="preserve"> PAGEREF _Toc68703836 \h </w:instrText>
          </w:r>
          <w:r>
            <w:fldChar w:fldCharType="separate"/>
          </w:r>
          <w:r>
            <w:t>11</w:t>
          </w:r>
          <w:r>
            <w:fldChar w:fldCharType="end"/>
          </w:r>
          <w:r>
            <w:fldChar w:fldCharType="end"/>
          </w:r>
        </w:p>
        <w:p w14:paraId="65337319">
          <w:pPr>
            <w:pStyle w:val="10"/>
            <w:tabs>
              <w:tab w:val="right" w:leader="dot" w:pos="8834"/>
            </w:tabs>
            <w:rPr>
              <w:rFonts w:cstheme="minorBidi"/>
              <w:kern w:val="2"/>
              <w:sz w:val="21"/>
            </w:rPr>
          </w:pPr>
          <w:r>
            <w:fldChar w:fldCharType="begin"/>
          </w:r>
          <w:r>
            <w:instrText xml:space="preserve"> HYPERLINK \l "_Toc68703837" </w:instrText>
          </w:r>
          <w:r>
            <w:fldChar w:fldCharType="separate"/>
          </w:r>
          <w:r>
            <w:rPr>
              <w:rStyle w:val="18"/>
              <w:rFonts w:ascii="宋体" w:hAnsi="宋体" w:eastAsia="宋体"/>
              <w:color w:val="auto"/>
            </w:rPr>
            <w:t>四、绩效评价指标分析</w:t>
          </w:r>
          <w:r>
            <w:tab/>
          </w:r>
          <w:r>
            <w:fldChar w:fldCharType="begin"/>
          </w:r>
          <w:r>
            <w:instrText xml:space="preserve"> PAGEREF _Toc68703837 \h </w:instrText>
          </w:r>
          <w:r>
            <w:fldChar w:fldCharType="separate"/>
          </w:r>
          <w:r>
            <w:t>11</w:t>
          </w:r>
          <w:r>
            <w:fldChar w:fldCharType="end"/>
          </w:r>
          <w:r>
            <w:fldChar w:fldCharType="end"/>
          </w:r>
        </w:p>
        <w:p w14:paraId="01D38610">
          <w:pPr>
            <w:pStyle w:val="12"/>
            <w:tabs>
              <w:tab w:val="right" w:leader="dot" w:pos="8834"/>
            </w:tabs>
            <w:rPr>
              <w:rFonts w:cstheme="minorBidi"/>
              <w:kern w:val="2"/>
              <w:sz w:val="21"/>
            </w:rPr>
          </w:pPr>
          <w:r>
            <w:fldChar w:fldCharType="begin"/>
          </w:r>
          <w:r>
            <w:instrText xml:space="preserve"> HYPERLINK \l "_Toc68703838" </w:instrText>
          </w:r>
          <w:r>
            <w:fldChar w:fldCharType="separate"/>
          </w:r>
          <w:r>
            <w:rPr>
              <w:rStyle w:val="18"/>
              <w:rFonts w:ascii="仿宋_GB2312" w:eastAsia="仿宋_GB2312"/>
              <w:color w:val="auto"/>
            </w:rPr>
            <w:t>（一）项目决策情况。</w:t>
          </w:r>
          <w:r>
            <w:tab/>
          </w:r>
          <w:r>
            <w:fldChar w:fldCharType="begin"/>
          </w:r>
          <w:r>
            <w:instrText xml:space="preserve"> PAGEREF _Toc68703838 \h </w:instrText>
          </w:r>
          <w:r>
            <w:fldChar w:fldCharType="separate"/>
          </w:r>
          <w:r>
            <w:t>11</w:t>
          </w:r>
          <w:r>
            <w:fldChar w:fldCharType="end"/>
          </w:r>
          <w:r>
            <w:fldChar w:fldCharType="end"/>
          </w:r>
        </w:p>
        <w:p w14:paraId="2ACAD095">
          <w:pPr>
            <w:pStyle w:val="12"/>
            <w:tabs>
              <w:tab w:val="right" w:leader="dot" w:pos="8834"/>
            </w:tabs>
            <w:rPr>
              <w:rFonts w:cstheme="minorBidi"/>
              <w:kern w:val="2"/>
              <w:sz w:val="21"/>
            </w:rPr>
          </w:pPr>
          <w:r>
            <w:fldChar w:fldCharType="begin"/>
          </w:r>
          <w:r>
            <w:instrText xml:space="preserve"> HYPERLINK \l "_Toc68703839" </w:instrText>
          </w:r>
          <w:r>
            <w:fldChar w:fldCharType="separate"/>
          </w:r>
          <w:r>
            <w:rPr>
              <w:rStyle w:val="18"/>
              <w:rFonts w:ascii="仿宋_GB2312" w:eastAsia="仿宋_GB2312"/>
              <w:color w:val="auto"/>
            </w:rPr>
            <w:t>（二）项目过程情况。</w:t>
          </w:r>
          <w:r>
            <w:tab/>
          </w:r>
          <w:r>
            <w:fldChar w:fldCharType="begin"/>
          </w:r>
          <w:r>
            <w:instrText xml:space="preserve"> PAGEREF _Toc68703839 \h </w:instrText>
          </w:r>
          <w:r>
            <w:fldChar w:fldCharType="separate"/>
          </w:r>
          <w:r>
            <w:t>13</w:t>
          </w:r>
          <w:r>
            <w:fldChar w:fldCharType="end"/>
          </w:r>
          <w:r>
            <w:fldChar w:fldCharType="end"/>
          </w:r>
        </w:p>
        <w:p w14:paraId="41B0A385">
          <w:pPr>
            <w:pStyle w:val="12"/>
            <w:tabs>
              <w:tab w:val="right" w:leader="dot" w:pos="8834"/>
            </w:tabs>
            <w:rPr>
              <w:rFonts w:cstheme="minorBidi"/>
              <w:kern w:val="2"/>
              <w:sz w:val="21"/>
            </w:rPr>
          </w:pPr>
          <w:r>
            <w:fldChar w:fldCharType="begin"/>
          </w:r>
          <w:r>
            <w:instrText xml:space="preserve"> HYPERLINK \l "_Toc68703840" </w:instrText>
          </w:r>
          <w:r>
            <w:fldChar w:fldCharType="separate"/>
          </w:r>
          <w:r>
            <w:rPr>
              <w:rStyle w:val="18"/>
              <w:rFonts w:ascii="仿宋_GB2312" w:eastAsia="仿宋_GB2312"/>
              <w:color w:val="auto"/>
            </w:rPr>
            <w:t>（三）项目产出情况。</w:t>
          </w:r>
          <w:r>
            <w:tab/>
          </w:r>
          <w:r>
            <w:fldChar w:fldCharType="begin"/>
          </w:r>
          <w:r>
            <w:instrText xml:space="preserve"> PAGEREF _Toc68703840 \h </w:instrText>
          </w:r>
          <w:r>
            <w:fldChar w:fldCharType="separate"/>
          </w:r>
          <w:r>
            <w:t>14</w:t>
          </w:r>
          <w:r>
            <w:fldChar w:fldCharType="end"/>
          </w:r>
          <w:r>
            <w:fldChar w:fldCharType="end"/>
          </w:r>
        </w:p>
        <w:p w14:paraId="307E096C">
          <w:pPr>
            <w:pStyle w:val="12"/>
            <w:tabs>
              <w:tab w:val="right" w:leader="dot" w:pos="8834"/>
            </w:tabs>
            <w:rPr>
              <w:rFonts w:cstheme="minorBidi"/>
              <w:kern w:val="2"/>
              <w:sz w:val="21"/>
            </w:rPr>
          </w:pPr>
          <w:r>
            <w:fldChar w:fldCharType="begin"/>
          </w:r>
          <w:r>
            <w:instrText xml:space="preserve"> HYPERLINK \l "_Toc68703841" </w:instrText>
          </w:r>
          <w:r>
            <w:fldChar w:fldCharType="separate"/>
          </w:r>
          <w:r>
            <w:rPr>
              <w:rStyle w:val="18"/>
              <w:rFonts w:ascii="仿宋_GB2312" w:eastAsia="仿宋_GB2312"/>
              <w:color w:val="auto"/>
            </w:rPr>
            <w:t>（四）项目效益情况。</w:t>
          </w:r>
          <w:r>
            <w:tab/>
          </w:r>
          <w:r>
            <w:fldChar w:fldCharType="begin"/>
          </w:r>
          <w:r>
            <w:instrText xml:space="preserve"> PAGEREF _Toc68703841 \h </w:instrText>
          </w:r>
          <w:r>
            <w:fldChar w:fldCharType="separate"/>
          </w:r>
          <w:r>
            <w:t>15</w:t>
          </w:r>
          <w:r>
            <w:fldChar w:fldCharType="end"/>
          </w:r>
          <w:r>
            <w:fldChar w:fldCharType="end"/>
          </w:r>
        </w:p>
        <w:p w14:paraId="6E3C417C">
          <w:pPr>
            <w:pStyle w:val="10"/>
            <w:tabs>
              <w:tab w:val="right" w:leader="dot" w:pos="8834"/>
            </w:tabs>
            <w:rPr>
              <w:rFonts w:cstheme="minorBidi"/>
              <w:kern w:val="2"/>
              <w:sz w:val="21"/>
            </w:rPr>
          </w:pPr>
          <w:r>
            <w:fldChar w:fldCharType="begin"/>
          </w:r>
          <w:r>
            <w:instrText xml:space="preserve"> HYPERLINK \l "_Toc68703842" </w:instrText>
          </w:r>
          <w:r>
            <w:fldChar w:fldCharType="separate"/>
          </w:r>
          <w:r>
            <w:rPr>
              <w:rStyle w:val="18"/>
              <w:rFonts w:ascii="宋体" w:hAnsi="宋体" w:eastAsia="宋体"/>
              <w:color w:val="auto"/>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18A9164E">
          <w:pPr>
            <w:pStyle w:val="12"/>
            <w:tabs>
              <w:tab w:val="right" w:leader="dot" w:pos="8834"/>
            </w:tabs>
            <w:rPr>
              <w:rFonts w:cstheme="minorBidi"/>
              <w:kern w:val="2"/>
              <w:sz w:val="21"/>
            </w:rPr>
          </w:pPr>
          <w:r>
            <w:fldChar w:fldCharType="begin"/>
          </w:r>
          <w:r>
            <w:instrText xml:space="preserve"> HYPERLINK \l "_Toc68703843" </w:instrText>
          </w:r>
          <w:r>
            <w:fldChar w:fldCharType="separate"/>
          </w:r>
          <w:r>
            <w:rPr>
              <w:rStyle w:val="18"/>
              <w:rFonts w:ascii="仿宋_GB2312" w:eastAsia="仿宋_GB2312"/>
              <w:color w:val="auto"/>
            </w:rPr>
            <w:t>（一）主要经验及做法</w:t>
          </w:r>
          <w:r>
            <w:tab/>
          </w:r>
          <w:r>
            <w:fldChar w:fldCharType="begin"/>
          </w:r>
          <w:r>
            <w:instrText xml:space="preserve"> PAGEREF _Toc68703843 \h </w:instrText>
          </w:r>
          <w:r>
            <w:fldChar w:fldCharType="separate"/>
          </w:r>
          <w:r>
            <w:t>15</w:t>
          </w:r>
          <w:r>
            <w:fldChar w:fldCharType="end"/>
          </w:r>
          <w:r>
            <w:fldChar w:fldCharType="end"/>
          </w:r>
        </w:p>
        <w:p w14:paraId="29C96350">
          <w:pPr>
            <w:pStyle w:val="12"/>
            <w:tabs>
              <w:tab w:val="right" w:leader="dot" w:pos="8834"/>
            </w:tabs>
            <w:rPr>
              <w:rFonts w:cstheme="minorBidi"/>
              <w:kern w:val="2"/>
              <w:sz w:val="21"/>
            </w:rPr>
          </w:pPr>
          <w:r>
            <w:fldChar w:fldCharType="begin"/>
          </w:r>
          <w:r>
            <w:instrText xml:space="preserve"> HYPERLINK \l "_Toc68703844" </w:instrText>
          </w:r>
          <w:r>
            <w:fldChar w:fldCharType="separate"/>
          </w:r>
          <w:r>
            <w:rPr>
              <w:rStyle w:val="18"/>
              <w:rFonts w:ascii="仿宋_GB2312" w:eastAsia="仿宋_GB2312"/>
              <w:color w:val="auto"/>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2DF3B7A6">
          <w:pPr>
            <w:pStyle w:val="10"/>
            <w:tabs>
              <w:tab w:val="right" w:leader="dot" w:pos="8834"/>
            </w:tabs>
            <w:rPr>
              <w:rFonts w:cstheme="minorBidi"/>
              <w:kern w:val="2"/>
              <w:sz w:val="21"/>
            </w:rPr>
          </w:pPr>
          <w:r>
            <w:fldChar w:fldCharType="begin"/>
          </w:r>
          <w:r>
            <w:instrText xml:space="preserve"> HYPERLINK \l "_Toc68703845" </w:instrText>
          </w:r>
          <w:r>
            <w:fldChar w:fldCharType="separate"/>
          </w:r>
          <w:r>
            <w:rPr>
              <w:rStyle w:val="18"/>
              <w:rFonts w:ascii="宋体" w:hAnsi="宋体" w:eastAsia="宋体"/>
              <w:color w:val="auto"/>
            </w:rPr>
            <w:t>六、有关建议</w:t>
          </w:r>
          <w:r>
            <w:tab/>
          </w:r>
          <w:r>
            <w:fldChar w:fldCharType="begin"/>
          </w:r>
          <w:r>
            <w:instrText xml:space="preserve"> PAGEREF _Toc68703845 \h </w:instrText>
          </w:r>
          <w:r>
            <w:fldChar w:fldCharType="separate"/>
          </w:r>
          <w:r>
            <w:t>16</w:t>
          </w:r>
          <w:r>
            <w:fldChar w:fldCharType="end"/>
          </w:r>
          <w:r>
            <w:fldChar w:fldCharType="end"/>
          </w:r>
        </w:p>
        <w:p w14:paraId="79D92EFF">
          <w:pPr>
            <w:pStyle w:val="10"/>
            <w:tabs>
              <w:tab w:val="right" w:leader="dot" w:pos="8834"/>
            </w:tabs>
            <w:rPr>
              <w:rFonts w:cstheme="minorBidi"/>
              <w:kern w:val="2"/>
              <w:sz w:val="21"/>
            </w:rPr>
          </w:pPr>
          <w:r>
            <w:fldChar w:fldCharType="begin"/>
          </w:r>
          <w:r>
            <w:instrText xml:space="preserve"> HYPERLINK \l "_Toc68703846" </w:instrText>
          </w:r>
          <w:r>
            <w:fldChar w:fldCharType="separate"/>
          </w:r>
          <w:r>
            <w:rPr>
              <w:rStyle w:val="18"/>
              <w:rFonts w:ascii="宋体" w:hAnsi="宋体" w:eastAsia="宋体"/>
              <w:color w:val="auto"/>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1BECE8B8">
          <w:r>
            <w:rPr>
              <w:b/>
              <w:bCs/>
              <w:lang w:val="zh-CN"/>
            </w:rPr>
            <w:fldChar w:fldCharType="end"/>
          </w:r>
        </w:p>
      </w:sdtContent>
    </w:sdt>
    <w:p w14:paraId="6AA8ACE3">
      <w:pPr>
        <w:widowControl/>
        <w:jc w:val="left"/>
        <w:rPr>
          <w:rFonts w:ascii="宋体" w:hAnsi="宋体" w:eastAsia="宋体" w:cs="Arial"/>
          <w:b/>
          <w:bCs/>
          <w:sz w:val="36"/>
          <w:szCs w:val="36"/>
        </w:rPr>
      </w:pPr>
      <w:r>
        <w:rPr>
          <w:rFonts w:ascii="宋体" w:hAnsi="宋体" w:eastAsia="宋体" w:cs="Arial"/>
          <w:b/>
          <w:bCs/>
          <w:sz w:val="36"/>
          <w:szCs w:val="36"/>
        </w:rPr>
        <w:br w:type="page"/>
      </w:r>
    </w:p>
    <w:p w14:paraId="0EA598A7">
      <w:pPr>
        <w:jc w:val="center"/>
        <w:rPr>
          <w:rFonts w:hint="eastAsia"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1DDE5EF">
      <w:pPr>
        <w:pStyle w:val="4"/>
        <w:spacing w:line="360" w:lineRule="auto"/>
      </w:pPr>
      <w:bookmarkStart w:id="0" w:name="_Toc68703827"/>
      <w:r>
        <w:rPr>
          <w:rFonts w:hint="eastAsia" w:ascii="宋体" w:hAnsi="宋体" w:eastAsia="宋体"/>
          <w:sz w:val="32"/>
          <w:szCs w:val="32"/>
        </w:rPr>
        <w:t>一、基本情况</w:t>
      </w:r>
      <w:bookmarkEnd w:id="0"/>
    </w:p>
    <w:p w14:paraId="38CABC32">
      <w:pPr>
        <w:numPr>
          <w:ilvl w:val="0"/>
          <w:numId w:val="1"/>
        </w:numPr>
        <w:spacing w:line="360" w:lineRule="auto"/>
        <w:ind w:firstLine="600" w:firstLineChars="200"/>
        <w:rPr>
          <w:rFonts w:ascii="仿宋_GB2312"/>
        </w:rPr>
      </w:pPr>
      <w:r>
        <w:rPr>
          <w:rFonts w:hint="eastAsia" w:ascii="仿宋_GB2312"/>
        </w:rPr>
        <w:t>项目背景</w:t>
      </w:r>
    </w:p>
    <w:p w14:paraId="54A290BF">
      <w:pPr>
        <w:spacing w:line="580" w:lineRule="exact"/>
        <w:ind w:firstLine="620" w:firstLineChars="200"/>
      </w:pPr>
      <w:r>
        <w:rPr>
          <w:rFonts w:eastAsia="方正仿宋_GBK"/>
          <w:sz w:val="31"/>
          <w:szCs w:val="31"/>
        </w:rPr>
        <w:t>为贯彻落实党中央、国务院关于稳定粮食生产决策部署</w:t>
      </w:r>
      <w:r>
        <w:rPr>
          <w:sz w:val="32"/>
          <w:szCs w:val="32"/>
        </w:rPr>
        <w:t>，</w:t>
      </w:r>
      <w:r>
        <w:rPr>
          <w:rFonts w:eastAsia="方正仿宋_GBK"/>
          <w:sz w:val="31"/>
          <w:szCs w:val="31"/>
        </w:rPr>
        <w:t>以保障粮食安全和促进农民持续增收为重点，释放支持粮食生产的积极信号，</w:t>
      </w:r>
      <w:r>
        <w:rPr>
          <w:rFonts w:eastAsia="方正仿宋_GBK"/>
          <w:sz w:val="32"/>
          <w:szCs w:val="32"/>
        </w:rPr>
        <w:t>以保障粮食等重要农产品有效供给和促进农民持续增收为重点，完善耕地地力保护补贴政策体系，引导农民自觉提升耕地地力，推动粮食生产能力稳步提升，促进种植业结构合理调整，确保全县农业经济健康发展和民生持续改善，着力构建更高质量、更有效率、更加公平、更可持续的农业产业新发展格局。</w:t>
      </w:r>
    </w:p>
    <w:p w14:paraId="7B97E446">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0D1D390F">
      <w:pPr>
        <w:adjustRightInd w:val="0"/>
        <w:snapToGrid w:val="0"/>
        <w:spacing w:line="540" w:lineRule="exact"/>
        <w:ind w:firstLine="600" w:firstLineChars="200"/>
        <w:rPr>
          <w:rFonts w:ascii="仿宋_GB2312" w:eastAsia="楷体_GB2312"/>
        </w:rPr>
      </w:pPr>
      <w:r>
        <w:rPr>
          <w:rFonts w:hint="eastAsia" w:ascii="仿宋_GB2312"/>
        </w:rPr>
        <w:t>主要内容：对所有合法的小麦实际农业种植者进行补贴，小麦补贴面积5.22万亩。</w:t>
      </w:r>
    </w:p>
    <w:p w14:paraId="3522B005">
      <w:pPr>
        <w:spacing w:line="360" w:lineRule="auto"/>
        <w:ind w:firstLine="600" w:firstLineChars="200"/>
        <w:rPr>
          <w:rFonts w:ascii="仿宋_GB2312"/>
        </w:rPr>
      </w:pPr>
      <w:r>
        <w:rPr>
          <w:rFonts w:hint="eastAsia" w:ascii="仿宋_GB2312"/>
        </w:rPr>
        <w:t>实施情况：补贴小麦面积5.22万亩，补贴资金1201.2万元。</w:t>
      </w:r>
    </w:p>
    <w:p w14:paraId="0EC772CE">
      <w:pPr>
        <w:spacing w:line="360" w:lineRule="auto"/>
        <w:ind w:firstLine="600" w:firstLineChars="200"/>
        <w:rPr>
          <w:rFonts w:ascii="仿宋_GB2312"/>
        </w:rPr>
      </w:pPr>
      <w:r>
        <w:rPr>
          <w:rFonts w:ascii="仿宋_GB2312"/>
        </w:rPr>
        <w:t>4</w:t>
      </w:r>
      <w:r>
        <w:rPr>
          <w:rFonts w:hint="eastAsia" w:ascii="仿宋_GB2312"/>
        </w:rPr>
        <w:t>、资金投入和使用情况</w:t>
      </w:r>
    </w:p>
    <w:p w14:paraId="148C0B27">
      <w:pPr>
        <w:spacing w:line="360" w:lineRule="auto"/>
        <w:ind w:firstLine="600" w:firstLineChars="200"/>
      </w:pPr>
      <w:r>
        <w:rPr>
          <w:rFonts w:hint="eastAsia"/>
        </w:rPr>
        <w:t>资金投入情况：</w:t>
      </w:r>
      <w:r>
        <w:rPr>
          <w:rFonts w:hint="eastAsia" w:ascii="仿宋" w:hAnsi="仿宋" w:eastAsia="仿宋" w:cs="仿宋"/>
          <w:bCs/>
          <w:sz w:val="32"/>
          <w:szCs w:val="32"/>
        </w:rPr>
        <w:t>：</w:t>
      </w:r>
      <w:r>
        <w:rPr>
          <w:rFonts w:hint="eastAsia"/>
        </w:rPr>
        <w:t>该项目年初预算数1201.2万元，全年预算数1201.2万元，实际总投入1201.2</w:t>
      </w:r>
      <w:r>
        <w:t xml:space="preserve"> </w:t>
      </w:r>
      <w:r>
        <w:rPr>
          <w:rFonts w:hint="eastAsia"/>
        </w:rPr>
        <w:t>万元，该项目资金已全部落实到位，资金来源为：上级资金。</w:t>
      </w:r>
    </w:p>
    <w:p w14:paraId="5B948120">
      <w:pPr>
        <w:spacing w:line="360" w:lineRule="auto"/>
        <w:ind w:firstLine="600" w:firstLineChars="200"/>
      </w:pPr>
      <w:r>
        <w:rPr>
          <w:rFonts w:hint="eastAsia"/>
        </w:rPr>
        <w:t>资金使用情况：该项目年初预算数</w:t>
      </w:r>
      <w:r>
        <w:rPr>
          <w:rFonts w:hint="eastAsia" w:ascii="仿宋" w:hAnsi="仿宋" w:eastAsia="仿宋" w:cs="仿宋"/>
          <w:bCs/>
          <w:sz w:val="32"/>
          <w:szCs w:val="32"/>
        </w:rPr>
        <w:t>1201.2万</w:t>
      </w:r>
      <w:r>
        <w:rPr>
          <w:rFonts w:hint="eastAsia"/>
        </w:rPr>
        <w:t xml:space="preserve">元，全年预算数 </w:t>
      </w:r>
      <w:r>
        <w:t xml:space="preserve">   </w:t>
      </w:r>
      <w:r>
        <w:rPr>
          <w:rFonts w:hint="eastAsia" w:ascii="仿宋" w:hAnsi="仿宋" w:eastAsia="仿宋" w:cs="仿宋"/>
          <w:bCs/>
          <w:sz w:val="32"/>
          <w:szCs w:val="32"/>
        </w:rPr>
        <w:t>1201.2</w:t>
      </w:r>
      <w:r>
        <w:rPr>
          <w:rFonts w:hint="eastAsia"/>
        </w:rPr>
        <w:t>万元，全年执行数</w:t>
      </w:r>
      <w:r>
        <w:rPr>
          <w:rFonts w:hint="eastAsia" w:ascii="仿宋" w:hAnsi="仿宋" w:eastAsia="仿宋" w:cs="仿宋"/>
          <w:bCs/>
          <w:sz w:val="32"/>
          <w:szCs w:val="32"/>
        </w:rPr>
        <w:t>1201.2</w:t>
      </w:r>
      <w:r>
        <w:rPr>
          <w:rFonts w:hint="eastAsia"/>
        </w:rPr>
        <w:t>万元，预算执行率为100%，用于：</w:t>
      </w:r>
      <w:r>
        <w:rPr>
          <w:rFonts w:hint="eastAsia" w:ascii="仿宋_GB2312"/>
        </w:rPr>
        <w:t>补贴小麦面积5.22万亩，每亩补贴230元，合计补贴资金1201.2万元</w:t>
      </w:r>
      <w:r>
        <w:rPr>
          <w:rFonts w:hint="eastAsia"/>
        </w:rPr>
        <w:t>。</w:t>
      </w:r>
    </w:p>
    <w:p w14:paraId="6B2A9E09">
      <w:pPr>
        <w:pStyle w:val="5"/>
        <w:spacing w:line="360" w:lineRule="auto"/>
        <w:ind w:firstLine="640" w:firstLineChars="200"/>
        <w:rPr>
          <w:rFonts w:ascii="仿宋_GB2312" w:eastAsia="仿宋_GB2312"/>
          <w:b w:val="0"/>
          <w:bCs w:val="0"/>
        </w:rPr>
      </w:pPr>
      <w:bookmarkStart w:id="1" w:name="_Toc68703829"/>
      <w:r>
        <w:rPr>
          <w:rFonts w:hint="eastAsia" w:ascii="仿宋_GB2312" w:eastAsia="仿宋_GB2312"/>
          <w:b w:val="0"/>
          <w:bCs w:val="0"/>
        </w:rPr>
        <w:t>（二）项目绩效目标。</w:t>
      </w:r>
      <w:bookmarkEnd w:id="1"/>
    </w:p>
    <w:p w14:paraId="5CFDB14F">
      <w:pPr>
        <w:spacing w:line="360" w:lineRule="auto"/>
        <w:ind w:firstLine="600" w:firstLineChars="200"/>
      </w:pPr>
      <w:r>
        <w:rPr>
          <w:rFonts w:hint="eastAsia"/>
        </w:rPr>
        <w:t>1、总体目标：</w:t>
      </w:r>
      <w:r>
        <w:rPr>
          <w:rFonts w:hint="eastAsia" w:eastAsia="方正仿宋_GBK"/>
          <w:sz w:val="32"/>
          <w:szCs w:val="32"/>
        </w:rPr>
        <w:t>提高农民种粮积极性，确保国家粮食安全，促进小麦生产稳定发展，调整农业发展方向转变和农民多渠道增收，及时足额兑付补贴资金，达到应补尽补目标，保障粮食生产安全，调整生产结构，保护生态环境，减少化肥施用量。增加农户的收入。</w:t>
      </w:r>
    </w:p>
    <w:p w14:paraId="6D00CDAE">
      <w:pPr>
        <w:spacing w:line="578" w:lineRule="exact"/>
        <w:ind w:firstLine="600" w:firstLineChars="200"/>
      </w:pPr>
      <w:r>
        <w:t>2</w:t>
      </w:r>
      <w:r>
        <w:rPr>
          <w:rFonts w:hint="eastAsia"/>
        </w:rPr>
        <w:t>、阶段性目标：</w:t>
      </w:r>
      <w:bookmarkStart w:id="2" w:name="_Toc68703830"/>
    </w:p>
    <w:p w14:paraId="6C8EC49A">
      <w:pPr>
        <w:spacing w:line="578" w:lineRule="exact"/>
        <w:ind w:firstLine="600" w:firstLineChars="200"/>
        <w:rPr>
          <w:rFonts w:eastAsia="方正仿宋_GBK"/>
          <w:sz w:val="32"/>
          <w:szCs w:val="32"/>
        </w:rPr>
      </w:pPr>
      <w:r>
        <w:rPr>
          <w:rFonts w:hint="eastAsia"/>
        </w:rPr>
        <w:t>第一阶段：</w:t>
      </w:r>
      <w:r>
        <w:rPr>
          <w:rFonts w:hint="eastAsia" w:eastAsia="方正仿宋_GBK"/>
          <w:sz w:val="32"/>
          <w:szCs w:val="32"/>
        </w:rPr>
        <w:t>按照发放流程“农户申报、核实公示、乡镇复核、核实认定、二次公示、发放补贴”制定工作计划。</w:t>
      </w:r>
    </w:p>
    <w:p w14:paraId="2403F28D">
      <w:pPr>
        <w:spacing w:line="578" w:lineRule="exact"/>
        <w:ind w:firstLine="640" w:firstLineChars="200"/>
        <w:rPr>
          <w:rFonts w:eastAsia="方正仿宋_GBK"/>
          <w:sz w:val="32"/>
          <w:szCs w:val="32"/>
        </w:rPr>
      </w:pPr>
      <w:r>
        <w:rPr>
          <w:rFonts w:hint="eastAsia" w:eastAsia="方正仿宋_GBK"/>
          <w:sz w:val="32"/>
          <w:szCs w:val="32"/>
        </w:rPr>
        <w:t>第二阶段：二次公示无异议后，由县农业农村局向县财政局提供耕地补贴面积基础数据和补贴发放清单。</w:t>
      </w:r>
    </w:p>
    <w:p w14:paraId="0B880F3A">
      <w:pPr>
        <w:spacing w:line="578" w:lineRule="exact"/>
        <w:ind w:firstLine="640" w:firstLineChars="200"/>
        <w:rPr>
          <w:rFonts w:eastAsia="方正仿宋_GBK"/>
          <w:sz w:val="32"/>
          <w:szCs w:val="32"/>
        </w:rPr>
      </w:pPr>
      <w:r>
        <w:rPr>
          <w:rFonts w:hint="eastAsia" w:eastAsia="方正仿宋_GBK"/>
          <w:sz w:val="32"/>
          <w:szCs w:val="32"/>
        </w:rPr>
        <w:t xml:space="preserve">第三阶段：县财政局、承办金融机构具体负责补贴兑付工作，兑付前，各乡（镇）按分户清册向农民发放补贴兑现通知书，农民领取补贴兑现通知书时在在分户清册上签字、按手印后，承办金融机构通过“一卡通”向补贴对象兑付资金，明确补贴资金为“耕地地力保护补贴”。  </w:t>
      </w:r>
    </w:p>
    <w:p w14:paraId="7DBCCA48">
      <w:pPr>
        <w:spacing w:line="580" w:lineRule="exact"/>
        <w:ind w:firstLine="640" w:firstLineChars="200"/>
        <w:rPr>
          <w:rFonts w:ascii="宋体" w:hAnsi="宋体" w:eastAsia="宋体"/>
          <w:sz w:val="32"/>
          <w:szCs w:val="32"/>
        </w:rPr>
      </w:pPr>
      <w:r>
        <w:rPr>
          <w:rFonts w:hint="eastAsia" w:eastAsia="方正仿宋_GBK"/>
          <w:sz w:val="32"/>
          <w:szCs w:val="32"/>
        </w:rPr>
        <w:t xml:space="preserve"> </w:t>
      </w:r>
      <w:r>
        <w:rPr>
          <w:rFonts w:hint="eastAsia" w:eastAsia="方正仿宋_GBK"/>
          <w:sz w:val="31"/>
          <w:szCs w:val="31"/>
        </w:rPr>
        <w:t>二、绩效评价工作开展情况</w:t>
      </w:r>
      <w:bookmarkEnd w:id="2"/>
    </w:p>
    <w:p w14:paraId="4EA91E6C">
      <w:pPr>
        <w:pStyle w:val="5"/>
        <w:spacing w:line="360" w:lineRule="auto"/>
        <w:rPr>
          <w:rFonts w:ascii="仿宋_GB2312" w:eastAsia="仿宋_GB2312"/>
          <w:b w:val="0"/>
          <w:bCs w:val="0"/>
        </w:rPr>
      </w:pPr>
      <w:bookmarkStart w:id="3" w:name="_Toc68703831"/>
      <w:r>
        <w:rPr>
          <w:rFonts w:hint="eastAsia" w:ascii="仿宋_GB2312" w:eastAsia="仿宋_GB2312"/>
          <w:b w:val="0"/>
          <w:bCs w:val="0"/>
        </w:rPr>
        <w:t>（一）绩效评价目的、对象和范围。</w:t>
      </w:r>
      <w:bookmarkEnd w:id="3"/>
    </w:p>
    <w:p w14:paraId="4900EF39">
      <w:pPr>
        <w:spacing w:line="360" w:lineRule="auto"/>
      </w:pPr>
      <w:r>
        <w:rPr>
          <w:rFonts w:hint="eastAsia"/>
        </w:rPr>
        <w:t>1、绩效评价目的：</w:t>
      </w:r>
    </w:p>
    <w:p w14:paraId="43E63D51">
      <w:pPr>
        <w:spacing w:line="360" w:lineRule="auto"/>
        <w:ind w:firstLine="640" w:firstLineChars="200"/>
        <w:jc w:val="left"/>
        <w:rPr>
          <w:rFonts w:ascii="仿宋_GB2312"/>
          <w:bCs/>
          <w:sz w:val="32"/>
          <w:szCs w:val="32"/>
        </w:rPr>
      </w:pPr>
      <w:r>
        <w:rPr>
          <w:rFonts w:hint="eastAsia" w:ascii="仿宋_GB2312"/>
          <w:bCs/>
          <w:sz w:val="32"/>
          <w:szCs w:val="32"/>
        </w:rPr>
        <w:t>通过绩效评价，客观地评判项目的管理绩效，了解和掌握耕地地力保护补贴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72CB1D92">
      <w:pPr>
        <w:spacing w:line="360" w:lineRule="auto"/>
        <w:ind w:firstLine="600" w:firstLineChars="200"/>
        <w:jc w:val="left"/>
      </w:pPr>
      <w:r>
        <w:rPr>
          <w:rFonts w:hint="eastAsia"/>
        </w:rPr>
        <w:t>2、绩效评价对象：</w:t>
      </w:r>
    </w:p>
    <w:p w14:paraId="753A5F60">
      <w:pPr>
        <w:spacing w:line="360" w:lineRule="auto"/>
        <w:ind w:firstLine="600" w:firstLineChars="200"/>
      </w:pPr>
      <w:r>
        <w:rPr>
          <w:rFonts w:hint="eastAsia"/>
        </w:rPr>
        <w:t>耕地地力保护补贴资金项目</w:t>
      </w:r>
    </w:p>
    <w:p w14:paraId="5B69D119">
      <w:pPr>
        <w:spacing w:line="360" w:lineRule="auto"/>
        <w:ind w:firstLine="600" w:firstLineChars="200"/>
      </w:pPr>
      <w:r>
        <w:rPr>
          <w:rFonts w:hint="eastAsia"/>
        </w:rPr>
        <w:t>3、绩效评价范围：</w:t>
      </w:r>
    </w:p>
    <w:p w14:paraId="0587833A">
      <w:pPr>
        <w:spacing w:line="360" w:lineRule="auto"/>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耕地地力保护补贴资金评价，评价核心为专项资金的支出完成情况和效果。</w:t>
      </w:r>
    </w:p>
    <w:p w14:paraId="3AC20510">
      <w:pPr>
        <w:pStyle w:val="5"/>
        <w:spacing w:line="360" w:lineRule="auto"/>
        <w:rPr>
          <w:rFonts w:ascii="仿宋_GB2312" w:eastAsia="仿宋_GB2312"/>
          <w:b w:val="0"/>
          <w:bCs w:val="0"/>
        </w:rPr>
      </w:pPr>
      <w:bookmarkStart w:id="4" w:name="_Toc68703832"/>
      <w:r>
        <w:rPr>
          <w:rFonts w:hint="eastAsia" w:ascii="仿宋_GB2312" w:eastAsia="仿宋_GB2312"/>
          <w:b w:val="0"/>
          <w:bCs w:val="0"/>
        </w:rPr>
        <w:t>（二）绩效评价原则、评价指标体系、评价方法、评价标准等。</w:t>
      </w:r>
      <w:bookmarkEnd w:id="4"/>
    </w:p>
    <w:p w14:paraId="40490B1B">
      <w:pPr>
        <w:spacing w:line="360" w:lineRule="auto"/>
      </w:pPr>
      <w:r>
        <w:rPr>
          <w:rFonts w:hint="eastAsia"/>
        </w:rPr>
        <w:t>1、绩效评价原则</w:t>
      </w:r>
    </w:p>
    <w:p w14:paraId="628DF5B5">
      <w:pPr>
        <w:spacing w:line="360" w:lineRule="auto"/>
        <w:ind w:firstLine="600" w:firstLineChars="200"/>
      </w:pPr>
      <w:r>
        <w:rPr>
          <w:rFonts w:hint="eastAsia"/>
        </w:rPr>
        <w:t>（1）科学公正。本次自评采用项目执行部门审查与外部协作单位抽查相结合的方式，按照前期准备、组织实施、分析评价的程序进行，采取绩效自评和他评相结合，通过材料核查、座谈询问、问卷调查等方式，综合运用对比分析等方法进行评价，确保评价过程及结果客观、公正。</w:t>
      </w:r>
    </w:p>
    <w:p w14:paraId="7B181052">
      <w:pPr>
        <w:spacing w:line="360" w:lineRule="auto"/>
        <w:ind w:firstLine="600" w:firstLineChars="200"/>
      </w:pPr>
      <w:r>
        <w:rPr>
          <w:rFonts w:hint="eastAsia"/>
        </w:rPr>
        <w:t>（2）统筹兼顾。焉耆</w:t>
      </w:r>
      <w:r>
        <w:rPr>
          <w:rFonts w:hint="eastAsia"/>
          <w:lang w:eastAsia="zh-CN"/>
        </w:rPr>
        <w:t>县农业农村局</w:t>
      </w:r>
      <w:r>
        <w:rPr>
          <w:rFonts w:hint="eastAsia"/>
        </w:rPr>
        <w:t>召集各项目负责人会议，领会绩效评价会议精神，根据规范程序布置工作任务，统一自评标准，制定了工作方案，确保绩效评价工作扎实、开展。依据工作方案，各股室按照绩效目标进行评价，根据综合意见形成自评报告。</w:t>
      </w:r>
    </w:p>
    <w:p w14:paraId="65370562">
      <w:pPr>
        <w:spacing w:line="360" w:lineRule="auto"/>
        <w:ind w:firstLine="600" w:firstLineChars="200"/>
      </w:pPr>
      <w:r>
        <w:rPr>
          <w:rFonts w:hint="eastAsia"/>
        </w:rPr>
        <w:t>（3）激励约束。绩效评价结果应与资金分配挂钩，建立健全评价结果</w:t>
      </w:r>
      <w:bookmarkStart w:id="23" w:name="_GoBack"/>
      <w:bookmarkEnd w:id="23"/>
      <w:r>
        <w:rPr>
          <w:rFonts w:hint="eastAsia"/>
          <w:lang w:eastAsia="zh-CN"/>
        </w:rPr>
        <w:t>与</w:t>
      </w:r>
      <w:r>
        <w:rPr>
          <w:rFonts w:hint="eastAsia"/>
        </w:rPr>
        <w:t>财政预算资金分配挂钩，并作为改进管理、完善政策的重要依据，向上一年度绩效评价考核优秀的部门倾斜。</w:t>
      </w:r>
    </w:p>
    <w:p w14:paraId="0AD67A83">
      <w:pPr>
        <w:spacing w:line="360" w:lineRule="auto"/>
        <w:ind w:firstLine="600" w:firstLineChars="200"/>
      </w:pPr>
      <w:r>
        <w:rPr>
          <w:rFonts w:hint="eastAsia"/>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14:paraId="542DAC88">
      <w:pPr>
        <w:spacing w:line="360" w:lineRule="auto"/>
      </w:pPr>
      <w:r>
        <w:rPr>
          <w:rFonts w:hint="eastAsia"/>
        </w:rPr>
        <w:t>例如：</w:t>
      </w:r>
    </w:p>
    <w:p w14:paraId="7740CD1F">
      <w:pPr>
        <w:spacing w:line="360" w:lineRule="auto"/>
      </w:pPr>
      <w:r>
        <w:rPr>
          <w:rFonts w:hint="eastAsia"/>
        </w:rPr>
        <w:t>2、评价指标体系（附表说明）</w:t>
      </w:r>
    </w:p>
    <w:p w14:paraId="0C0A17CD">
      <w:pPr>
        <w:spacing w:line="560" w:lineRule="exact"/>
        <w:ind w:firstLine="640" w:firstLineChars="200"/>
        <w:rPr>
          <w:rFonts w:eastAsia="方正仿宋_GBK"/>
          <w:sz w:val="32"/>
          <w:szCs w:val="32"/>
        </w:rPr>
      </w:pPr>
      <w:r>
        <w:rPr>
          <w:rFonts w:eastAsia="方正仿宋_GBK"/>
          <w:sz w:val="32"/>
          <w:szCs w:val="32"/>
        </w:rPr>
        <w:t>按照财预〔2020〕10号文件，本项目</w:t>
      </w:r>
      <w:r>
        <w:rPr>
          <w:rFonts w:hint="eastAsia" w:eastAsia="方正仿宋_GBK"/>
          <w:sz w:val="32"/>
          <w:szCs w:val="32"/>
        </w:rPr>
        <w:t>决策、过程指标权重40分，</w:t>
      </w:r>
      <w:r>
        <w:rPr>
          <w:rFonts w:eastAsia="方正仿宋_GBK"/>
          <w:sz w:val="32"/>
          <w:szCs w:val="32"/>
        </w:rPr>
        <w:t>产出、效益指标权重60分。具体如下：</w:t>
      </w:r>
    </w:p>
    <w:p w14:paraId="7A3FB88F">
      <w:pPr>
        <w:spacing w:line="560" w:lineRule="exact"/>
        <w:ind w:firstLine="640" w:firstLineChars="200"/>
        <w:rPr>
          <w:rFonts w:eastAsia="方正仿宋_GBK"/>
          <w:sz w:val="32"/>
          <w:szCs w:val="32"/>
        </w:rPr>
      </w:pPr>
      <w:r>
        <w:rPr>
          <w:rFonts w:hint="eastAsia" w:eastAsia="方正仿宋_GBK"/>
          <w:sz w:val="32"/>
          <w:szCs w:val="32"/>
        </w:rPr>
        <w:t>中央耕地地力保护补贴和化肥减量增效项目支出绩效</w:t>
      </w:r>
    </w:p>
    <w:p w14:paraId="799842C7">
      <w:pPr>
        <w:spacing w:line="560" w:lineRule="exact"/>
        <w:ind w:firstLine="3200" w:firstLineChars="1000"/>
        <w:rPr>
          <w:rFonts w:eastAsia="方正仿宋_GBK"/>
          <w:sz w:val="32"/>
          <w:szCs w:val="32"/>
        </w:rPr>
      </w:pPr>
      <w:r>
        <w:rPr>
          <w:rFonts w:hint="eastAsia" w:eastAsia="方正仿宋_GBK"/>
          <w:sz w:val="32"/>
          <w:szCs w:val="32"/>
        </w:rPr>
        <w:t>评价指标体系</w:t>
      </w:r>
    </w:p>
    <w:tbl>
      <w:tblPr>
        <w:tblStyle w:val="16"/>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2B8BCA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7" w:hRule="atLeast"/>
          <w:tblHeader/>
          <w:jc w:val="center"/>
        </w:trPr>
        <w:tc>
          <w:tcPr>
            <w:tcW w:w="757" w:type="dxa"/>
            <w:shd w:val="clear" w:color="auto" w:fill="FFFFFF"/>
            <w:vAlign w:val="center"/>
          </w:tcPr>
          <w:p w14:paraId="60CAB176">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5B06E5D1">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32AB569F">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7226E77A">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598B2BBB">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4B197AE0">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51334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3" w:hRule="atLeast"/>
          <w:jc w:val="center"/>
        </w:trPr>
        <w:tc>
          <w:tcPr>
            <w:tcW w:w="757" w:type="dxa"/>
            <w:vMerge w:val="restart"/>
            <w:shd w:val="clear" w:color="auto" w:fill="FFFFFF"/>
            <w:vAlign w:val="center"/>
          </w:tcPr>
          <w:p w14:paraId="2CDDC20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52691AE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253AB92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58DE23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5CF8418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3AF78DA6">
            <w:pPr>
              <w:spacing w:line="600" w:lineRule="auto"/>
              <w:jc w:val="center"/>
              <w:rPr>
                <w:sz w:val="21"/>
                <w:szCs w:val="21"/>
              </w:rPr>
            </w:pPr>
            <w:r>
              <w:rPr>
                <w:rFonts w:hint="eastAsia"/>
                <w:sz w:val="21"/>
                <w:szCs w:val="21"/>
              </w:rPr>
              <w:t>5</w:t>
            </w:r>
          </w:p>
        </w:tc>
        <w:tc>
          <w:tcPr>
            <w:tcW w:w="874" w:type="dxa"/>
            <w:tcBorders>
              <w:bottom w:val="single" w:color="auto" w:sz="4" w:space="0"/>
            </w:tcBorders>
            <w:shd w:val="clear" w:color="auto" w:fill="FFFFFF"/>
          </w:tcPr>
          <w:p w14:paraId="4601E176">
            <w:pPr>
              <w:spacing w:line="600" w:lineRule="auto"/>
              <w:jc w:val="center"/>
              <w:rPr>
                <w:sz w:val="21"/>
                <w:szCs w:val="21"/>
              </w:rPr>
            </w:pPr>
            <w:r>
              <w:rPr>
                <w:rFonts w:hint="eastAsia"/>
                <w:sz w:val="21"/>
                <w:szCs w:val="21"/>
              </w:rPr>
              <w:t>5</w:t>
            </w:r>
          </w:p>
        </w:tc>
      </w:tr>
      <w:tr w14:paraId="02268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1" w:hRule="atLeast"/>
          <w:jc w:val="center"/>
        </w:trPr>
        <w:tc>
          <w:tcPr>
            <w:tcW w:w="757" w:type="dxa"/>
            <w:vMerge w:val="continue"/>
            <w:shd w:val="clear" w:color="auto" w:fill="FFFFFF"/>
            <w:vAlign w:val="center"/>
          </w:tcPr>
          <w:p w14:paraId="369027BB">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350F378">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39927D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05998C5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6EA9B26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7F2E2096">
            <w:pPr>
              <w:spacing w:line="600" w:lineRule="auto"/>
              <w:jc w:val="center"/>
              <w:rPr>
                <w:sz w:val="21"/>
                <w:szCs w:val="21"/>
              </w:rPr>
            </w:pPr>
            <w:r>
              <w:rPr>
                <w:rFonts w:hint="eastAsia"/>
                <w:sz w:val="21"/>
                <w:szCs w:val="21"/>
              </w:rPr>
              <w:t>5</w:t>
            </w:r>
          </w:p>
        </w:tc>
        <w:tc>
          <w:tcPr>
            <w:tcW w:w="874" w:type="dxa"/>
            <w:shd w:val="clear" w:color="auto" w:fill="FFFFFF"/>
          </w:tcPr>
          <w:p w14:paraId="27A50E68">
            <w:pPr>
              <w:spacing w:line="600" w:lineRule="auto"/>
              <w:jc w:val="center"/>
              <w:rPr>
                <w:sz w:val="21"/>
                <w:szCs w:val="21"/>
              </w:rPr>
            </w:pPr>
            <w:r>
              <w:rPr>
                <w:rFonts w:hint="eastAsia"/>
                <w:sz w:val="21"/>
                <w:szCs w:val="21"/>
              </w:rPr>
              <w:t>5</w:t>
            </w:r>
          </w:p>
        </w:tc>
      </w:tr>
      <w:tr w14:paraId="50EC3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5" w:hRule="atLeast"/>
          <w:jc w:val="center"/>
        </w:trPr>
        <w:tc>
          <w:tcPr>
            <w:tcW w:w="757" w:type="dxa"/>
            <w:vMerge w:val="continue"/>
            <w:shd w:val="clear" w:color="auto" w:fill="FFFFFF"/>
            <w:vAlign w:val="center"/>
          </w:tcPr>
          <w:p w14:paraId="1AE0F670">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435AD9B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0F5F26B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505CD6C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14A969A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42467306">
            <w:pPr>
              <w:spacing w:line="600" w:lineRule="auto"/>
              <w:jc w:val="center"/>
              <w:rPr>
                <w:i/>
                <w:iCs/>
                <w:sz w:val="21"/>
                <w:szCs w:val="21"/>
              </w:rPr>
            </w:pPr>
            <w:r>
              <w:rPr>
                <w:rFonts w:hint="eastAsia"/>
                <w:sz w:val="21"/>
                <w:szCs w:val="21"/>
              </w:rPr>
              <w:t>2</w:t>
            </w:r>
            <w:r>
              <w:rPr>
                <w:sz w:val="21"/>
                <w:szCs w:val="21"/>
              </w:rPr>
              <w:t>.5</w:t>
            </w:r>
          </w:p>
        </w:tc>
        <w:tc>
          <w:tcPr>
            <w:tcW w:w="874" w:type="dxa"/>
            <w:shd w:val="clear" w:color="000000" w:fill="FFFFFF"/>
          </w:tcPr>
          <w:p w14:paraId="23B77ABC">
            <w:pPr>
              <w:spacing w:line="600" w:lineRule="auto"/>
              <w:jc w:val="center"/>
              <w:rPr>
                <w:i/>
                <w:iCs/>
                <w:sz w:val="21"/>
                <w:szCs w:val="21"/>
              </w:rPr>
            </w:pPr>
            <w:r>
              <w:rPr>
                <w:sz w:val="21"/>
                <w:szCs w:val="21"/>
              </w:rPr>
              <w:t>2.5</w:t>
            </w:r>
          </w:p>
        </w:tc>
      </w:tr>
      <w:tr w14:paraId="4C0E3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103B6ABC">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27A6571">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C92944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5E4EC3F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0EC12E6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241E046E">
            <w:pPr>
              <w:spacing w:line="600" w:lineRule="auto"/>
              <w:jc w:val="center"/>
              <w:rPr>
                <w:i/>
                <w:iCs/>
                <w:sz w:val="21"/>
                <w:szCs w:val="21"/>
              </w:rPr>
            </w:pPr>
            <w:r>
              <w:rPr>
                <w:rFonts w:hint="eastAsia"/>
                <w:sz w:val="21"/>
                <w:szCs w:val="21"/>
              </w:rPr>
              <w:t>2</w:t>
            </w:r>
            <w:r>
              <w:rPr>
                <w:sz w:val="21"/>
                <w:szCs w:val="21"/>
              </w:rPr>
              <w:t>.5</w:t>
            </w:r>
          </w:p>
        </w:tc>
        <w:tc>
          <w:tcPr>
            <w:tcW w:w="874" w:type="dxa"/>
            <w:tcBorders>
              <w:bottom w:val="single" w:color="auto" w:sz="4" w:space="0"/>
            </w:tcBorders>
            <w:shd w:val="clear" w:color="000000" w:fill="FFFFFF"/>
          </w:tcPr>
          <w:p w14:paraId="2E9CAFBA">
            <w:pPr>
              <w:spacing w:line="600" w:lineRule="auto"/>
              <w:jc w:val="center"/>
              <w:rPr>
                <w:i/>
                <w:iCs/>
                <w:sz w:val="21"/>
                <w:szCs w:val="21"/>
              </w:rPr>
            </w:pPr>
            <w:r>
              <w:rPr>
                <w:rFonts w:hint="eastAsia"/>
                <w:sz w:val="21"/>
                <w:szCs w:val="21"/>
              </w:rPr>
              <w:t>2</w:t>
            </w:r>
            <w:r>
              <w:rPr>
                <w:sz w:val="21"/>
                <w:szCs w:val="21"/>
              </w:rPr>
              <w:t>.5</w:t>
            </w:r>
          </w:p>
        </w:tc>
      </w:tr>
      <w:tr w14:paraId="66DEE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592665E1">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311F4E0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1901C5A7">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7408605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0065178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4143ED0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65EA2493">
            <w:pPr>
              <w:spacing w:line="600" w:lineRule="auto"/>
              <w:jc w:val="center"/>
              <w:rPr>
                <w:i/>
                <w:iCs/>
                <w:sz w:val="21"/>
                <w:szCs w:val="21"/>
              </w:rPr>
            </w:pPr>
            <w:r>
              <w:rPr>
                <w:rFonts w:hint="eastAsia"/>
                <w:sz w:val="21"/>
                <w:szCs w:val="21"/>
              </w:rPr>
              <w:t>2</w:t>
            </w:r>
            <w:r>
              <w:rPr>
                <w:sz w:val="21"/>
                <w:szCs w:val="21"/>
              </w:rPr>
              <w:t>.5</w:t>
            </w:r>
          </w:p>
        </w:tc>
        <w:tc>
          <w:tcPr>
            <w:tcW w:w="874" w:type="dxa"/>
            <w:tcBorders>
              <w:bottom w:val="single" w:color="auto" w:sz="4" w:space="0"/>
            </w:tcBorders>
            <w:shd w:val="clear" w:color="auto" w:fill="FFFFFF"/>
          </w:tcPr>
          <w:p w14:paraId="628A189B">
            <w:pPr>
              <w:spacing w:line="600" w:lineRule="auto"/>
              <w:jc w:val="center"/>
              <w:rPr>
                <w:i/>
                <w:iCs/>
                <w:sz w:val="21"/>
                <w:szCs w:val="21"/>
              </w:rPr>
            </w:pPr>
            <w:r>
              <w:rPr>
                <w:rFonts w:hint="eastAsia"/>
                <w:sz w:val="21"/>
                <w:szCs w:val="21"/>
              </w:rPr>
              <w:t>2</w:t>
            </w:r>
            <w:r>
              <w:rPr>
                <w:sz w:val="21"/>
                <w:szCs w:val="21"/>
              </w:rPr>
              <w:t>.5</w:t>
            </w:r>
          </w:p>
        </w:tc>
      </w:tr>
      <w:tr w14:paraId="1882E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0F4A1CF3">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29455585">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3EE8E7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51DCE33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2206A435">
            <w:pPr>
              <w:widowControl/>
              <w:spacing w:line="0" w:lineRule="atLeast"/>
              <w:jc w:val="center"/>
              <w:rPr>
                <w:rFonts w:ascii="宋体" w:hAnsi="宋体" w:cs="宋体"/>
                <w:color w:val="000000"/>
                <w:kern w:val="0"/>
                <w:sz w:val="22"/>
              </w:rPr>
            </w:pPr>
            <w:r>
              <w:rPr>
                <w:rFonts w:hint="eastAsia" w:ascii="宋体" w:hAnsi="宋体" w:cs="宋体"/>
                <w:color w:val="000000"/>
                <w:kern w:val="0"/>
                <w:sz w:val="20"/>
                <w:szCs w:val="20"/>
              </w:rPr>
              <w:t>项目预算资金分配是否有测算依据，与补助单位或地方实际是否相适应，用以反映和考核项目预算资金分配的科性、合理性情况。</w:t>
            </w:r>
          </w:p>
        </w:tc>
        <w:tc>
          <w:tcPr>
            <w:tcW w:w="990" w:type="dxa"/>
            <w:tcBorders>
              <w:left w:val="single" w:color="auto" w:sz="4" w:space="0"/>
            </w:tcBorders>
            <w:shd w:val="clear" w:color="auto" w:fill="FFFFFF"/>
          </w:tcPr>
          <w:p w14:paraId="73D64132">
            <w:pPr>
              <w:spacing w:line="600" w:lineRule="auto"/>
              <w:jc w:val="center"/>
              <w:rPr>
                <w:i/>
                <w:iCs/>
                <w:sz w:val="21"/>
                <w:szCs w:val="21"/>
              </w:rPr>
            </w:pPr>
            <w:r>
              <w:rPr>
                <w:rFonts w:hint="eastAsia"/>
                <w:sz w:val="21"/>
                <w:szCs w:val="21"/>
              </w:rPr>
              <w:t>2</w:t>
            </w:r>
            <w:r>
              <w:rPr>
                <w:sz w:val="21"/>
                <w:szCs w:val="21"/>
              </w:rPr>
              <w:t>.5</w:t>
            </w:r>
          </w:p>
        </w:tc>
        <w:tc>
          <w:tcPr>
            <w:tcW w:w="874" w:type="dxa"/>
            <w:shd w:val="clear" w:color="auto" w:fill="FFFFFF"/>
          </w:tcPr>
          <w:p w14:paraId="7D9000FD">
            <w:pPr>
              <w:spacing w:line="600" w:lineRule="auto"/>
              <w:jc w:val="center"/>
              <w:rPr>
                <w:i/>
                <w:iCs/>
                <w:sz w:val="21"/>
                <w:szCs w:val="21"/>
              </w:rPr>
            </w:pPr>
            <w:r>
              <w:rPr>
                <w:rFonts w:hint="eastAsia"/>
                <w:sz w:val="21"/>
                <w:szCs w:val="21"/>
              </w:rPr>
              <w:t>2</w:t>
            </w:r>
            <w:r>
              <w:rPr>
                <w:sz w:val="21"/>
                <w:szCs w:val="21"/>
              </w:rPr>
              <w:t>.5</w:t>
            </w:r>
          </w:p>
        </w:tc>
      </w:tr>
      <w:tr w14:paraId="361B6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7081B61C">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3B3436D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5D2810C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65193B4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1403CC1E">
            <w:pPr>
              <w:spacing w:line="600" w:lineRule="auto"/>
              <w:jc w:val="center"/>
              <w:rPr>
                <w:i/>
                <w:iCs/>
                <w:sz w:val="21"/>
                <w:szCs w:val="21"/>
              </w:rPr>
            </w:pPr>
            <w:r>
              <w:rPr>
                <w:rFonts w:hint="eastAsia"/>
                <w:sz w:val="21"/>
                <w:szCs w:val="21"/>
              </w:rPr>
              <w:t>4</w:t>
            </w:r>
          </w:p>
        </w:tc>
        <w:tc>
          <w:tcPr>
            <w:tcW w:w="874" w:type="dxa"/>
            <w:tcBorders>
              <w:bottom w:val="single" w:color="auto" w:sz="4" w:space="0"/>
            </w:tcBorders>
            <w:shd w:val="clear" w:color="000000" w:fill="FFFFFF"/>
          </w:tcPr>
          <w:p w14:paraId="70BA4CA6">
            <w:pPr>
              <w:spacing w:line="600" w:lineRule="auto"/>
              <w:jc w:val="center"/>
              <w:rPr>
                <w:i/>
                <w:iCs/>
                <w:sz w:val="21"/>
                <w:szCs w:val="21"/>
              </w:rPr>
            </w:pPr>
            <w:r>
              <w:rPr>
                <w:rFonts w:hint="eastAsia"/>
                <w:sz w:val="21"/>
                <w:szCs w:val="21"/>
              </w:rPr>
              <w:t>4</w:t>
            </w:r>
          </w:p>
        </w:tc>
      </w:tr>
      <w:tr w14:paraId="2F732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554572D6">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4536EAE">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FC9FB7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32C1513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3D564370">
            <w:pPr>
              <w:spacing w:line="600" w:lineRule="auto"/>
              <w:jc w:val="center"/>
              <w:rPr>
                <w:i/>
                <w:iCs/>
                <w:sz w:val="21"/>
                <w:szCs w:val="21"/>
              </w:rPr>
            </w:pPr>
            <w:r>
              <w:rPr>
                <w:rFonts w:hint="eastAsia"/>
                <w:sz w:val="21"/>
                <w:szCs w:val="21"/>
              </w:rPr>
              <w:t>4</w:t>
            </w:r>
          </w:p>
        </w:tc>
        <w:tc>
          <w:tcPr>
            <w:tcW w:w="874" w:type="dxa"/>
            <w:tcBorders>
              <w:bottom w:val="single" w:color="auto" w:sz="4" w:space="0"/>
            </w:tcBorders>
            <w:shd w:val="clear" w:color="auto" w:fill="FFFFFF"/>
          </w:tcPr>
          <w:p w14:paraId="3165F4F5">
            <w:pPr>
              <w:spacing w:line="600" w:lineRule="auto"/>
              <w:jc w:val="center"/>
              <w:rPr>
                <w:i/>
                <w:iCs/>
                <w:sz w:val="21"/>
                <w:szCs w:val="21"/>
              </w:rPr>
            </w:pPr>
            <w:r>
              <w:rPr>
                <w:rFonts w:hint="eastAsia"/>
                <w:sz w:val="21"/>
                <w:szCs w:val="21"/>
              </w:rPr>
              <w:t>4</w:t>
            </w:r>
          </w:p>
        </w:tc>
      </w:tr>
      <w:tr w14:paraId="0324D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700FE789">
            <w:pPr>
              <w:spacing w:line="0" w:lineRule="atLeast"/>
              <w:jc w:val="center"/>
              <w:rPr>
                <w:rFonts w:ascii="宋体" w:hAnsi="宋体" w:cs="宋体"/>
                <w:color w:val="000000"/>
                <w:kern w:val="0"/>
                <w:sz w:val="22"/>
              </w:rPr>
            </w:pPr>
          </w:p>
        </w:tc>
        <w:tc>
          <w:tcPr>
            <w:tcW w:w="1478" w:type="dxa"/>
            <w:shd w:val="clear" w:color="auto" w:fill="FFFFFF"/>
            <w:vAlign w:val="center"/>
          </w:tcPr>
          <w:p w14:paraId="2D3276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0407057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1C6A099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2AFDB6E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625E6A5F">
            <w:pPr>
              <w:spacing w:line="600" w:lineRule="auto"/>
              <w:jc w:val="center"/>
              <w:rPr>
                <w:sz w:val="21"/>
                <w:szCs w:val="21"/>
              </w:rPr>
            </w:pPr>
            <w:r>
              <w:rPr>
                <w:rFonts w:hint="eastAsia"/>
                <w:sz w:val="21"/>
                <w:szCs w:val="21"/>
              </w:rPr>
              <w:t>4</w:t>
            </w:r>
          </w:p>
        </w:tc>
        <w:tc>
          <w:tcPr>
            <w:tcW w:w="874" w:type="dxa"/>
            <w:tcBorders>
              <w:bottom w:val="single" w:color="auto" w:sz="4" w:space="0"/>
            </w:tcBorders>
            <w:shd w:val="clear" w:color="000000" w:fill="FFFFFF"/>
          </w:tcPr>
          <w:p w14:paraId="5B23B007">
            <w:pPr>
              <w:spacing w:line="600" w:lineRule="auto"/>
              <w:jc w:val="center"/>
              <w:rPr>
                <w:sz w:val="21"/>
                <w:szCs w:val="21"/>
              </w:rPr>
            </w:pPr>
            <w:r>
              <w:rPr>
                <w:rFonts w:hint="eastAsia"/>
                <w:sz w:val="21"/>
                <w:szCs w:val="21"/>
              </w:rPr>
              <w:t>4</w:t>
            </w:r>
          </w:p>
        </w:tc>
      </w:tr>
      <w:tr w14:paraId="508E9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385252FD">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4946856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3179D5C8">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2A0B270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08E6364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02BD14B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AD1736C">
            <w:pPr>
              <w:spacing w:line="600" w:lineRule="auto"/>
              <w:jc w:val="center"/>
              <w:rPr>
                <w:sz w:val="21"/>
                <w:szCs w:val="21"/>
              </w:rPr>
            </w:pPr>
            <w:r>
              <w:rPr>
                <w:rFonts w:hint="eastAsia"/>
                <w:sz w:val="21"/>
                <w:szCs w:val="21"/>
              </w:rPr>
              <w:t>4</w:t>
            </w:r>
          </w:p>
        </w:tc>
        <w:tc>
          <w:tcPr>
            <w:tcW w:w="874" w:type="dxa"/>
            <w:tcBorders>
              <w:bottom w:val="single" w:color="auto" w:sz="4" w:space="0"/>
            </w:tcBorders>
            <w:shd w:val="clear" w:color="000000" w:fill="FFFFFF"/>
          </w:tcPr>
          <w:p w14:paraId="4045CB21">
            <w:pPr>
              <w:spacing w:line="600" w:lineRule="auto"/>
              <w:jc w:val="center"/>
              <w:rPr>
                <w:sz w:val="21"/>
                <w:szCs w:val="21"/>
              </w:rPr>
            </w:pPr>
            <w:r>
              <w:rPr>
                <w:sz w:val="21"/>
                <w:szCs w:val="21"/>
              </w:rPr>
              <w:t>4</w:t>
            </w:r>
          </w:p>
        </w:tc>
      </w:tr>
      <w:tr w14:paraId="368E1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09BB1E4F">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A867305">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42F77B1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2B3A91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00DB7C3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7F37F674">
            <w:pPr>
              <w:spacing w:line="600" w:lineRule="auto"/>
              <w:jc w:val="center"/>
              <w:rPr>
                <w:sz w:val="21"/>
                <w:szCs w:val="21"/>
              </w:rPr>
            </w:pPr>
            <w:r>
              <w:rPr>
                <w:rFonts w:hint="eastAsia"/>
                <w:sz w:val="21"/>
                <w:szCs w:val="21"/>
              </w:rPr>
              <w:t>4</w:t>
            </w:r>
          </w:p>
        </w:tc>
        <w:tc>
          <w:tcPr>
            <w:tcW w:w="874" w:type="dxa"/>
            <w:tcBorders>
              <w:bottom w:val="single" w:color="auto" w:sz="4" w:space="0"/>
            </w:tcBorders>
            <w:shd w:val="clear" w:color="000000" w:fill="FFFFFF"/>
          </w:tcPr>
          <w:p w14:paraId="20F6C91D">
            <w:pPr>
              <w:spacing w:line="600" w:lineRule="auto"/>
              <w:jc w:val="center"/>
              <w:rPr>
                <w:sz w:val="21"/>
                <w:szCs w:val="21"/>
              </w:rPr>
            </w:pPr>
            <w:r>
              <w:rPr>
                <w:sz w:val="21"/>
                <w:szCs w:val="21"/>
              </w:rPr>
              <w:t>4</w:t>
            </w:r>
          </w:p>
        </w:tc>
      </w:tr>
      <w:tr w14:paraId="2BFF0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05239B4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4208183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4B956BF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3E5AC95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3BEB6281">
            <w:pPr>
              <w:spacing w:line="600" w:lineRule="auto"/>
              <w:jc w:val="center"/>
              <w:rPr>
                <w:sz w:val="21"/>
                <w:szCs w:val="21"/>
              </w:rPr>
            </w:pPr>
            <w:r>
              <w:rPr>
                <w:rFonts w:hint="eastAsia"/>
                <w:sz w:val="21"/>
                <w:szCs w:val="21"/>
              </w:rPr>
              <w:t>1</w:t>
            </w:r>
            <w:r>
              <w:rPr>
                <w:sz w:val="21"/>
                <w:szCs w:val="21"/>
              </w:rPr>
              <w:t>0</w:t>
            </w:r>
          </w:p>
        </w:tc>
        <w:tc>
          <w:tcPr>
            <w:tcW w:w="874" w:type="dxa"/>
            <w:shd w:val="clear" w:color="000000" w:fill="FFFFFF"/>
          </w:tcPr>
          <w:p w14:paraId="502EBC6A">
            <w:pPr>
              <w:spacing w:line="600" w:lineRule="auto"/>
              <w:jc w:val="center"/>
              <w:rPr>
                <w:sz w:val="21"/>
                <w:szCs w:val="21"/>
              </w:rPr>
            </w:pPr>
            <w:r>
              <w:rPr>
                <w:sz w:val="21"/>
                <w:szCs w:val="21"/>
              </w:rPr>
              <w:t>10</w:t>
            </w:r>
          </w:p>
        </w:tc>
      </w:tr>
      <w:tr w14:paraId="286C7A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71ED3021">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335C65D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7ABC9D2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30E516F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5FAFC8A4">
            <w:pPr>
              <w:spacing w:line="600" w:lineRule="auto"/>
              <w:jc w:val="center"/>
              <w:rPr>
                <w:sz w:val="21"/>
                <w:szCs w:val="21"/>
              </w:rPr>
            </w:pPr>
            <w:r>
              <w:rPr>
                <w:rFonts w:hint="eastAsia"/>
                <w:sz w:val="21"/>
                <w:szCs w:val="21"/>
              </w:rPr>
              <w:t>1</w:t>
            </w:r>
            <w:r>
              <w:rPr>
                <w:sz w:val="21"/>
                <w:szCs w:val="21"/>
              </w:rPr>
              <w:t>0</w:t>
            </w:r>
          </w:p>
        </w:tc>
        <w:tc>
          <w:tcPr>
            <w:tcW w:w="874" w:type="dxa"/>
            <w:shd w:val="clear" w:color="000000" w:fill="FFFFFF"/>
          </w:tcPr>
          <w:p w14:paraId="75B12885">
            <w:pPr>
              <w:spacing w:line="600" w:lineRule="auto"/>
              <w:jc w:val="center"/>
              <w:rPr>
                <w:sz w:val="21"/>
                <w:szCs w:val="21"/>
              </w:rPr>
            </w:pPr>
            <w:r>
              <w:rPr>
                <w:rFonts w:hint="eastAsia"/>
                <w:sz w:val="21"/>
                <w:szCs w:val="21"/>
              </w:rPr>
              <w:t>1</w:t>
            </w:r>
            <w:r>
              <w:rPr>
                <w:sz w:val="21"/>
                <w:szCs w:val="21"/>
              </w:rPr>
              <w:t>0</w:t>
            </w:r>
          </w:p>
        </w:tc>
      </w:tr>
      <w:tr w14:paraId="06987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1" w:hRule="atLeast"/>
          <w:jc w:val="center"/>
        </w:trPr>
        <w:tc>
          <w:tcPr>
            <w:tcW w:w="757" w:type="dxa"/>
            <w:vMerge w:val="continue"/>
            <w:shd w:val="clear" w:color="auto" w:fill="FFFFFF"/>
            <w:vAlign w:val="center"/>
          </w:tcPr>
          <w:p w14:paraId="64A6D714">
            <w:pPr>
              <w:spacing w:line="0" w:lineRule="atLeast"/>
              <w:jc w:val="center"/>
              <w:rPr>
                <w:rFonts w:ascii="宋体" w:hAnsi="宋体" w:cs="宋体"/>
                <w:color w:val="000000"/>
                <w:kern w:val="0"/>
                <w:sz w:val="22"/>
              </w:rPr>
            </w:pPr>
          </w:p>
        </w:tc>
        <w:tc>
          <w:tcPr>
            <w:tcW w:w="1478" w:type="dxa"/>
            <w:shd w:val="clear" w:color="auto" w:fill="FFFFFF"/>
            <w:vAlign w:val="center"/>
          </w:tcPr>
          <w:p w14:paraId="6F960243">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68E1C90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38EA527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106B2E53">
            <w:pPr>
              <w:spacing w:line="600" w:lineRule="auto"/>
              <w:jc w:val="center"/>
              <w:rPr>
                <w:sz w:val="21"/>
                <w:szCs w:val="21"/>
              </w:rPr>
            </w:pPr>
            <w:r>
              <w:rPr>
                <w:rFonts w:hint="eastAsia"/>
                <w:sz w:val="21"/>
                <w:szCs w:val="21"/>
              </w:rPr>
              <w:t>1</w:t>
            </w:r>
            <w:r>
              <w:rPr>
                <w:sz w:val="21"/>
                <w:szCs w:val="21"/>
              </w:rPr>
              <w:t>0</w:t>
            </w:r>
          </w:p>
        </w:tc>
        <w:tc>
          <w:tcPr>
            <w:tcW w:w="874" w:type="dxa"/>
            <w:shd w:val="clear" w:color="000000" w:fill="FFFFFF"/>
          </w:tcPr>
          <w:p w14:paraId="7ADCE05E">
            <w:pPr>
              <w:spacing w:line="600" w:lineRule="auto"/>
              <w:jc w:val="center"/>
              <w:rPr>
                <w:sz w:val="21"/>
                <w:szCs w:val="21"/>
              </w:rPr>
            </w:pPr>
            <w:r>
              <w:rPr>
                <w:rFonts w:hint="eastAsia"/>
                <w:sz w:val="21"/>
                <w:szCs w:val="21"/>
              </w:rPr>
              <w:t>1</w:t>
            </w:r>
            <w:r>
              <w:rPr>
                <w:sz w:val="21"/>
                <w:szCs w:val="21"/>
              </w:rPr>
              <w:t>0</w:t>
            </w:r>
          </w:p>
        </w:tc>
      </w:tr>
      <w:tr w14:paraId="433144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22C78372">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5B0A75F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3B5D795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0C0530A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3E27A6DF">
            <w:pPr>
              <w:spacing w:line="600" w:lineRule="auto"/>
              <w:jc w:val="center"/>
              <w:rPr>
                <w:sz w:val="21"/>
                <w:szCs w:val="21"/>
              </w:rPr>
            </w:pPr>
            <w:r>
              <w:rPr>
                <w:rFonts w:hint="eastAsia"/>
                <w:sz w:val="21"/>
                <w:szCs w:val="21"/>
              </w:rPr>
              <w:t>1</w:t>
            </w:r>
            <w:r>
              <w:rPr>
                <w:sz w:val="21"/>
                <w:szCs w:val="21"/>
              </w:rPr>
              <w:t>0</w:t>
            </w:r>
          </w:p>
        </w:tc>
        <w:tc>
          <w:tcPr>
            <w:tcW w:w="874" w:type="dxa"/>
            <w:shd w:val="clear" w:color="auto" w:fill="FFFFFF"/>
          </w:tcPr>
          <w:p w14:paraId="123981B2">
            <w:pPr>
              <w:spacing w:line="600" w:lineRule="auto"/>
              <w:jc w:val="center"/>
              <w:rPr>
                <w:sz w:val="21"/>
                <w:szCs w:val="21"/>
              </w:rPr>
            </w:pPr>
            <w:r>
              <w:rPr>
                <w:rFonts w:hint="eastAsia"/>
                <w:sz w:val="21"/>
                <w:szCs w:val="21"/>
              </w:rPr>
              <w:t>1</w:t>
            </w:r>
            <w:r>
              <w:rPr>
                <w:sz w:val="21"/>
                <w:szCs w:val="21"/>
              </w:rPr>
              <w:t>0</w:t>
            </w:r>
          </w:p>
        </w:tc>
      </w:tr>
      <w:tr w14:paraId="15BA6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6" w:hRule="atLeast"/>
          <w:jc w:val="center"/>
        </w:trPr>
        <w:tc>
          <w:tcPr>
            <w:tcW w:w="757" w:type="dxa"/>
            <w:vMerge w:val="restart"/>
            <w:shd w:val="clear" w:color="auto" w:fill="FFFFFF"/>
            <w:vAlign w:val="center"/>
          </w:tcPr>
          <w:p w14:paraId="541D131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7A71AB6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75CA41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6B33276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14:paraId="247B5BFB">
            <w:pPr>
              <w:spacing w:line="600" w:lineRule="auto"/>
              <w:jc w:val="center"/>
              <w:rPr>
                <w:sz w:val="21"/>
                <w:szCs w:val="21"/>
              </w:rPr>
            </w:pPr>
            <w:r>
              <w:rPr>
                <w:rFonts w:hint="eastAsia"/>
                <w:sz w:val="21"/>
                <w:szCs w:val="21"/>
              </w:rPr>
              <w:t>1</w:t>
            </w:r>
            <w:r>
              <w:rPr>
                <w:sz w:val="21"/>
                <w:szCs w:val="21"/>
              </w:rPr>
              <w:t>5</w:t>
            </w:r>
          </w:p>
        </w:tc>
        <w:tc>
          <w:tcPr>
            <w:tcW w:w="874" w:type="dxa"/>
            <w:shd w:val="clear" w:color="auto" w:fill="FFFFFF"/>
          </w:tcPr>
          <w:p w14:paraId="2B8483A0">
            <w:pPr>
              <w:spacing w:line="600" w:lineRule="auto"/>
              <w:jc w:val="center"/>
              <w:rPr>
                <w:sz w:val="21"/>
                <w:szCs w:val="21"/>
              </w:rPr>
            </w:pPr>
            <w:r>
              <w:rPr>
                <w:rFonts w:hint="eastAsia"/>
                <w:sz w:val="21"/>
                <w:szCs w:val="21"/>
              </w:rPr>
              <w:t>1</w:t>
            </w:r>
            <w:r>
              <w:rPr>
                <w:sz w:val="21"/>
                <w:szCs w:val="21"/>
              </w:rPr>
              <w:t>5</w:t>
            </w:r>
          </w:p>
        </w:tc>
      </w:tr>
      <w:tr w14:paraId="407E38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2B80F916">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0DE0833B">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91737C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0AC4138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14:paraId="1F2EFA0B">
            <w:pPr>
              <w:spacing w:line="600" w:lineRule="auto"/>
              <w:jc w:val="center"/>
              <w:rPr>
                <w:sz w:val="21"/>
                <w:szCs w:val="21"/>
              </w:rPr>
            </w:pPr>
            <w:r>
              <w:rPr>
                <w:rFonts w:hint="eastAsia"/>
                <w:sz w:val="21"/>
                <w:szCs w:val="21"/>
              </w:rPr>
              <w:t>5</w:t>
            </w:r>
          </w:p>
        </w:tc>
        <w:tc>
          <w:tcPr>
            <w:tcW w:w="874" w:type="dxa"/>
            <w:shd w:val="clear" w:color="000000" w:fill="FFFFFF"/>
          </w:tcPr>
          <w:p w14:paraId="683B2819">
            <w:pPr>
              <w:spacing w:line="600" w:lineRule="auto"/>
              <w:jc w:val="center"/>
              <w:rPr>
                <w:sz w:val="21"/>
                <w:szCs w:val="21"/>
              </w:rPr>
            </w:pPr>
            <w:r>
              <w:rPr>
                <w:rFonts w:hint="eastAsia"/>
                <w:sz w:val="21"/>
                <w:szCs w:val="21"/>
              </w:rPr>
              <w:t>5</w:t>
            </w:r>
          </w:p>
        </w:tc>
      </w:tr>
      <w:tr w14:paraId="4C23D0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454866CC">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059C83D8">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607A9FE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100</w:t>
            </w:r>
          </w:p>
        </w:tc>
        <w:tc>
          <w:tcPr>
            <w:tcW w:w="874" w:type="dxa"/>
            <w:shd w:val="clear" w:color="auto" w:fill="FFFFFF"/>
            <w:vAlign w:val="center"/>
          </w:tcPr>
          <w:p w14:paraId="5B544D3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100</w:t>
            </w:r>
          </w:p>
        </w:tc>
      </w:tr>
    </w:tbl>
    <w:p w14:paraId="32A78CA0">
      <w:pPr>
        <w:pStyle w:val="2"/>
        <w:rPr>
          <w:rFonts w:hint="eastAsia"/>
        </w:rPr>
      </w:pPr>
    </w:p>
    <w:p w14:paraId="2BCD0AC4">
      <w:pPr>
        <w:spacing w:line="360" w:lineRule="auto"/>
        <w:ind w:firstLine="600" w:firstLineChars="200"/>
      </w:pPr>
      <w:r>
        <w:rPr>
          <w:rFonts w:hint="eastAsia"/>
        </w:rPr>
        <w:t>3、评价方法</w:t>
      </w:r>
    </w:p>
    <w:p w14:paraId="0F4C9136">
      <w:pPr>
        <w:spacing w:line="600" w:lineRule="exact"/>
        <w:ind w:firstLine="640" w:firstLineChars="200"/>
        <w:rPr>
          <w:rFonts w:eastAsia="方正仿宋_GBK"/>
          <w:bCs/>
          <w:iCs/>
          <w:sz w:val="32"/>
          <w:szCs w:val="32"/>
        </w:rPr>
      </w:pPr>
      <w:r>
        <w:rPr>
          <w:rFonts w:hint="eastAsia" w:eastAsia="方正仿宋_GBK"/>
          <w:bCs/>
          <w:iCs/>
          <w:sz w:val="32"/>
          <w:szCs w:val="32"/>
        </w:rPr>
        <w:t>本次评价主要采用了因素分析法、成本效益分析法等。主要原因：通过综合分析项目立项依据、绩效目标、资金投入、使用、产出及效益等方面，将投入与产出、效益进行关联性进行分析，能够清楚明了的体现出项目实施情况，并在此基础上进行评价</w:t>
      </w:r>
    </w:p>
    <w:p w14:paraId="75D8A215">
      <w:pPr>
        <w:spacing w:line="560" w:lineRule="exact"/>
        <w:ind w:firstLine="643" w:firstLineChars="200"/>
        <w:rPr>
          <w:rFonts w:eastAsia="方正仿宋_GBK"/>
          <w:b/>
          <w:bCs/>
          <w:sz w:val="32"/>
          <w:szCs w:val="32"/>
        </w:rPr>
      </w:pPr>
      <w:r>
        <w:rPr>
          <w:rFonts w:hint="eastAsia" w:eastAsia="方正仿宋_GBK"/>
          <w:b/>
          <w:bCs/>
          <w:sz w:val="32"/>
          <w:szCs w:val="32"/>
        </w:rPr>
        <w:t>4.评价标准</w:t>
      </w:r>
    </w:p>
    <w:p w14:paraId="7FDAEB10">
      <w:pPr>
        <w:spacing w:line="600" w:lineRule="exact"/>
        <w:ind w:firstLine="640" w:firstLineChars="200"/>
        <w:rPr>
          <w:rFonts w:eastAsia="方正仿宋_GBK"/>
          <w:bCs/>
          <w:iCs/>
          <w:sz w:val="32"/>
          <w:szCs w:val="32"/>
        </w:rPr>
      </w:pPr>
      <w:bookmarkStart w:id="5" w:name="_Toc68703834"/>
      <w:r>
        <w:rPr>
          <w:rFonts w:hint="eastAsia" w:eastAsia="方正仿宋_GBK"/>
          <w:bCs/>
          <w:iCs/>
          <w:sz w:val="32"/>
          <w:szCs w:val="32"/>
        </w:rPr>
        <w:t>本次项目采用计划标准，原因是本项目通过项目预先制定的目标、计划、预算指标数据确定三级指标进行自评，可提高预算编制和预算额度测算准确率，使评价结果更加科学真实。</w:t>
      </w:r>
    </w:p>
    <w:p w14:paraId="28E06FA6">
      <w:pPr>
        <w:spacing w:line="600" w:lineRule="exact"/>
        <w:ind w:firstLine="640" w:firstLineChars="200"/>
        <w:rPr>
          <w:rFonts w:ascii="方正楷体简体" w:eastAsia="方正楷体简体"/>
          <w:sz w:val="32"/>
          <w:szCs w:val="32"/>
        </w:rPr>
      </w:pPr>
      <w:r>
        <w:rPr>
          <w:rFonts w:hint="eastAsia" w:ascii="方正楷体简体" w:eastAsia="方正楷体简体"/>
          <w:sz w:val="32"/>
          <w:szCs w:val="32"/>
        </w:rPr>
        <w:t>（三）绩效评价工作过程。</w:t>
      </w:r>
    </w:p>
    <w:p w14:paraId="4527E91A">
      <w:pPr>
        <w:spacing w:line="600" w:lineRule="exact"/>
        <w:ind w:firstLine="643" w:firstLineChars="200"/>
        <w:rPr>
          <w:rFonts w:eastAsia="方正仿宋_GBK"/>
          <w:bCs/>
          <w:iCs/>
          <w:sz w:val="32"/>
          <w:szCs w:val="32"/>
        </w:rPr>
      </w:pPr>
      <w:r>
        <w:rPr>
          <w:rFonts w:hint="eastAsia" w:eastAsia="方正仿宋_GBK"/>
          <w:b/>
          <w:iCs/>
          <w:sz w:val="32"/>
          <w:szCs w:val="32"/>
        </w:rPr>
        <w:t>1.前期准备</w:t>
      </w:r>
      <w:r>
        <w:rPr>
          <w:rFonts w:hint="eastAsia"/>
          <w:sz w:val="32"/>
          <w:szCs w:val="32"/>
        </w:rPr>
        <w:t>：2024年1月20日</w:t>
      </w:r>
      <w:r>
        <w:rPr>
          <w:rFonts w:eastAsia="方正仿宋_GBK"/>
          <w:bCs/>
          <w:iCs/>
          <w:sz w:val="32"/>
          <w:szCs w:val="32"/>
        </w:rPr>
        <w:t>按照《项目支出绩效评价管理办法》（财预〔2020〕10号）文件要求，</w:t>
      </w:r>
      <w:r>
        <w:rPr>
          <w:rFonts w:hint="eastAsia" w:eastAsia="方正仿宋_GBK"/>
          <w:bCs/>
          <w:iCs/>
          <w:sz w:val="32"/>
          <w:szCs w:val="32"/>
        </w:rPr>
        <w:t>开始前期准备工作，评价组通过前期准备确定绩效评价对象和范围，确定了评价的目的、方法以及评价的原则，根据项目的内容和特征制定了评价指标体系及评价标准以及评价实施方案，修正并确定所需资料清单，最终确定绩效评价工作方案。</w:t>
      </w:r>
    </w:p>
    <w:p w14:paraId="27267452">
      <w:pPr>
        <w:spacing w:line="600" w:lineRule="exact"/>
        <w:ind w:firstLine="643" w:firstLineChars="200"/>
        <w:rPr>
          <w:sz w:val="32"/>
          <w:szCs w:val="32"/>
        </w:rPr>
      </w:pPr>
      <w:r>
        <w:rPr>
          <w:rFonts w:hint="eastAsia" w:eastAsia="方正仿宋_GBK"/>
          <w:b/>
          <w:iCs/>
          <w:sz w:val="32"/>
          <w:szCs w:val="32"/>
        </w:rPr>
        <w:t>2.组织实施</w:t>
      </w:r>
      <w:r>
        <w:rPr>
          <w:rFonts w:hint="eastAsia"/>
          <w:b/>
          <w:sz w:val="32"/>
          <w:szCs w:val="32"/>
        </w:rPr>
        <w:t>：</w:t>
      </w:r>
    </w:p>
    <w:p w14:paraId="09493A85">
      <w:pPr>
        <w:spacing w:line="600" w:lineRule="exact"/>
        <w:ind w:firstLine="640" w:firstLineChars="200"/>
        <w:rPr>
          <w:rFonts w:eastAsia="方正仿宋_GBK"/>
          <w:bCs/>
          <w:iCs/>
          <w:sz w:val="32"/>
          <w:szCs w:val="32"/>
        </w:rPr>
      </w:pPr>
      <w:r>
        <w:rPr>
          <w:rFonts w:hint="eastAsia" w:eastAsia="方正仿宋_GBK"/>
          <w:bCs/>
          <w:iCs/>
          <w:sz w:val="32"/>
          <w:szCs w:val="32"/>
        </w:rPr>
        <w:t>2024年2月，评价工作进入实施阶段，评价组收集绩效评价相关数据资料，进行现场沟通；并与项目实施负责人沟通，了解资金的内容、操作流程、管理机制、资金使用方向等情况，分析形成初步结论。</w:t>
      </w:r>
    </w:p>
    <w:p w14:paraId="5956B3CA">
      <w:pPr>
        <w:spacing w:line="600" w:lineRule="exact"/>
        <w:ind w:firstLine="643" w:firstLineChars="200"/>
        <w:rPr>
          <w:sz w:val="32"/>
          <w:szCs w:val="32"/>
        </w:rPr>
      </w:pPr>
      <w:r>
        <w:rPr>
          <w:rFonts w:hint="eastAsia" w:eastAsia="方正仿宋_GBK"/>
          <w:b/>
          <w:iCs/>
          <w:sz w:val="32"/>
          <w:szCs w:val="32"/>
        </w:rPr>
        <w:t>3.分析评价</w:t>
      </w:r>
      <w:r>
        <w:rPr>
          <w:rFonts w:hint="eastAsia"/>
          <w:b/>
          <w:sz w:val="32"/>
          <w:szCs w:val="32"/>
        </w:rPr>
        <w:t>：</w:t>
      </w:r>
    </w:p>
    <w:p w14:paraId="6E3C446A">
      <w:pPr>
        <w:spacing w:line="600" w:lineRule="exact"/>
        <w:ind w:firstLine="640" w:firstLineChars="200"/>
        <w:rPr>
          <w:rFonts w:eastAsia="方正仿宋_GBK"/>
          <w:bCs/>
          <w:iCs/>
          <w:sz w:val="32"/>
          <w:szCs w:val="32"/>
        </w:rPr>
      </w:pPr>
      <w:r>
        <w:rPr>
          <w:rFonts w:hint="eastAsia"/>
          <w:sz w:val="32"/>
          <w:szCs w:val="32"/>
        </w:rPr>
        <w:t>2</w:t>
      </w:r>
      <w:r>
        <w:rPr>
          <w:rFonts w:hint="eastAsia" w:eastAsia="方正仿宋_GBK"/>
          <w:bCs/>
          <w:iCs/>
          <w:sz w:val="32"/>
          <w:szCs w:val="32"/>
        </w:rPr>
        <w:t>024年3月-4月，评价组按照绩效评价的原则和规范，对取得的资料进行审查核实，对采集的数据进行分析，按照绩效评价指标评分表逐项进行打分、分析，汇总各方评价结果，综合分析并形成评价结论。</w:t>
      </w:r>
    </w:p>
    <w:p w14:paraId="19199643">
      <w:pPr>
        <w:pStyle w:val="4"/>
        <w:spacing w:line="360" w:lineRule="auto"/>
        <w:rPr>
          <w:rFonts w:ascii="宋体" w:hAnsi="宋体" w:eastAsia="宋体"/>
          <w:sz w:val="32"/>
          <w:szCs w:val="32"/>
        </w:rPr>
      </w:pPr>
      <w:r>
        <w:rPr>
          <w:rFonts w:hint="eastAsia" w:ascii="宋体" w:hAnsi="宋体" w:eastAsia="宋体"/>
          <w:sz w:val="32"/>
          <w:szCs w:val="32"/>
        </w:rPr>
        <w:t>三、综合评价情况及评价结论</w:t>
      </w:r>
      <w:bookmarkEnd w:id="5"/>
    </w:p>
    <w:p w14:paraId="05A656A5">
      <w:pPr>
        <w:pStyle w:val="5"/>
        <w:spacing w:line="360" w:lineRule="auto"/>
        <w:rPr>
          <w:rFonts w:ascii="仿宋_GB2312" w:eastAsia="仿宋_GB2312"/>
          <w:b w:val="0"/>
          <w:bCs w:val="0"/>
        </w:rPr>
      </w:pPr>
      <w:bookmarkStart w:id="6" w:name="_Toc68703835"/>
      <w:r>
        <w:rPr>
          <w:rFonts w:hint="eastAsia" w:ascii="仿宋_GB2312" w:eastAsia="仿宋_GB2312"/>
          <w:b w:val="0"/>
          <w:bCs w:val="0"/>
        </w:rPr>
        <w:t>（一）综合评价情况</w:t>
      </w:r>
      <w:bookmarkEnd w:id="6"/>
    </w:p>
    <w:p w14:paraId="5956A44C">
      <w:pPr>
        <w:spacing w:line="360" w:lineRule="auto"/>
        <w:ind w:firstLine="600" w:firstLineChars="200"/>
      </w:pPr>
      <w:r>
        <w:rPr>
          <w:rFonts w:hint="eastAsia"/>
        </w:rPr>
        <w:t>本项目严格按照绩效评价原则，采用成本效益评价方法，坚持计划绩效评价标准对本项目的立项、项绩效目标、资金投入、资金管理、组织实施、产出数量、产出质量、产出时效、产出成本、项目效益进行了综合评价。</w:t>
      </w:r>
    </w:p>
    <w:p w14:paraId="6BE9E5D4">
      <w:pPr>
        <w:spacing w:line="360" w:lineRule="auto"/>
        <w:ind w:firstLine="600" w:firstLineChars="200"/>
        <w:jc w:val="center"/>
      </w:pPr>
      <w:r>
        <w:rPr>
          <w:rFonts w:hint="eastAsia"/>
        </w:rPr>
        <w:t>耕地地力保护补贴资金项目评价得分情况</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14:paraId="64CF3AB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722D747">
            <w:pPr>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EA96993">
            <w:pPr>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44421BE">
            <w:pPr>
              <w:jc w:val="center"/>
              <w:rPr>
                <w:b/>
                <w:bCs/>
                <w:sz w:val="22"/>
              </w:rPr>
            </w:pPr>
            <w:r>
              <w:rPr>
                <w:rFonts w:hint="eastAsia"/>
                <w:b/>
                <w:bCs/>
                <w:sz w:val="22"/>
              </w:rPr>
              <w:t>得分</w:t>
            </w:r>
          </w:p>
        </w:tc>
      </w:tr>
      <w:tr w14:paraId="2BAC0F0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0D076C">
            <w:pPr>
              <w:jc w:val="center"/>
              <w:rPr>
                <w:sz w:val="22"/>
              </w:rPr>
            </w:pPr>
            <w:r>
              <w:rPr>
                <w:rFonts w:hint="eastAsia"/>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7E2C539">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14:paraId="51B519D0">
            <w:pPr>
              <w:jc w:val="center"/>
              <w:rPr>
                <w:sz w:val="22"/>
              </w:rPr>
            </w:pPr>
            <w:r>
              <w:rPr>
                <w:rFonts w:hint="eastAsia"/>
                <w:sz w:val="22"/>
              </w:rPr>
              <w:t>20</w:t>
            </w:r>
          </w:p>
        </w:tc>
      </w:tr>
      <w:tr w14:paraId="3F5584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C8C6C0">
            <w:pPr>
              <w:jc w:val="center"/>
              <w:rPr>
                <w:sz w:val="22"/>
              </w:rPr>
            </w:pPr>
            <w:r>
              <w:rPr>
                <w:rFonts w:hint="eastAsia"/>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B7D735D">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14:paraId="46BF98CB">
            <w:pPr>
              <w:jc w:val="center"/>
              <w:rPr>
                <w:sz w:val="22"/>
              </w:rPr>
            </w:pPr>
            <w:r>
              <w:rPr>
                <w:rFonts w:hint="eastAsia"/>
                <w:sz w:val="22"/>
              </w:rPr>
              <w:t>20</w:t>
            </w:r>
          </w:p>
        </w:tc>
      </w:tr>
      <w:tr w14:paraId="44B7F39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D3A8C0">
            <w:pPr>
              <w:jc w:val="center"/>
              <w:rPr>
                <w:sz w:val="22"/>
              </w:rPr>
            </w:pPr>
            <w:r>
              <w:rPr>
                <w:rFonts w:hint="eastAsia"/>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8FD9B27">
            <w:pPr>
              <w:jc w:val="center"/>
              <w:rPr>
                <w:sz w:val="22"/>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14:paraId="2435F2FF">
            <w:pPr>
              <w:jc w:val="center"/>
              <w:rPr>
                <w:sz w:val="22"/>
              </w:rPr>
            </w:pPr>
            <w:r>
              <w:rPr>
                <w:rFonts w:hint="eastAsia"/>
                <w:sz w:val="22"/>
              </w:rPr>
              <w:t>40</w:t>
            </w:r>
          </w:p>
        </w:tc>
      </w:tr>
      <w:tr w14:paraId="5AC17C5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0877E3">
            <w:pPr>
              <w:jc w:val="center"/>
              <w:rPr>
                <w:sz w:val="22"/>
              </w:rPr>
            </w:pPr>
            <w:r>
              <w:rPr>
                <w:rFonts w:hint="eastAsia"/>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FEC3AB9">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14:paraId="64959D54">
            <w:pPr>
              <w:jc w:val="center"/>
              <w:rPr>
                <w:sz w:val="22"/>
              </w:rPr>
            </w:pPr>
            <w:r>
              <w:rPr>
                <w:rFonts w:hint="eastAsia"/>
                <w:sz w:val="22"/>
              </w:rPr>
              <w:t>20</w:t>
            </w:r>
          </w:p>
        </w:tc>
      </w:tr>
      <w:tr w14:paraId="7A1DA5B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CC648F">
            <w:pPr>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14:paraId="7B3A8FF2">
            <w:pPr>
              <w:jc w:val="center"/>
              <w:rPr>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14:paraId="10B13A7E">
            <w:pPr>
              <w:jc w:val="center"/>
              <w:rPr>
                <w:b/>
                <w:bCs/>
                <w:sz w:val="22"/>
              </w:rPr>
            </w:pPr>
            <w:r>
              <w:rPr>
                <w:rFonts w:hint="eastAsia"/>
                <w:b/>
                <w:bCs/>
                <w:sz w:val="22"/>
              </w:rPr>
              <w:t>100</w:t>
            </w:r>
          </w:p>
        </w:tc>
      </w:tr>
    </w:tbl>
    <w:p w14:paraId="5E6C9682">
      <w:pPr>
        <w:pStyle w:val="5"/>
        <w:spacing w:line="360" w:lineRule="auto"/>
        <w:rPr>
          <w:rFonts w:ascii="仿宋_GB2312" w:eastAsia="仿宋_GB2312"/>
          <w:b w:val="0"/>
          <w:bCs w:val="0"/>
        </w:rPr>
      </w:pPr>
      <w:bookmarkStart w:id="7" w:name="_Toc68703836"/>
      <w:r>
        <w:rPr>
          <w:rFonts w:hint="eastAsia" w:ascii="仿宋_GB2312" w:eastAsia="仿宋_GB2312"/>
          <w:b w:val="0"/>
          <w:bCs w:val="0"/>
        </w:rPr>
        <w:t>（二）评价结论</w:t>
      </w:r>
      <w:bookmarkEnd w:id="7"/>
    </w:p>
    <w:p w14:paraId="06D6D877">
      <w:pPr>
        <w:spacing w:line="360" w:lineRule="auto"/>
        <w:ind w:firstLine="600" w:firstLineChars="200"/>
      </w:pPr>
      <w:r>
        <w:rPr>
          <w:rFonts w:hint="eastAsia"/>
        </w:rPr>
        <w:t>本项目的项目决策、项目过程、项目产出、项目效益均达到了预期要求，最终得分为100分，项目达成年度指标。</w:t>
      </w:r>
    </w:p>
    <w:p w14:paraId="7B3AFB88">
      <w:pPr>
        <w:pStyle w:val="4"/>
        <w:spacing w:line="360" w:lineRule="auto"/>
        <w:rPr>
          <w:rFonts w:ascii="宋体" w:hAnsi="宋体" w:eastAsia="宋体"/>
          <w:sz w:val="32"/>
          <w:szCs w:val="32"/>
        </w:rPr>
      </w:pPr>
      <w:bookmarkStart w:id="8" w:name="_Toc68703837"/>
      <w:r>
        <w:rPr>
          <w:rFonts w:hint="eastAsia" w:ascii="宋体" w:hAnsi="宋体" w:eastAsia="宋体"/>
          <w:sz w:val="32"/>
          <w:szCs w:val="32"/>
        </w:rPr>
        <w:t>四、绩效评价指标分析</w:t>
      </w:r>
      <w:bookmarkEnd w:id="8"/>
    </w:p>
    <w:p w14:paraId="20D09A5A">
      <w:pPr>
        <w:pStyle w:val="5"/>
        <w:spacing w:line="360" w:lineRule="auto"/>
        <w:rPr>
          <w:rFonts w:ascii="仿宋_GB2312" w:eastAsia="仿宋_GB2312"/>
          <w:b w:val="0"/>
          <w:bCs w:val="0"/>
        </w:rPr>
      </w:pPr>
      <w:bookmarkStart w:id="9" w:name="_Toc68703838"/>
      <w:r>
        <w:rPr>
          <w:rFonts w:hint="eastAsia" w:ascii="仿宋_GB2312" w:eastAsia="仿宋_GB2312"/>
          <w:b w:val="0"/>
          <w:bCs w:val="0"/>
        </w:rPr>
        <w:t>（一）项目决策情况。</w:t>
      </w:r>
      <w:bookmarkEnd w:id="9"/>
    </w:p>
    <w:p w14:paraId="7DBE319A">
      <w:pPr>
        <w:spacing w:line="560" w:lineRule="exact"/>
        <w:ind w:firstLine="643" w:firstLineChars="200"/>
        <w:rPr>
          <w:rFonts w:eastAsia="方正仿宋_GBK"/>
          <w:b/>
          <w:bCs/>
          <w:sz w:val="32"/>
          <w:szCs w:val="32"/>
        </w:rPr>
      </w:pPr>
      <w:r>
        <w:rPr>
          <w:rFonts w:hint="eastAsia" w:eastAsia="方正仿宋_GBK"/>
          <w:b/>
          <w:bCs/>
          <w:sz w:val="32"/>
          <w:szCs w:val="32"/>
        </w:rPr>
        <w:t>1.立项依据充分性</w:t>
      </w:r>
    </w:p>
    <w:p w14:paraId="0481E905">
      <w:pPr>
        <w:spacing w:line="600" w:lineRule="exact"/>
        <w:ind w:firstLine="640" w:firstLineChars="200"/>
        <w:rPr>
          <w:rFonts w:eastAsia="方正仿宋_GBK"/>
          <w:bCs/>
          <w:iCs/>
          <w:sz w:val="32"/>
          <w:szCs w:val="32"/>
        </w:rPr>
      </w:pPr>
      <w:r>
        <w:rPr>
          <w:rFonts w:hint="eastAsia" w:eastAsia="方正仿宋_GBK"/>
          <w:bCs/>
          <w:iCs/>
          <w:sz w:val="32"/>
          <w:szCs w:val="32"/>
        </w:rPr>
        <w:t>本项目符合州农业农村局关于转发《关于印发&lt;2023年中央耕地地力保护补贴等2个项目实施方案&gt;的通知》的文件、区州县党委、人民政府部署要求，各级政府要拿出一定的财力，用于耕地地力保护补贴，主动适应全县农业生产发展新常态，以保障粮食等重要农产品有效供给和促进农民持续增收为重点，</w:t>
      </w:r>
      <w:r>
        <w:rPr>
          <w:rFonts w:hint="eastAsia"/>
          <w:sz w:val="32"/>
          <w:szCs w:val="32"/>
        </w:rPr>
        <w:t>实施依据充分。项目的实施符</w:t>
      </w:r>
      <w:r>
        <w:rPr>
          <w:rFonts w:hint="eastAsia" w:eastAsia="方正仿宋_GBK"/>
          <w:bCs/>
          <w:iCs/>
          <w:sz w:val="32"/>
          <w:szCs w:val="32"/>
        </w:rPr>
        <w:t>合中央经济工作会议、中央农村工作会议、自治区农业农村厅转发《2023年中央耕地地力保护补贴等2个项目实施方案》，与《焉耆县农业农村局工作职责》范围相符；属于公共财政支持范围，符合中央、地方事权支出责任划分原则；又因焉耆县负责农业方面工作的只有焉耆县农业农村局一个单位，因此与相关部门同类项目或部门内部相关项目不重复。</w:t>
      </w:r>
    </w:p>
    <w:p w14:paraId="06D512E7">
      <w:pPr>
        <w:spacing w:line="600" w:lineRule="exact"/>
        <w:ind w:firstLine="643" w:firstLineChars="200"/>
        <w:rPr>
          <w:b/>
          <w:bCs/>
          <w:sz w:val="32"/>
          <w:szCs w:val="32"/>
        </w:rPr>
      </w:pPr>
      <w:r>
        <w:rPr>
          <w:rFonts w:hint="eastAsia"/>
          <w:b/>
          <w:bCs/>
          <w:sz w:val="32"/>
          <w:szCs w:val="32"/>
        </w:rPr>
        <w:t>2.立项程序规范性</w:t>
      </w:r>
    </w:p>
    <w:p w14:paraId="3742D03B">
      <w:pPr>
        <w:spacing w:line="600" w:lineRule="exact"/>
        <w:ind w:firstLine="640" w:firstLineChars="200"/>
        <w:rPr>
          <w:rFonts w:eastAsia="方正仿宋_GBK"/>
          <w:sz w:val="32"/>
          <w:szCs w:val="32"/>
        </w:rPr>
      </w:pPr>
      <w:bookmarkStart w:id="10" w:name="_Toc7831"/>
      <w:r>
        <w:rPr>
          <w:rFonts w:eastAsia="方正仿宋_GBK"/>
          <w:sz w:val="32"/>
          <w:szCs w:val="32"/>
        </w:rPr>
        <w:t>本项目实施资料全，实施程序规范</w:t>
      </w:r>
      <w:r>
        <w:rPr>
          <w:rFonts w:hint="eastAsia" w:eastAsia="方正仿宋_GBK"/>
          <w:sz w:val="32"/>
          <w:szCs w:val="32"/>
        </w:rPr>
        <w:t>，根据州农业农村局、州财政局下发《关于提前下达2023年中央农业生产发展资金（耕地地力保护补贴）预算的通知》（巴财农〔2022〕57号）的文件要求，我县制定了《2023年焉耆县耕地地力保护补贴实施方案》；</w:t>
      </w:r>
      <w:r>
        <w:rPr>
          <w:rFonts w:eastAsia="方正仿宋_GBK"/>
          <w:sz w:val="32"/>
          <w:szCs w:val="32"/>
        </w:rPr>
        <w:t>审批文件、材料符合相关要求，事前已经过必要的集体决策，</w:t>
      </w:r>
      <w:r>
        <w:rPr>
          <w:rFonts w:hint="eastAsia" w:eastAsia="方正仿宋_GBK"/>
          <w:sz w:val="32"/>
          <w:szCs w:val="32"/>
        </w:rPr>
        <w:t xml:space="preserve">县农业农村局按照核实数据上报财政，县财政局根据耕地补贴面积基础数据和补贴发放清单负责通过“一卡通”向补贴对象兑付资金，该项目立项、实施程序规范。   </w:t>
      </w:r>
    </w:p>
    <w:bookmarkEnd w:id="10"/>
    <w:p w14:paraId="193B36A3">
      <w:pPr>
        <w:spacing w:line="360" w:lineRule="auto"/>
      </w:pPr>
      <w:r>
        <w:rPr>
          <w:rFonts w:hint="eastAsia"/>
        </w:rPr>
        <w:t>3、绩效目标合理性</w:t>
      </w:r>
    </w:p>
    <w:p w14:paraId="0FABBE78">
      <w:pPr>
        <w:spacing w:line="600" w:lineRule="exact"/>
        <w:ind w:firstLine="640" w:firstLineChars="200"/>
        <w:rPr>
          <w:sz w:val="32"/>
          <w:szCs w:val="32"/>
        </w:rPr>
      </w:pPr>
      <w:r>
        <w:rPr>
          <w:rFonts w:hint="eastAsia" w:eastAsia="方正仿宋_GBK"/>
          <w:sz w:val="32"/>
          <w:szCs w:val="32"/>
        </w:rPr>
        <w:t>本项目年初设立的项目绩效目标：由基层统计申报汇总的2023年全县小麦种植面积定案表，冬麦种植面积2.67万亩，春麦种植面积8.46万亩，设置的补贴面积，实际工作内容与绩效目标相关性较强，补贴标准、工作完成时间均由上级文件确定，绩效目标指标设置合理。项目完成后的实施效果良好，与产出效益相对应，因此项目产出效益和效果符合农户种粮积极性；本项目核拨资金1201.2万元，用于小麦种粮补贴，共计补贴资金1201.2万元，绩效目标与预算确定的项目投资额相匹配。</w:t>
      </w:r>
    </w:p>
    <w:p w14:paraId="4AB6BE5C">
      <w:pPr>
        <w:spacing w:line="360" w:lineRule="auto"/>
      </w:pPr>
      <w:r>
        <w:rPr>
          <w:rFonts w:hint="eastAsia"/>
        </w:rPr>
        <w:t>4、绩效指标明确性</w:t>
      </w:r>
    </w:p>
    <w:p w14:paraId="5FB1B52C">
      <w:pPr>
        <w:spacing w:line="600" w:lineRule="exact"/>
        <w:ind w:firstLine="640" w:firstLineChars="200"/>
        <w:rPr>
          <w:rFonts w:eastAsia="方正仿宋_GBK"/>
          <w:sz w:val="32"/>
          <w:szCs w:val="32"/>
        </w:rPr>
      </w:pPr>
      <w:bookmarkStart w:id="11" w:name="_Hlk68699917"/>
      <w:r>
        <w:rPr>
          <w:rFonts w:hint="eastAsia" w:eastAsia="方正仿宋_GBK"/>
          <w:sz w:val="32"/>
          <w:szCs w:val="32"/>
        </w:rPr>
        <w:t>2</w:t>
      </w:r>
      <w:r>
        <w:rPr>
          <w:rFonts w:eastAsia="方正仿宋_GBK"/>
          <w:sz w:val="32"/>
          <w:szCs w:val="32"/>
        </w:rPr>
        <w:t>02</w:t>
      </w:r>
      <w:r>
        <w:rPr>
          <w:rFonts w:hint="eastAsia" w:eastAsia="方正仿宋_GBK"/>
          <w:sz w:val="32"/>
          <w:szCs w:val="32"/>
        </w:rPr>
        <w:t>3</w:t>
      </w:r>
      <w:r>
        <w:rPr>
          <w:rFonts w:eastAsia="方正仿宋_GBK"/>
          <w:sz w:val="32"/>
          <w:szCs w:val="32"/>
        </w:rPr>
        <w:t xml:space="preserve"> </w:t>
      </w:r>
      <w:r>
        <w:rPr>
          <w:rFonts w:hint="eastAsia" w:eastAsia="方正仿宋_GBK"/>
          <w:sz w:val="32"/>
          <w:szCs w:val="32"/>
        </w:rPr>
        <w:t>年耕地地力保护补贴资金项目将项目绩效目标细化分解为具体的绩效指标，一级指标共4条，二级指标共</w:t>
      </w:r>
      <w:r>
        <w:rPr>
          <w:rFonts w:eastAsia="方正仿宋_GBK"/>
          <w:sz w:val="32"/>
          <w:szCs w:val="32"/>
        </w:rPr>
        <w:t>6</w:t>
      </w:r>
      <w:r>
        <w:rPr>
          <w:rFonts w:hint="eastAsia" w:eastAsia="方正仿宋_GBK"/>
          <w:sz w:val="32"/>
          <w:szCs w:val="32"/>
        </w:rPr>
        <w:t>条，三级指标共7条，其中量化指标条数共6条，所有绩效指标均通过清晰、可衡量的指标值予以体现，并且做到了与项目目标任务数或计划数相对应。</w:t>
      </w:r>
      <w:bookmarkEnd w:id="11"/>
    </w:p>
    <w:p w14:paraId="3F804C73">
      <w:pPr>
        <w:spacing w:line="360" w:lineRule="auto"/>
      </w:pPr>
      <w:r>
        <w:rPr>
          <w:rFonts w:hint="eastAsia"/>
        </w:rPr>
        <w:t>5、预算编制科学性</w:t>
      </w:r>
    </w:p>
    <w:p w14:paraId="3801AE18">
      <w:pPr>
        <w:spacing w:line="600" w:lineRule="exact"/>
        <w:ind w:firstLine="640" w:firstLineChars="200"/>
        <w:rPr>
          <w:rFonts w:eastAsia="方正仿宋_GBK"/>
          <w:sz w:val="32"/>
          <w:szCs w:val="32"/>
        </w:rPr>
      </w:pPr>
      <w:r>
        <w:rPr>
          <w:rFonts w:eastAsia="方正仿宋_GBK"/>
          <w:sz w:val="32"/>
          <w:szCs w:val="32"/>
        </w:rPr>
        <w:t>本项目预算资金</w:t>
      </w:r>
      <w:r>
        <w:rPr>
          <w:rFonts w:hint="eastAsia" w:eastAsia="方正仿宋_GBK"/>
          <w:sz w:val="32"/>
          <w:szCs w:val="32"/>
        </w:rPr>
        <w:t>1201.2</w:t>
      </w:r>
      <w:r>
        <w:rPr>
          <w:rFonts w:eastAsia="方正仿宋_GBK"/>
          <w:sz w:val="32"/>
          <w:szCs w:val="32"/>
        </w:rPr>
        <w:t>万元，来源为中央</w:t>
      </w:r>
      <w:r>
        <w:rPr>
          <w:rFonts w:hint="eastAsia" w:eastAsia="方正仿宋_GBK"/>
          <w:sz w:val="32"/>
          <w:szCs w:val="32"/>
        </w:rPr>
        <w:t>专项转移</w:t>
      </w:r>
      <w:r>
        <w:rPr>
          <w:rFonts w:eastAsia="方正仿宋_GBK"/>
          <w:sz w:val="32"/>
          <w:szCs w:val="32"/>
        </w:rPr>
        <w:t>资金</w:t>
      </w:r>
      <w:r>
        <w:rPr>
          <w:rFonts w:hint="eastAsia" w:eastAsia="方正仿宋_GBK"/>
          <w:sz w:val="32"/>
          <w:szCs w:val="32"/>
        </w:rPr>
        <w:t>1201.2</w:t>
      </w:r>
      <w:r>
        <w:rPr>
          <w:rFonts w:eastAsia="方正仿宋_GBK"/>
          <w:sz w:val="32"/>
          <w:szCs w:val="32"/>
        </w:rPr>
        <w:t>万元，预算编制较为科学，预算内容与项目实施内容相匹配，预算额度测算依据充分，预算确定的资金量与耕地地力保护补贴工作量相匹配</w:t>
      </w:r>
      <w:r>
        <w:rPr>
          <w:rFonts w:hint="eastAsia" w:eastAsia="方正仿宋_GBK"/>
          <w:sz w:val="32"/>
          <w:szCs w:val="32"/>
        </w:rPr>
        <w:t>.。</w:t>
      </w:r>
    </w:p>
    <w:p w14:paraId="3380B226">
      <w:pPr>
        <w:spacing w:line="360" w:lineRule="auto"/>
      </w:pPr>
      <w:r>
        <w:rPr>
          <w:rFonts w:hint="eastAsia"/>
        </w:rPr>
        <w:t>6、资金分配合理性</w:t>
      </w:r>
    </w:p>
    <w:p w14:paraId="6B3F3711">
      <w:pPr>
        <w:spacing w:line="600" w:lineRule="exact"/>
        <w:ind w:firstLine="600" w:firstLineChars="200"/>
      </w:pPr>
      <w:r>
        <w:rPr>
          <w:rFonts w:eastAsia="方正仿宋_GBK"/>
        </w:rPr>
        <w:t>本项目预算资金分配依据充分；资金分配额度合理，与项目单位实际相适应。</w:t>
      </w:r>
      <w:r>
        <w:rPr>
          <w:rFonts w:hint="eastAsia" w:eastAsia="方正仿宋_GBK"/>
        </w:rPr>
        <w:t>自治州财政局《关于提前下达2023年中央农业生产发展资金（耕地地力保护补贴）预算的通知》（巴财农〔2022〕57号）、《关于下达2023年中央耕地建设与利用资金预算的通知》（新财农[2023]33号）文件精神，补贴标准：中央财政安排耕地地力保护补贴资金，对种植冬小麦的耕地，每亩补贴220元；对种植春小麦的耕地，每亩补贴115元。自治区财政安排农业生产发展（耕地地力保护补贴）资金在补齐中央财政耕地地力保护补贴资金缺口后，实施小麦种植一次性补贴，对种植冬小麦的耕地，每亩补贴10元；对种植春小麦的耕地，每亩补贴115元。地方配套资金在实现小麦种植应补尽补。</w:t>
      </w:r>
    </w:p>
    <w:p w14:paraId="73306A27">
      <w:pPr>
        <w:pStyle w:val="5"/>
        <w:spacing w:line="360" w:lineRule="auto"/>
        <w:rPr>
          <w:rFonts w:ascii="仿宋_GB2312" w:eastAsia="仿宋_GB2312"/>
          <w:b w:val="0"/>
          <w:bCs w:val="0"/>
        </w:rPr>
      </w:pPr>
      <w:bookmarkStart w:id="12" w:name="_Toc68703839"/>
      <w:r>
        <w:rPr>
          <w:rFonts w:hint="eastAsia" w:ascii="仿宋_GB2312" w:eastAsia="仿宋_GB2312"/>
          <w:b w:val="0"/>
          <w:bCs w:val="0"/>
        </w:rPr>
        <w:t>（二）项目过程情况。</w:t>
      </w:r>
      <w:bookmarkEnd w:id="12"/>
    </w:p>
    <w:p w14:paraId="2365586D">
      <w:pPr>
        <w:spacing w:line="360" w:lineRule="auto"/>
      </w:pPr>
      <w:r>
        <w:rPr>
          <w:rFonts w:hint="eastAsia"/>
        </w:rPr>
        <w:t>1、资金到位率：</w:t>
      </w:r>
    </w:p>
    <w:p w14:paraId="01FE03A0">
      <w:pPr>
        <w:spacing w:line="600" w:lineRule="exact"/>
        <w:ind w:firstLine="600" w:firstLineChars="200"/>
        <w:rPr>
          <w:rFonts w:eastAsia="方正仿宋_GBK"/>
        </w:rPr>
      </w:pPr>
      <w:r>
        <w:rPr>
          <w:rFonts w:hint="eastAsia" w:eastAsia="方正仿宋_GBK"/>
        </w:rPr>
        <w:t>实际到位资金</w:t>
      </w:r>
      <w:r>
        <w:rPr>
          <w:rFonts w:eastAsia="方正仿宋_GBK"/>
        </w:rPr>
        <w:t xml:space="preserve"> </w:t>
      </w:r>
      <w:r>
        <w:rPr>
          <w:rFonts w:hint="eastAsia" w:eastAsia="方正仿宋_GBK"/>
        </w:rPr>
        <w:t>1201.2</w:t>
      </w:r>
      <w:r>
        <w:rPr>
          <w:rFonts w:eastAsia="方正仿宋_GBK"/>
        </w:rPr>
        <w:t xml:space="preserve"> </w:t>
      </w:r>
      <w:r>
        <w:rPr>
          <w:rFonts w:hint="eastAsia" w:eastAsia="方正仿宋_GBK"/>
        </w:rPr>
        <w:t>万元，预算资金1201.2</w:t>
      </w:r>
      <w:r>
        <w:rPr>
          <w:rFonts w:eastAsia="方正仿宋_GBK"/>
        </w:rPr>
        <w:t xml:space="preserve"> </w:t>
      </w:r>
      <w:r>
        <w:rPr>
          <w:rFonts w:hint="eastAsia" w:eastAsia="方正仿宋_GBK"/>
        </w:rPr>
        <w:t>万元，资金到位率</w:t>
      </w:r>
      <w:r>
        <w:rPr>
          <w:rFonts w:eastAsia="方正仿宋_GBK"/>
        </w:rPr>
        <w:t>100</w:t>
      </w:r>
      <w:r>
        <w:rPr>
          <w:rFonts w:hint="eastAsia" w:eastAsia="方正仿宋_GBK"/>
        </w:rPr>
        <w:t>%（资金到位率=（实际到位资金/预算资金）×100%）</w:t>
      </w:r>
    </w:p>
    <w:p w14:paraId="08DDC32E">
      <w:pPr>
        <w:spacing w:line="360" w:lineRule="auto"/>
      </w:pPr>
      <w:r>
        <w:rPr>
          <w:rFonts w:hint="eastAsia"/>
        </w:rPr>
        <w:t>2、预算执行率</w:t>
      </w:r>
    </w:p>
    <w:p w14:paraId="3E957C14">
      <w:pPr>
        <w:spacing w:line="600" w:lineRule="exact"/>
        <w:ind w:firstLine="600" w:firstLineChars="200"/>
        <w:rPr>
          <w:rFonts w:eastAsia="方正仿宋_GBK"/>
        </w:rPr>
      </w:pPr>
      <w:r>
        <w:rPr>
          <w:rFonts w:hint="eastAsia" w:eastAsia="方正仿宋_GBK"/>
        </w:rPr>
        <w:t>年初预算数</w:t>
      </w:r>
      <w:r>
        <w:rPr>
          <w:rFonts w:eastAsia="方正仿宋_GBK"/>
        </w:rPr>
        <w:t xml:space="preserve"> </w:t>
      </w:r>
      <w:r>
        <w:rPr>
          <w:rFonts w:hint="eastAsia" w:eastAsia="方正仿宋_GBK"/>
        </w:rPr>
        <w:t>1201.2</w:t>
      </w:r>
      <w:r>
        <w:rPr>
          <w:rFonts w:eastAsia="方正仿宋_GBK"/>
        </w:rPr>
        <w:t xml:space="preserve"> </w:t>
      </w:r>
      <w:r>
        <w:rPr>
          <w:rFonts w:hint="eastAsia" w:eastAsia="方正仿宋_GBK"/>
        </w:rPr>
        <w:t>万元，全年预算数1201.2</w:t>
      </w:r>
      <w:r>
        <w:rPr>
          <w:rFonts w:eastAsia="方正仿宋_GBK"/>
        </w:rPr>
        <w:t xml:space="preserve"> </w:t>
      </w:r>
      <w:r>
        <w:rPr>
          <w:rFonts w:hint="eastAsia" w:eastAsia="方正仿宋_GBK"/>
        </w:rPr>
        <w:t xml:space="preserve">万元（有年中追加资金，全年预算数=年初预算数+追加资金），全年执行数 </w:t>
      </w:r>
      <w:r>
        <w:rPr>
          <w:rFonts w:eastAsia="方正仿宋_GBK"/>
        </w:rPr>
        <w:t xml:space="preserve">    </w:t>
      </w:r>
      <w:r>
        <w:rPr>
          <w:rFonts w:hint="eastAsia" w:eastAsia="方正仿宋_GBK"/>
        </w:rPr>
        <w:t>1201.2</w:t>
      </w:r>
      <w:r>
        <w:rPr>
          <w:rFonts w:eastAsia="方正仿宋_GBK"/>
        </w:rPr>
        <w:t xml:space="preserve"> </w:t>
      </w:r>
      <w:r>
        <w:rPr>
          <w:rFonts w:hint="eastAsia" w:eastAsia="方正仿宋_GBK"/>
        </w:rPr>
        <w:t>万元，预算执行率为</w:t>
      </w:r>
      <w:r>
        <w:rPr>
          <w:rFonts w:eastAsia="方正仿宋_GBK"/>
        </w:rPr>
        <w:t>100</w:t>
      </w:r>
      <w:r>
        <w:rPr>
          <w:rFonts w:hint="eastAsia" w:eastAsia="方正仿宋_GBK"/>
        </w:rPr>
        <w:t>%（预算执行率=全年执行数/全年预算数）。</w:t>
      </w:r>
    </w:p>
    <w:p w14:paraId="07C5D6DD">
      <w:pPr>
        <w:spacing w:line="360" w:lineRule="auto"/>
      </w:pPr>
      <w:r>
        <w:rPr>
          <w:rFonts w:hint="eastAsia"/>
        </w:rPr>
        <w:t>3、资金使用合规性</w:t>
      </w:r>
    </w:p>
    <w:p w14:paraId="4BD08B0A">
      <w:pPr>
        <w:spacing w:line="540" w:lineRule="exact"/>
        <w:ind w:firstLine="640" w:firstLineChars="200"/>
        <w:rPr>
          <w:rFonts w:eastAsia="方正仿宋_GBK"/>
          <w:bCs/>
          <w:sz w:val="32"/>
          <w:szCs w:val="32"/>
        </w:rPr>
      </w:pPr>
      <w:r>
        <w:rPr>
          <w:rFonts w:eastAsia="方正仿宋_GBK"/>
          <w:bCs/>
          <w:sz w:val="32"/>
          <w:szCs w:val="32"/>
        </w:rPr>
        <w:t>本项目资金的使用符合《中华人民共和国预算法》、《中华人民共和国会计法》等国家有关财经法规以及预算管理制度。资金的审批和拨付按照《</w:t>
      </w:r>
      <w:r>
        <w:rPr>
          <w:rFonts w:hint="eastAsia" w:eastAsia="方正仿宋_GBK"/>
          <w:bCs/>
          <w:sz w:val="32"/>
          <w:szCs w:val="32"/>
        </w:rPr>
        <w:t>焉耆</w:t>
      </w:r>
      <w:r>
        <w:rPr>
          <w:rFonts w:eastAsia="方正仿宋_GBK"/>
          <w:bCs/>
          <w:sz w:val="32"/>
          <w:szCs w:val="32"/>
        </w:rPr>
        <w:t>县财政资金审批管理办法》执行，有完整的审批程序和手续，不存在截留、挤占、挪用、虚列支出等情况。</w:t>
      </w:r>
    </w:p>
    <w:p w14:paraId="1A72E5A9">
      <w:pPr>
        <w:spacing w:line="360" w:lineRule="auto"/>
      </w:pPr>
      <w:r>
        <w:rPr>
          <w:rFonts w:hint="eastAsia"/>
        </w:rPr>
        <w:t>4、管理制度健全性</w:t>
      </w:r>
    </w:p>
    <w:p w14:paraId="44E154DE">
      <w:pPr>
        <w:spacing w:line="540" w:lineRule="exact"/>
        <w:ind w:firstLine="640" w:firstLineChars="200"/>
        <w:rPr>
          <w:rFonts w:eastAsia="方正仿宋_GBK"/>
          <w:bCs/>
          <w:sz w:val="32"/>
          <w:szCs w:val="32"/>
        </w:rPr>
      </w:pPr>
      <w:r>
        <w:rPr>
          <w:rFonts w:hint="eastAsia" w:eastAsia="方正仿宋_GBK"/>
          <w:bCs/>
          <w:sz w:val="32"/>
          <w:szCs w:val="32"/>
        </w:rPr>
        <w:t>焉耆</w:t>
      </w:r>
      <w:r>
        <w:rPr>
          <w:rFonts w:eastAsia="方正仿宋_GBK"/>
          <w:bCs/>
          <w:sz w:val="32"/>
          <w:szCs w:val="32"/>
        </w:rPr>
        <w:t>县农业农村局制定了《</w:t>
      </w:r>
      <w:r>
        <w:rPr>
          <w:rFonts w:hint="eastAsia" w:eastAsia="方正仿宋_GBK"/>
          <w:bCs/>
          <w:sz w:val="32"/>
          <w:szCs w:val="32"/>
        </w:rPr>
        <w:t>焉耆</w:t>
      </w:r>
      <w:r>
        <w:rPr>
          <w:rFonts w:eastAsia="方正仿宋_GBK"/>
          <w:bCs/>
          <w:sz w:val="32"/>
          <w:szCs w:val="32"/>
        </w:rPr>
        <w:t>县农业农村局财务管理办法》和《</w:t>
      </w:r>
      <w:r>
        <w:rPr>
          <w:rFonts w:hint="eastAsia" w:eastAsia="方正仿宋_GBK"/>
          <w:bCs/>
          <w:sz w:val="32"/>
          <w:szCs w:val="32"/>
        </w:rPr>
        <w:t>焉耆</w:t>
      </w:r>
      <w:r>
        <w:rPr>
          <w:rFonts w:eastAsia="方正仿宋_GBK"/>
          <w:bCs/>
          <w:sz w:val="32"/>
          <w:szCs w:val="32"/>
        </w:rPr>
        <w:t>县农业农村局内控管理制度》，对项目实施与实施、组织与管理、跟踪与验收、监督与评价以及资金管理等方面都做出明确的规范要的求。同时，项目的实施严格遵守《中华人民共和国预算法》、《中华人民共和国会计法》等法律法规、财经制度的要求。</w:t>
      </w:r>
    </w:p>
    <w:p w14:paraId="1381A5A3">
      <w:pPr>
        <w:spacing w:line="360" w:lineRule="auto"/>
        <w:ind w:firstLine="600" w:firstLineChars="200"/>
      </w:pPr>
      <w:r>
        <w:rPr>
          <w:rFonts w:hint="eastAsia"/>
        </w:rPr>
        <w:t>5、制度执行有效性</w:t>
      </w:r>
    </w:p>
    <w:p w14:paraId="5877DD80">
      <w:pPr>
        <w:spacing w:line="540" w:lineRule="exact"/>
        <w:ind w:firstLine="640" w:firstLineChars="200"/>
        <w:rPr>
          <w:rFonts w:eastAsia="方正仿宋_GBK"/>
          <w:bCs/>
          <w:sz w:val="32"/>
          <w:szCs w:val="32"/>
        </w:rPr>
      </w:pPr>
      <w:bookmarkStart w:id="13" w:name="_Toc68703840"/>
      <w:r>
        <w:rPr>
          <w:rFonts w:hint="eastAsia" w:eastAsia="方正仿宋_GBK"/>
          <w:bCs/>
          <w:sz w:val="32"/>
          <w:szCs w:val="32"/>
        </w:rPr>
        <w:t>该项目遵守相关法律法规和相关管理规定；项目调整及支出调整手续完备；补贴资料齐全并及时归档；项目实施的人员条件、场地设备等落实到位。</w:t>
      </w:r>
    </w:p>
    <w:p w14:paraId="523338A2">
      <w:pPr>
        <w:pStyle w:val="5"/>
        <w:spacing w:line="360" w:lineRule="auto"/>
        <w:rPr>
          <w:rFonts w:ascii="仿宋_GB2312" w:eastAsia="仿宋_GB2312"/>
          <w:b w:val="0"/>
          <w:bCs w:val="0"/>
        </w:rPr>
      </w:pPr>
      <w:r>
        <w:rPr>
          <w:rFonts w:hint="eastAsia" w:ascii="仿宋_GB2312" w:eastAsia="仿宋_GB2312"/>
          <w:b w:val="0"/>
          <w:bCs w:val="0"/>
        </w:rPr>
        <w:t>（三）项目产出情况。</w:t>
      </w:r>
      <w:bookmarkEnd w:id="13"/>
    </w:p>
    <w:p w14:paraId="0E649AC1">
      <w:pPr>
        <w:spacing w:line="540" w:lineRule="exact"/>
        <w:ind w:firstLine="640" w:firstLineChars="200"/>
        <w:rPr>
          <w:rFonts w:eastAsia="方正仿宋_GBK"/>
          <w:bCs/>
          <w:sz w:val="32"/>
          <w:szCs w:val="32"/>
        </w:rPr>
      </w:pPr>
      <w:r>
        <w:rPr>
          <w:rFonts w:hint="eastAsia" w:eastAsia="方正仿宋_GBK"/>
          <w:bCs/>
          <w:sz w:val="32"/>
          <w:szCs w:val="32"/>
        </w:rPr>
        <w:t>1、产出数量指标：指标1：补贴面积，指标值5.22万亩，实际完成值5.22万亩，</w:t>
      </w:r>
      <w:bookmarkStart w:id="14" w:name="_Hlk166750909"/>
      <w:r>
        <w:rPr>
          <w:rFonts w:hint="eastAsia" w:eastAsia="方正仿宋_GBK"/>
          <w:bCs/>
          <w:sz w:val="32"/>
          <w:szCs w:val="32"/>
        </w:rPr>
        <w:t>指标完成率</w:t>
      </w:r>
      <w:r>
        <w:rPr>
          <w:rFonts w:eastAsia="方正仿宋_GBK"/>
          <w:bCs/>
          <w:sz w:val="32"/>
          <w:szCs w:val="32"/>
        </w:rPr>
        <w:t>100</w:t>
      </w:r>
      <w:r>
        <w:rPr>
          <w:rFonts w:hint="eastAsia" w:eastAsia="方正仿宋_GBK"/>
          <w:bCs/>
          <w:sz w:val="32"/>
          <w:szCs w:val="32"/>
        </w:rPr>
        <w:t>%</w:t>
      </w:r>
      <w:bookmarkEnd w:id="14"/>
      <w:r>
        <w:rPr>
          <w:rFonts w:hint="eastAsia" w:eastAsia="方正仿宋_GBK"/>
          <w:bCs/>
          <w:sz w:val="32"/>
          <w:szCs w:val="32"/>
        </w:rPr>
        <w:t>；</w:t>
      </w:r>
    </w:p>
    <w:p w14:paraId="5C7AE9EB">
      <w:pPr>
        <w:spacing w:line="540" w:lineRule="exact"/>
        <w:ind w:firstLine="640" w:firstLineChars="200"/>
        <w:rPr>
          <w:rFonts w:hint="eastAsia" w:eastAsia="方正仿宋_GBK"/>
          <w:bCs/>
          <w:sz w:val="32"/>
          <w:szCs w:val="32"/>
        </w:rPr>
      </w:pPr>
      <w:r>
        <w:rPr>
          <w:rFonts w:hint="eastAsia" w:eastAsia="方正仿宋_GBK"/>
          <w:bCs/>
          <w:sz w:val="32"/>
          <w:szCs w:val="32"/>
        </w:rPr>
        <w:t>指标2 ：补贴发放次数，指标值1次，实际完成值1次，指标完成率</w:t>
      </w:r>
      <w:r>
        <w:rPr>
          <w:rFonts w:eastAsia="方正仿宋_GBK"/>
          <w:bCs/>
          <w:sz w:val="32"/>
          <w:szCs w:val="32"/>
        </w:rPr>
        <w:t>100</w:t>
      </w:r>
      <w:r>
        <w:rPr>
          <w:rFonts w:hint="eastAsia" w:eastAsia="方正仿宋_GBK"/>
          <w:bCs/>
          <w:sz w:val="32"/>
          <w:szCs w:val="32"/>
        </w:rPr>
        <w:t>%</w:t>
      </w:r>
    </w:p>
    <w:p w14:paraId="3CDC06E5">
      <w:pPr>
        <w:spacing w:line="540" w:lineRule="exact"/>
        <w:ind w:firstLine="640" w:firstLineChars="200"/>
        <w:rPr>
          <w:rFonts w:eastAsia="方正仿宋_GBK"/>
          <w:bCs/>
          <w:sz w:val="32"/>
          <w:szCs w:val="32"/>
        </w:rPr>
      </w:pPr>
      <w:r>
        <w:rPr>
          <w:rFonts w:hint="eastAsia" w:eastAsia="方正仿宋_GBK"/>
          <w:bCs/>
          <w:sz w:val="32"/>
          <w:szCs w:val="32"/>
        </w:rPr>
        <w:t>2质量指标：补贴发放准确率，</w:t>
      </w:r>
      <w:bookmarkStart w:id="15" w:name="_Hlk98607777"/>
      <w:r>
        <w:rPr>
          <w:rFonts w:hint="eastAsia" w:eastAsia="方正仿宋_GBK"/>
          <w:bCs/>
          <w:sz w:val="32"/>
          <w:szCs w:val="32"/>
        </w:rPr>
        <w:t xml:space="preserve">指标值： </w:t>
      </w:r>
      <w:r>
        <w:rPr>
          <w:rFonts w:eastAsia="方正仿宋_GBK"/>
          <w:bCs/>
          <w:sz w:val="32"/>
          <w:szCs w:val="32"/>
        </w:rPr>
        <w:t>100</w:t>
      </w:r>
      <w:r>
        <w:rPr>
          <w:rFonts w:hint="eastAsia" w:eastAsia="方正仿宋_GBK"/>
          <w:bCs/>
          <w:sz w:val="32"/>
          <w:szCs w:val="32"/>
        </w:rPr>
        <w:t>%</w:t>
      </w:r>
      <w:r>
        <w:rPr>
          <w:rFonts w:eastAsia="方正仿宋_GBK"/>
          <w:bCs/>
          <w:sz w:val="32"/>
          <w:szCs w:val="32"/>
        </w:rPr>
        <w:t xml:space="preserve">   </w:t>
      </w:r>
      <w:r>
        <w:rPr>
          <w:rFonts w:hint="eastAsia" w:eastAsia="方正仿宋_GBK"/>
          <w:bCs/>
          <w:sz w:val="32"/>
          <w:szCs w:val="32"/>
        </w:rPr>
        <w:t>，实际完成值100%</w:t>
      </w:r>
      <w:bookmarkStart w:id="16" w:name="_Hlk98607678"/>
      <w:r>
        <w:rPr>
          <w:rFonts w:hint="eastAsia" w:eastAsia="方正仿宋_GBK"/>
          <w:bCs/>
          <w:sz w:val="32"/>
          <w:szCs w:val="32"/>
        </w:rPr>
        <w:t>；</w:t>
      </w:r>
      <w:bookmarkEnd w:id="15"/>
      <w:bookmarkEnd w:id="16"/>
    </w:p>
    <w:p w14:paraId="1A5D1447">
      <w:pPr>
        <w:spacing w:line="540" w:lineRule="exact"/>
        <w:ind w:firstLine="640" w:firstLineChars="200"/>
        <w:rPr>
          <w:rFonts w:eastAsia="方正仿宋_GBK"/>
          <w:bCs/>
          <w:sz w:val="32"/>
          <w:szCs w:val="32"/>
        </w:rPr>
      </w:pPr>
      <w:r>
        <w:rPr>
          <w:rFonts w:hint="eastAsia" w:eastAsia="方正仿宋_GBK"/>
          <w:bCs/>
          <w:sz w:val="32"/>
          <w:szCs w:val="32"/>
        </w:rPr>
        <w:t>3</w:t>
      </w:r>
      <w:r>
        <w:rPr>
          <w:rFonts w:eastAsia="方正仿宋_GBK"/>
          <w:bCs/>
          <w:sz w:val="32"/>
          <w:szCs w:val="32"/>
        </w:rPr>
        <w:t>.</w:t>
      </w:r>
      <w:r>
        <w:rPr>
          <w:rFonts w:hint="eastAsia" w:eastAsia="方正仿宋_GBK"/>
          <w:bCs/>
          <w:sz w:val="32"/>
          <w:szCs w:val="32"/>
        </w:rPr>
        <w:t>时效指标：补贴开始时间：指标值2</w:t>
      </w:r>
      <w:r>
        <w:rPr>
          <w:rFonts w:eastAsia="方正仿宋_GBK"/>
          <w:bCs/>
          <w:sz w:val="32"/>
          <w:szCs w:val="32"/>
        </w:rPr>
        <w:t>02</w:t>
      </w:r>
      <w:r>
        <w:rPr>
          <w:rFonts w:hint="eastAsia" w:eastAsia="方正仿宋_GBK"/>
          <w:bCs/>
          <w:sz w:val="32"/>
          <w:szCs w:val="32"/>
        </w:rPr>
        <w:t>4年1月，完成值2</w:t>
      </w:r>
      <w:r>
        <w:rPr>
          <w:rFonts w:eastAsia="方正仿宋_GBK"/>
          <w:bCs/>
          <w:sz w:val="32"/>
          <w:szCs w:val="32"/>
        </w:rPr>
        <w:t>02</w:t>
      </w:r>
      <w:r>
        <w:rPr>
          <w:rFonts w:hint="eastAsia" w:eastAsia="方正仿宋_GBK"/>
          <w:bCs/>
          <w:sz w:val="32"/>
          <w:szCs w:val="32"/>
        </w:rPr>
        <w:t>3年7月。指标完成率100</w:t>
      </w:r>
      <w:r>
        <w:rPr>
          <w:rFonts w:eastAsia="方正仿宋_GBK"/>
          <w:bCs/>
          <w:sz w:val="32"/>
          <w:szCs w:val="32"/>
        </w:rPr>
        <w:t xml:space="preserve"> </w:t>
      </w:r>
      <w:r>
        <w:rPr>
          <w:rFonts w:hint="eastAsia" w:eastAsia="方正仿宋_GBK"/>
          <w:bCs/>
          <w:sz w:val="32"/>
          <w:szCs w:val="32"/>
        </w:rPr>
        <w:t>%；</w:t>
      </w:r>
    </w:p>
    <w:p w14:paraId="1210771F">
      <w:pPr>
        <w:spacing w:line="540" w:lineRule="exact"/>
        <w:ind w:firstLine="640" w:firstLineChars="200"/>
        <w:rPr>
          <w:rFonts w:eastAsia="方正仿宋_GBK"/>
          <w:bCs/>
          <w:sz w:val="32"/>
          <w:szCs w:val="32"/>
        </w:rPr>
      </w:pPr>
      <w:r>
        <w:rPr>
          <w:rFonts w:hint="eastAsia" w:eastAsia="方正仿宋_GBK"/>
          <w:bCs/>
          <w:sz w:val="32"/>
          <w:szCs w:val="32"/>
        </w:rPr>
        <w:t>4.成本指标：每亩补助标准：指标值： ≤230元</w:t>
      </w:r>
      <w:r>
        <w:rPr>
          <w:rFonts w:eastAsia="方正仿宋_GBK"/>
          <w:bCs/>
          <w:sz w:val="32"/>
          <w:szCs w:val="32"/>
        </w:rPr>
        <w:t xml:space="preserve"> </w:t>
      </w:r>
      <w:r>
        <w:rPr>
          <w:rFonts w:hint="eastAsia" w:eastAsia="方正仿宋_GBK"/>
          <w:bCs/>
          <w:sz w:val="32"/>
          <w:szCs w:val="32"/>
        </w:rPr>
        <w:t>，实际完成值 ≤230元，指标完成率</w:t>
      </w:r>
      <w:r>
        <w:rPr>
          <w:rFonts w:eastAsia="方正仿宋_GBK"/>
          <w:bCs/>
          <w:sz w:val="32"/>
          <w:szCs w:val="32"/>
        </w:rPr>
        <w:t xml:space="preserve"> 100</w:t>
      </w:r>
      <w:r>
        <w:rPr>
          <w:rFonts w:hint="eastAsia" w:eastAsia="方正仿宋_GBK"/>
          <w:bCs/>
          <w:sz w:val="32"/>
          <w:szCs w:val="32"/>
        </w:rPr>
        <w:t>%。</w:t>
      </w:r>
    </w:p>
    <w:p w14:paraId="7B07F274">
      <w:pPr>
        <w:spacing w:line="360" w:lineRule="auto"/>
        <w:ind w:firstLine="600" w:firstLineChars="200"/>
        <w:rPr>
          <w:rFonts w:ascii="仿宋_GB2312"/>
        </w:rPr>
      </w:pPr>
      <w:bookmarkStart w:id="17" w:name="_Toc68703841"/>
      <w:r>
        <w:rPr>
          <w:rFonts w:hint="eastAsia" w:ascii="仿宋_GB2312"/>
        </w:rPr>
        <w:t>（四）项目效益情况</w:t>
      </w:r>
    </w:p>
    <w:bookmarkEnd w:id="17"/>
    <w:p w14:paraId="44B04CF5">
      <w:pPr>
        <w:spacing w:line="540" w:lineRule="exact"/>
        <w:ind w:firstLine="640" w:firstLineChars="200"/>
        <w:rPr>
          <w:rFonts w:eastAsia="方正仿宋_GBK"/>
          <w:bCs/>
          <w:sz w:val="32"/>
          <w:szCs w:val="32"/>
        </w:rPr>
      </w:pPr>
      <w:r>
        <w:rPr>
          <w:rFonts w:hint="eastAsia" w:eastAsia="方正仿宋_GBK"/>
          <w:bCs/>
          <w:sz w:val="32"/>
          <w:szCs w:val="32"/>
        </w:rPr>
        <w:t>5.效益指标：指标</w:t>
      </w:r>
      <w:r>
        <w:rPr>
          <w:rFonts w:eastAsia="方正仿宋_GBK"/>
          <w:bCs/>
          <w:sz w:val="32"/>
          <w:szCs w:val="32"/>
        </w:rPr>
        <w:t>1</w:t>
      </w:r>
      <w:r>
        <w:rPr>
          <w:rFonts w:hint="eastAsia" w:eastAsia="方正仿宋_GBK"/>
          <w:bCs/>
          <w:sz w:val="32"/>
          <w:szCs w:val="32"/>
        </w:rPr>
        <w:t>社会效益指标：提高农民种粮积极性</w:t>
      </w:r>
      <w:r>
        <w:rPr>
          <w:rFonts w:eastAsia="方正仿宋_GBK"/>
          <w:bCs/>
          <w:sz w:val="32"/>
          <w:szCs w:val="32"/>
        </w:rPr>
        <w:t xml:space="preserve"> </w:t>
      </w:r>
      <w:r>
        <w:rPr>
          <w:rFonts w:hint="eastAsia" w:eastAsia="方正仿宋_GBK"/>
          <w:bCs/>
          <w:sz w:val="32"/>
          <w:szCs w:val="32"/>
        </w:rPr>
        <w:t>，实际完成值：达成目标，指标完成率100%。</w:t>
      </w:r>
    </w:p>
    <w:p w14:paraId="23264D25">
      <w:pPr>
        <w:ind w:firstLine="600" w:firstLineChars="200"/>
        <w:contextualSpacing/>
        <w:rPr>
          <w:rFonts w:hint="eastAsia" w:ascii="仿宋_GB2312" w:hAnsi="仿宋" w:cs="宋体"/>
          <w:color w:val="333333"/>
          <w:sz w:val="32"/>
          <w:szCs w:val="32"/>
        </w:rPr>
      </w:pPr>
      <w:r>
        <w:rPr>
          <w:rFonts w:hint="eastAsia"/>
        </w:rPr>
        <w:t>6.满意度指标：</w:t>
      </w:r>
      <w:r>
        <w:rPr>
          <w:rFonts w:hint="eastAsia" w:ascii="仿宋_GB2312" w:hAnsi="仿宋" w:cs="宋体"/>
          <w:color w:val="333333"/>
          <w:sz w:val="32"/>
          <w:szCs w:val="32"/>
        </w:rPr>
        <w:t>享受补贴农户满意度指标值：≥100%，实际完成值100%。</w:t>
      </w:r>
    </w:p>
    <w:p w14:paraId="7BC46373">
      <w:pPr>
        <w:pStyle w:val="4"/>
        <w:spacing w:line="36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14:paraId="38282FD5">
      <w:pPr>
        <w:pStyle w:val="5"/>
        <w:spacing w:line="360" w:lineRule="auto"/>
        <w:rPr>
          <w:rFonts w:ascii="仿宋_GB2312" w:eastAsia="仿宋_GB2312"/>
          <w:b w:val="0"/>
          <w:bCs w:val="0"/>
        </w:rPr>
      </w:pPr>
      <w:bookmarkStart w:id="19" w:name="_Toc68703843"/>
      <w:r>
        <w:rPr>
          <w:rFonts w:hint="eastAsia" w:ascii="仿宋_GB2312" w:eastAsia="仿宋_GB2312"/>
          <w:b w:val="0"/>
          <w:bCs w:val="0"/>
        </w:rPr>
        <w:t>（一）主要经验及做法</w:t>
      </w:r>
      <w:bookmarkEnd w:id="19"/>
    </w:p>
    <w:p w14:paraId="78BFDE5C">
      <w:pPr>
        <w:spacing w:line="540" w:lineRule="exact"/>
        <w:ind w:firstLine="640" w:firstLineChars="200"/>
        <w:rPr>
          <w:rFonts w:eastAsia="方正仿宋_GBK"/>
          <w:bCs/>
          <w:sz w:val="32"/>
          <w:szCs w:val="32"/>
        </w:rPr>
      </w:pPr>
      <w:r>
        <w:rPr>
          <w:rFonts w:hint="eastAsia" w:eastAsia="方正仿宋_GBK"/>
          <w:bCs/>
          <w:sz w:val="32"/>
          <w:szCs w:val="32"/>
        </w:rPr>
        <w:t>(一)成立机构。县农业农村局成立了以农业农村局局长为组长，局属部门领导为成员的惠农补贴工作领导小组，各乡镇相应成立工作机构，形成主要领导亲自抓，分管领导具体抓，乡镇农业发展服务中心和财政所等部门按照各自的职能切实履行好工作职责。　　</w:t>
      </w:r>
    </w:p>
    <w:p w14:paraId="73C26368">
      <w:pPr>
        <w:spacing w:line="540" w:lineRule="exact"/>
        <w:ind w:firstLine="640" w:firstLineChars="200"/>
        <w:rPr>
          <w:rFonts w:eastAsia="方正仿宋_GBK"/>
          <w:bCs/>
          <w:sz w:val="32"/>
          <w:szCs w:val="32"/>
        </w:rPr>
      </w:pPr>
      <w:r>
        <w:rPr>
          <w:rFonts w:hint="eastAsia" w:eastAsia="方正仿宋_GBK"/>
          <w:bCs/>
          <w:sz w:val="32"/>
          <w:szCs w:val="32"/>
        </w:rPr>
        <w:t>(二)明确职责，分工协作。为确保我县惠农补贴按时、足额兑付到每个种粮农民手中，明确各成员单位的职责，各乡镇场负责补贴面积的统计、公示，指导各村业务和政策宣传解释工作、拟定资金分配方案，并指定专人负责面积、补贴金额等基础数据的真实性、逻辑性进行审核把关，数据录入等工作。</w:t>
      </w:r>
    </w:p>
    <w:p w14:paraId="036C93E2">
      <w:pPr>
        <w:spacing w:line="540" w:lineRule="exact"/>
        <w:ind w:firstLine="640" w:firstLineChars="200"/>
        <w:rPr>
          <w:rFonts w:eastAsia="方正仿宋_GBK"/>
          <w:bCs/>
          <w:sz w:val="32"/>
          <w:szCs w:val="32"/>
        </w:rPr>
      </w:pPr>
      <w:r>
        <w:rPr>
          <w:rFonts w:hint="eastAsia" w:eastAsia="方正仿宋_GBK"/>
          <w:bCs/>
          <w:sz w:val="32"/>
          <w:szCs w:val="32"/>
        </w:rPr>
        <w:t>（三）广泛宣传。为了顺利保证这项惠农政策落实，县农技人员通过科技下乡、进村入户指导等多途径采取宣讲和培训形式，将政策宣传到村到户，确保惠民惠农补贴政策落到实处。 　</w:t>
      </w:r>
    </w:p>
    <w:p w14:paraId="7771E565">
      <w:pPr>
        <w:spacing w:line="540" w:lineRule="exact"/>
        <w:ind w:firstLine="640" w:firstLineChars="200"/>
        <w:rPr>
          <w:rFonts w:eastAsia="方正仿宋_GBK"/>
          <w:bCs/>
          <w:sz w:val="32"/>
          <w:szCs w:val="32"/>
        </w:rPr>
      </w:pPr>
      <w:r>
        <w:rPr>
          <w:rFonts w:hint="eastAsia" w:eastAsia="方正仿宋_GBK"/>
          <w:bCs/>
          <w:sz w:val="32"/>
          <w:szCs w:val="32"/>
        </w:rPr>
        <w:t>（四）加大核查督查工作，确保信息准确。为进一步规范补贴资金管理，确保惠民惠农政策充分落实到位，切实维护群众的切身利益，我局成立以党委书记为组长，局属相关部门单位科级领导为副组长，专业技术人员为成员的督导检查组，按照村级核实、乡镇复核、县级抽查的原则，开展核查工作。</w:t>
      </w:r>
    </w:p>
    <w:p w14:paraId="677A388B">
      <w:pPr>
        <w:pStyle w:val="5"/>
        <w:spacing w:line="360" w:lineRule="auto"/>
        <w:rPr>
          <w:rFonts w:ascii="仿宋_GB2312" w:eastAsia="仿宋_GB2312"/>
          <w:b w:val="0"/>
          <w:bCs w:val="0"/>
        </w:rPr>
      </w:pPr>
      <w:bookmarkStart w:id="20" w:name="_Toc68703844"/>
      <w:r>
        <w:rPr>
          <w:rFonts w:hint="eastAsia" w:ascii="仿宋_GB2312" w:eastAsia="仿宋_GB2312"/>
          <w:b w:val="0"/>
          <w:bCs w:val="0"/>
        </w:rPr>
        <w:t>（二）存在的问题及原因分析</w:t>
      </w:r>
      <w:bookmarkEnd w:id="20"/>
    </w:p>
    <w:p w14:paraId="573E03DA">
      <w:pPr>
        <w:spacing w:line="560" w:lineRule="exact"/>
        <w:ind w:firstLine="620" w:firstLineChars="200"/>
        <w:rPr>
          <w:rFonts w:eastAsia="方正楷体_GBK" w:cs="方正楷体_GBK"/>
          <w:sz w:val="31"/>
          <w:szCs w:val="31"/>
        </w:rPr>
      </w:pPr>
      <w:bookmarkStart w:id="21" w:name="_Toc68703845"/>
      <w:r>
        <w:rPr>
          <w:rFonts w:hint="eastAsia" w:eastAsia="方正楷体_GBK" w:cs="方正楷体_GBK"/>
          <w:sz w:val="31"/>
          <w:szCs w:val="31"/>
        </w:rPr>
        <w:t>1.存在的问题：在系统录入时存在农户信息错误或</w:t>
      </w:r>
      <w:r>
        <w:rPr>
          <w:rFonts w:hint="eastAsia" w:eastAsia="方正仿宋_GBK" w:cs="方正仿宋_GBK"/>
          <w:sz w:val="31"/>
          <w:szCs w:val="31"/>
        </w:rPr>
        <w:t>漏报等情况</w:t>
      </w:r>
    </w:p>
    <w:p w14:paraId="36AD868F">
      <w:pPr>
        <w:pStyle w:val="2"/>
        <w:ind w:firstLine="620" w:firstLineChars="200"/>
        <w:rPr>
          <w:rFonts w:hint="eastAsia"/>
        </w:rPr>
      </w:pPr>
      <w:r>
        <w:rPr>
          <w:rFonts w:hint="eastAsia" w:eastAsia="方正仿宋_GBK" w:cs="方正仿宋_GBK"/>
          <w:sz w:val="31"/>
          <w:szCs w:val="31"/>
        </w:rPr>
        <w:t>2.原因分析：乡（镇、场）、村业务人员基本都身兼数职，且变动频繁，提供农户信息的准确性和真实性把关不严。</w:t>
      </w:r>
    </w:p>
    <w:p w14:paraId="3B4C4253">
      <w:pPr>
        <w:pStyle w:val="4"/>
        <w:spacing w:line="360" w:lineRule="auto"/>
        <w:rPr>
          <w:rFonts w:ascii="宋体" w:hAnsi="宋体" w:eastAsia="宋体"/>
          <w:sz w:val="32"/>
          <w:szCs w:val="32"/>
        </w:rPr>
      </w:pPr>
      <w:r>
        <w:rPr>
          <w:rFonts w:hint="eastAsia" w:ascii="宋体" w:hAnsi="宋体" w:eastAsia="宋体"/>
          <w:sz w:val="32"/>
          <w:szCs w:val="32"/>
        </w:rPr>
        <w:t>六、有关建议</w:t>
      </w:r>
      <w:bookmarkEnd w:id="21"/>
    </w:p>
    <w:p w14:paraId="779940D7">
      <w:pPr>
        <w:spacing w:line="560" w:lineRule="exact"/>
        <w:ind w:firstLine="620" w:firstLineChars="200"/>
        <w:rPr>
          <w:rFonts w:eastAsia="方正仿宋_GBK" w:cs="方正仿宋_GBK"/>
          <w:sz w:val="31"/>
          <w:szCs w:val="31"/>
        </w:rPr>
      </w:pPr>
      <w:bookmarkStart w:id="22" w:name="_Toc68703846"/>
      <w:r>
        <w:rPr>
          <w:rFonts w:hint="eastAsia" w:eastAsia="方正仿宋_GBK" w:cs="方正仿宋_GBK"/>
          <w:sz w:val="31"/>
          <w:szCs w:val="31"/>
        </w:rPr>
        <w:t>加大对乡村干部的培训，提高报送信息的准确性。利用“科技之冬”活动，电子屏、宣传栏等媒介，通过推送信息、公开公示、进村入户、发放宣传册等形式，进一步做好惠民惠农财政补贴政策宣传工作，全覆盖、多频次向广大农牧民群众反复宣讲惠民惠农政策，提升宣传的深度和广度。</w:t>
      </w:r>
    </w:p>
    <w:p w14:paraId="4D597E60">
      <w:pPr>
        <w:pStyle w:val="4"/>
        <w:spacing w:line="360" w:lineRule="auto"/>
        <w:rPr>
          <w:rFonts w:ascii="宋体" w:hAnsi="宋体" w:eastAsia="宋体"/>
          <w:sz w:val="32"/>
          <w:szCs w:val="32"/>
        </w:rPr>
      </w:pPr>
      <w:r>
        <w:rPr>
          <w:rFonts w:hint="eastAsia" w:ascii="宋体" w:hAnsi="宋体" w:eastAsia="宋体"/>
          <w:sz w:val="32"/>
          <w:szCs w:val="32"/>
        </w:rPr>
        <w:t>七、其他需要说明的问题</w:t>
      </w:r>
      <w:bookmarkEnd w:id="22"/>
    </w:p>
    <w:p w14:paraId="5F5EF60E">
      <w:pPr>
        <w:spacing w:line="560" w:lineRule="exact"/>
        <w:ind w:firstLine="640" w:firstLineChars="200"/>
        <w:jc w:val="left"/>
        <w:rPr>
          <w:rFonts w:ascii="仿宋_GB2312" w:hAnsi="仿宋" w:cs="宋体"/>
          <w:color w:val="333333"/>
          <w:sz w:val="32"/>
          <w:szCs w:val="32"/>
        </w:rPr>
      </w:pPr>
      <w:r>
        <w:rPr>
          <w:rFonts w:hint="eastAsia" w:ascii="仿宋_GB2312" w:hAnsi="仿宋" w:cs="宋体"/>
          <w:color w:val="333333"/>
          <w:sz w:val="32"/>
          <w:szCs w:val="32"/>
        </w:rPr>
        <w:t>本次预算绩效评价所采集的数据因为采集时间、数据来源等诸多因素的影响，可能会出现一定的偏差，进而对评价结果存在影响。</w:t>
      </w:r>
    </w:p>
    <w:p w14:paraId="511ED70B">
      <w:pPr>
        <w:spacing w:line="360" w:lineRule="auto"/>
      </w:pPr>
    </w:p>
    <w:p w14:paraId="272CADB8"/>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楷体简体">
    <w:panose1 w:val="02000000000000000000"/>
    <w:charset w:val="86"/>
    <w:family w:val="script"/>
    <w:pitch w:val="default"/>
    <w:sig w:usb0="A00002BF" w:usb1="184F6CFA" w:usb2="00000012" w:usb3="00000000" w:csb0="00040001" w:csb1="00000000"/>
  </w:font>
  <w:font w:name="方正楷体_GBK">
    <w:panose1 w:val="02000000000000000000"/>
    <w:charset w:val="86"/>
    <w:family w:val="auto"/>
    <w:pitch w:val="default"/>
    <w:sig w:usb0="A00002BF" w:usb1="38CF7CFA" w:usb2="00082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8F4C69"/>
    <w:multiLevelType w:val="singleLevel"/>
    <w:tmpl w:val="228F4C6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669F4"/>
    <w:rsid w:val="000B223C"/>
    <w:rsid w:val="000D1B8F"/>
    <w:rsid w:val="0017080A"/>
    <w:rsid w:val="00376D6A"/>
    <w:rsid w:val="004850D4"/>
    <w:rsid w:val="00491331"/>
    <w:rsid w:val="00571796"/>
    <w:rsid w:val="00614288"/>
    <w:rsid w:val="0073793B"/>
    <w:rsid w:val="00752D35"/>
    <w:rsid w:val="007B03AD"/>
    <w:rsid w:val="007D49C5"/>
    <w:rsid w:val="008032CD"/>
    <w:rsid w:val="008464B5"/>
    <w:rsid w:val="008C631D"/>
    <w:rsid w:val="00922149"/>
    <w:rsid w:val="00977705"/>
    <w:rsid w:val="00986CD2"/>
    <w:rsid w:val="00987A38"/>
    <w:rsid w:val="00AF1D99"/>
    <w:rsid w:val="00B90F00"/>
    <w:rsid w:val="00BA7845"/>
    <w:rsid w:val="00C23AF9"/>
    <w:rsid w:val="00C27CCD"/>
    <w:rsid w:val="00E7370E"/>
    <w:rsid w:val="00EF1FE3"/>
    <w:rsid w:val="00EF2D82"/>
    <w:rsid w:val="00FB2E42"/>
    <w:rsid w:val="15DA37C6"/>
    <w:rsid w:val="18FC54E0"/>
    <w:rsid w:val="25F839E3"/>
    <w:rsid w:val="2732278A"/>
    <w:rsid w:val="3F3020FF"/>
    <w:rsid w:val="44EE39BE"/>
    <w:rsid w:val="5B9F782A"/>
    <w:rsid w:val="622575EA"/>
    <w:rsid w:val="68A47C35"/>
    <w:rsid w:val="6FFD2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unhideWhenUsed/>
    <w:qFormat/>
    <w:uiPriority w:val="9"/>
    <w:pPr>
      <w:keepNext/>
      <w:keepLines/>
      <w:outlineLvl w:val="2"/>
    </w:pPr>
    <w:rPr>
      <w:rFonts w:eastAsia="楷体_GB2312"/>
      <w:b/>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sz w:val="21"/>
    </w:rPr>
  </w:style>
  <w:style w:type="paragraph" w:customStyle="1" w:styleId="3">
    <w:name w:val="Body Text First Indent1"/>
    <w:basedOn w:val="2"/>
    <w:qFormat/>
    <w:uiPriority w:val="0"/>
  </w:style>
  <w:style w:type="paragraph" w:styleId="7">
    <w:name w:val="Body Text Indent"/>
    <w:basedOn w:val="1"/>
    <w:qFormat/>
    <w:uiPriority w:val="0"/>
    <w:pPr>
      <w:spacing w:after="120"/>
      <w:ind w:left="420" w:leftChars="200"/>
    </w:pPr>
  </w:style>
  <w:style w:type="paragraph" w:styleId="8">
    <w:name w:val="footer"/>
    <w:basedOn w:val="1"/>
    <w:link w:val="23"/>
    <w:unhideWhenUsed/>
    <w:uiPriority w:val="99"/>
    <w:pPr>
      <w:tabs>
        <w:tab w:val="center" w:pos="4153"/>
        <w:tab w:val="right" w:pos="8306"/>
      </w:tabs>
      <w:snapToGrid w:val="0"/>
      <w:jc w:val="left"/>
    </w:pPr>
    <w:rPr>
      <w:sz w:val="18"/>
      <w:szCs w:val="18"/>
    </w:rPr>
  </w:style>
  <w:style w:type="paragraph" w:styleId="9">
    <w:name w:val="header"/>
    <w:basedOn w:val="1"/>
    <w:link w:val="22"/>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footnote text"/>
    <w:basedOn w:val="1"/>
    <w:qFormat/>
    <w:uiPriority w:val="0"/>
    <w:pPr>
      <w:snapToGrid w:val="0"/>
      <w:jc w:val="left"/>
    </w:pPr>
    <w:rPr>
      <w:sz w:val="18"/>
      <w:szCs w:val="18"/>
    </w:rPr>
  </w:style>
  <w:style w:type="paragraph" w:styleId="12">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qFormat/>
    <w:uiPriority w:val="0"/>
    <w:pPr>
      <w:jc w:val="left"/>
    </w:pPr>
    <w:rPr>
      <w:kern w:val="0"/>
      <w:sz w:val="21"/>
      <w:szCs w:val="21"/>
    </w:rPr>
  </w:style>
  <w:style w:type="paragraph" w:styleId="14">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5">
    <w:name w:val="Body Text First Indent 2"/>
    <w:basedOn w:val="7"/>
    <w:next w:val="1"/>
    <w:qFormat/>
    <w:uiPriority w:val="99"/>
    <w:pPr>
      <w:spacing w:line="312" w:lineRule="auto"/>
      <w:ind w:firstLine="420"/>
    </w:pPr>
    <w:rPr>
      <w:rFonts w:ascii="宋体"/>
      <w:bCs/>
      <w:sz w:val="24"/>
    </w:r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customStyle="1" w:styleId="19">
    <w:name w:val="标题 1 字符"/>
    <w:basedOn w:val="17"/>
    <w:link w:val="4"/>
    <w:qFormat/>
    <w:uiPriority w:val="9"/>
    <w:rPr>
      <w:rFonts w:ascii="Times New Roman" w:hAnsi="Times New Roman" w:eastAsia="仿宋_GB2312" w:cs="Times New Roman"/>
      <w:b/>
      <w:bCs/>
      <w:kern w:val="44"/>
      <w:sz w:val="44"/>
      <w:szCs w:val="44"/>
    </w:rPr>
  </w:style>
  <w:style w:type="character" w:customStyle="1" w:styleId="20">
    <w:name w:val="标题 2 字符"/>
    <w:basedOn w:val="17"/>
    <w:link w:val="5"/>
    <w:qFormat/>
    <w:uiPriority w:val="9"/>
    <w:rPr>
      <w:rFonts w:asciiTheme="majorHAnsi" w:hAnsiTheme="majorHAnsi" w:eastAsiaTheme="majorEastAsia" w:cstheme="majorBidi"/>
      <w:b/>
      <w:bCs/>
      <w:sz w:val="32"/>
      <w:szCs w:val="32"/>
    </w:rPr>
  </w:style>
  <w:style w:type="paragraph" w:customStyle="1" w:styleId="21">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2">
    <w:name w:val="页眉 字符"/>
    <w:basedOn w:val="17"/>
    <w:link w:val="9"/>
    <w:qFormat/>
    <w:uiPriority w:val="99"/>
    <w:rPr>
      <w:rFonts w:ascii="Times New Roman" w:hAnsi="Times New Roman" w:eastAsia="仿宋_GB2312" w:cs="Times New Roman"/>
      <w:sz w:val="18"/>
      <w:szCs w:val="18"/>
    </w:rPr>
  </w:style>
  <w:style w:type="character" w:customStyle="1" w:styleId="23">
    <w:name w:val="页脚 字符"/>
    <w:basedOn w:val="17"/>
    <w:link w:val="8"/>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1260</Words>
  <Characters>7184</Characters>
  <Lines>59</Lines>
  <Paragraphs>16</Paragraphs>
  <TotalTime>36</TotalTime>
  <ScaleCrop>false</ScaleCrop>
  <LinksUpToDate>false</LinksUpToDate>
  <CharactersWithSpaces>8428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2025-03-05T02:49:08Z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