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5C25C">
      <w:pPr>
        <w:jc w:val="center"/>
        <w:rPr>
          <w:rFonts w:ascii="宋体" w:hAnsi="宋体" w:eastAsia="宋体" w:cs="Arial"/>
          <w:b/>
          <w:bCs/>
          <w:sz w:val="48"/>
          <w:szCs w:val="48"/>
        </w:rPr>
      </w:pPr>
    </w:p>
    <w:p w14:paraId="2FFDFD6B">
      <w:pPr>
        <w:jc w:val="center"/>
        <w:rPr>
          <w:rFonts w:ascii="宋体" w:hAnsi="宋体" w:eastAsia="宋体" w:cs="Arial"/>
          <w:b/>
          <w:bCs/>
          <w:sz w:val="48"/>
          <w:szCs w:val="48"/>
        </w:rPr>
      </w:pPr>
    </w:p>
    <w:p w14:paraId="3DEFBBFA">
      <w:pPr>
        <w:jc w:val="center"/>
        <w:rPr>
          <w:rFonts w:ascii="宋体" w:hAnsi="宋体" w:eastAsia="宋体" w:cs="Arial"/>
          <w:b/>
          <w:bCs/>
          <w:sz w:val="48"/>
          <w:szCs w:val="48"/>
        </w:rPr>
      </w:pPr>
    </w:p>
    <w:p w14:paraId="310B31F3">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1587FFBC">
      <w:pPr>
        <w:jc w:val="center"/>
        <w:rPr>
          <w:rFonts w:ascii="宋体" w:hAnsi="宋体" w:eastAsia="宋体" w:cs="Arial"/>
          <w:b/>
          <w:bCs/>
          <w:sz w:val="48"/>
          <w:szCs w:val="48"/>
        </w:rPr>
      </w:pPr>
    </w:p>
    <w:p w14:paraId="1D6A9B94">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rPr>
        <w:t>3年度）</w:t>
      </w:r>
    </w:p>
    <w:p w14:paraId="1DDF2CCC">
      <w:pPr>
        <w:spacing w:line="480" w:lineRule="auto"/>
        <w:jc w:val="center"/>
        <w:rPr>
          <w:rFonts w:ascii="仿宋_GB2312" w:hAnsi="仿宋_GB2312" w:cs="仿宋_GB2312"/>
          <w:b/>
          <w:kern w:val="0"/>
          <w:sz w:val="50"/>
          <w:szCs w:val="50"/>
          <w:lang w:bidi="en-US"/>
        </w:rPr>
      </w:pPr>
    </w:p>
    <w:p w14:paraId="15C65226">
      <w:pPr>
        <w:spacing w:line="480" w:lineRule="auto"/>
        <w:jc w:val="center"/>
        <w:rPr>
          <w:rFonts w:ascii="仿宋_GB2312" w:hAnsi="仿宋_GB2312" w:cs="仿宋_GB2312"/>
          <w:b/>
          <w:kern w:val="0"/>
          <w:sz w:val="50"/>
          <w:szCs w:val="50"/>
          <w:lang w:bidi="en-US"/>
        </w:rPr>
      </w:pPr>
    </w:p>
    <w:p w14:paraId="744A2C95">
      <w:pPr>
        <w:spacing w:line="480" w:lineRule="auto"/>
        <w:jc w:val="center"/>
        <w:rPr>
          <w:rFonts w:ascii="仿宋_GB2312" w:hAnsi="仿宋_GB2312" w:cs="仿宋_GB2312"/>
          <w:b/>
          <w:kern w:val="0"/>
          <w:sz w:val="50"/>
          <w:szCs w:val="50"/>
          <w:lang w:bidi="en-US"/>
        </w:rPr>
      </w:pPr>
    </w:p>
    <w:p w14:paraId="5C9D337B">
      <w:pPr>
        <w:spacing w:line="480" w:lineRule="auto"/>
        <w:jc w:val="center"/>
        <w:rPr>
          <w:rFonts w:ascii="仿宋_GB2312" w:hAnsi="仿宋_GB2312" w:cs="仿宋_GB2312"/>
          <w:b/>
          <w:kern w:val="0"/>
          <w:sz w:val="50"/>
          <w:szCs w:val="50"/>
          <w:lang w:bidi="en-US"/>
        </w:rPr>
      </w:pPr>
    </w:p>
    <w:p w14:paraId="15CCF07E">
      <w:pPr>
        <w:spacing w:line="480" w:lineRule="auto"/>
        <w:jc w:val="center"/>
        <w:rPr>
          <w:rFonts w:ascii="仿宋_GB2312" w:hAnsi="仿宋_GB2312" w:cs="仿宋_GB2312"/>
          <w:b/>
          <w:kern w:val="0"/>
          <w:sz w:val="50"/>
          <w:szCs w:val="50"/>
          <w:lang w:bidi="en-US"/>
        </w:rPr>
      </w:pPr>
    </w:p>
    <w:p w14:paraId="7232E072">
      <w:pPr>
        <w:spacing w:line="560" w:lineRule="exact"/>
        <w:ind w:firstLine="1285" w:firstLineChars="4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项目名称：焉耆县2019-2023年高标准农田建设项目</w:t>
      </w:r>
    </w:p>
    <w:p w14:paraId="24D96AFB">
      <w:pPr>
        <w:spacing w:line="560" w:lineRule="exact"/>
        <w:ind w:firstLine="1285" w:firstLineChars="4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实施单位（公章）：焉耆县农业农村局</w:t>
      </w:r>
    </w:p>
    <w:p w14:paraId="43E9D282">
      <w:pPr>
        <w:spacing w:line="560" w:lineRule="exact"/>
        <w:ind w:firstLine="1285" w:firstLineChars="4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主管部门（公章）：焉耆县人民政府</w:t>
      </w:r>
    </w:p>
    <w:p w14:paraId="7C3DAF52">
      <w:pPr>
        <w:spacing w:line="560" w:lineRule="exact"/>
        <w:ind w:firstLine="1285" w:firstLineChars="400"/>
        <w:rPr>
          <w:rFonts w:ascii="仿宋" w:hAnsi="仿宋" w:eastAsia="仿宋" w:cs="仿宋"/>
          <w:sz w:val="32"/>
          <w:szCs w:val="32"/>
        </w:rPr>
      </w:pPr>
      <w:r>
        <w:rPr>
          <w:rFonts w:hint="eastAsia" w:ascii="宋体" w:hAnsi="宋体" w:eastAsia="宋体" w:cs="仿宋_GB2312"/>
          <w:b/>
          <w:bCs/>
          <w:color w:val="000000"/>
          <w:kern w:val="0"/>
          <w:sz w:val="32"/>
          <w:szCs w:val="32"/>
        </w:rPr>
        <w:t>项目负责人（签章）：索卫华</w:t>
      </w:r>
    </w:p>
    <w:p w14:paraId="657BE4C8">
      <w:pPr>
        <w:spacing w:line="560" w:lineRule="exact"/>
        <w:ind w:firstLine="1285" w:firstLineChars="4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填报时间：2024年05月09日</w:t>
      </w:r>
    </w:p>
    <w:p w14:paraId="5D04C092">
      <w:pPr>
        <w:spacing w:line="560" w:lineRule="exact"/>
        <w:ind w:firstLine="321" w:firstLineChars="100"/>
        <w:rPr>
          <w:rFonts w:ascii="宋体" w:hAnsi="宋体" w:eastAsia="宋体" w:cs="仿宋_GB2312"/>
          <w:b/>
          <w:bCs/>
          <w:color w:val="000000"/>
          <w:kern w:val="0"/>
          <w:sz w:val="32"/>
          <w:szCs w:val="32"/>
        </w:rPr>
      </w:pPr>
    </w:p>
    <w:p w14:paraId="68DFFB8A">
      <w:pPr>
        <w:widowControl/>
        <w:jc w:val="left"/>
        <w:rPr>
          <w:rFonts w:ascii="宋体" w:hAnsi="宋体" w:eastAsia="宋体" w:cs="Arial"/>
          <w:b/>
          <w:bCs/>
          <w:sz w:val="36"/>
          <w:szCs w:val="36"/>
        </w:rPr>
      </w:pP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73C1BAA4">
          <w:pPr>
            <w:pStyle w:val="19"/>
            <w:jc w:val="center"/>
            <w:rPr>
              <w:rFonts w:ascii="宋体" w:hAnsi="宋体" w:eastAsia="宋体"/>
              <w:b/>
              <w:bCs/>
              <w:color w:val="auto"/>
              <w:lang w:val="zh-CN"/>
            </w:rPr>
          </w:pPr>
          <w:r>
            <w:rPr>
              <w:rFonts w:ascii="宋体" w:hAnsi="宋体" w:eastAsia="宋体"/>
              <w:b/>
              <w:bCs/>
              <w:color w:val="auto"/>
              <w:lang w:val="zh-CN"/>
            </w:rPr>
            <w:t>目</w:t>
          </w:r>
          <w:r>
            <w:rPr>
              <w:rFonts w:hint="eastAsia" w:ascii="宋体" w:hAnsi="宋体" w:eastAsia="宋体"/>
              <w:b/>
              <w:bCs/>
              <w:color w:val="auto"/>
            </w:rPr>
            <w:t xml:space="preserve"> </w:t>
          </w:r>
          <w:r>
            <w:rPr>
              <w:rFonts w:ascii="宋体" w:hAnsi="宋体" w:eastAsia="宋体"/>
              <w:b/>
              <w:bCs/>
              <w:color w:val="auto"/>
              <w:lang w:val="zh-CN"/>
            </w:rPr>
            <w:t>录</w:t>
          </w:r>
        </w:p>
        <w:p w14:paraId="6A2219CA">
          <w:pPr>
            <w:pStyle w:val="9"/>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5"/>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39445019">
          <w:pPr>
            <w:pStyle w:val="11"/>
            <w:tabs>
              <w:tab w:val="right" w:leader="dot" w:pos="8834"/>
            </w:tabs>
            <w:rPr>
              <w:rFonts w:cstheme="minorBidi"/>
              <w:kern w:val="2"/>
              <w:sz w:val="21"/>
            </w:rPr>
          </w:pPr>
          <w:r>
            <w:fldChar w:fldCharType="begin"/>
          </w:r>
          <w:r>
            <w:instrText xml:space="preserve"> HYPERLINK \l "_Toc68703828" </w:instrText>
          </w:r>
          <w:r>
            <w:fldChar w:fldCharType="separate"/>
          </w:r>
          <w:r>
            <w:rPr>
              <w:rStyle w:val="15"/>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0CC19046">
          <w:pPr>
            <w:pStyle w:val="11"/>
            <w:tabs>
              <w:tab w:val="right" w:leader="dot" w:pos="8834"/>
            </w:tabs>
            <w:rPr>
              <w:rFonts w:cstheme="minorBidi"/>
              <w:kern w:val="2"/>
              <w:sz w:val="21"/>
            </w:rPr>
          </w:pPr>
          <w:r>
            <w:fldChar w:fldCharType="begin"/>
          </w:r>
          <w:r>
            <w:instrText xml:space="preserve"> HYPERLINK \l "_Toc68703829" </w:instrText>
          </w:r>
          <w:r>
            <w:fldChar w:fldCharType="separate"/>
          </w:r>
          <w:r>
            <w:rPr>
              <w:rStyle w:val="15"/>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78C881F4">
          <w:pPr>
            <w:pStyle w:val="9"/>
            <w:tabs>
              <w:tab w:val="right" w:leader="dot" w:pos="8834"/>
            </w:tabs>
            <w:rPr>
              <w:rFonts w:cstheme="minorBidi"/>
              <w:kern w:val="2"/>
              <w:sz w:val="21"/>
            </w:rPr>
          </w:pPr>
          <w:r>
            <w:fldChar w:fldCharType="begin"/>
          </w:r>
          <w:r>
            <w:instrText xml:space="preserve"> HYPERLINK \l "_Toc68703830" </w:instrText>
          </w:r>
          <w:r>
            <w:fldChar w:fldCharType="separate"/>
          </w:r>
          <w:r>
            <w:rPr>
              <w:rStyle w:val="15"/>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3F2E5425">
          <w:pPr>
            <w:pStyle w:val="11"/>
            <w:tabs>
              <w:tab w:val="right" w:leader="dot" w:pos="8834"/>
            </w:tabs>
            <w:rPr>
              <w:rFonts w:cstheme="minorBidi"/>
              <w:kern w:val="2"/>
              <w:sz w:val="21"/>
            </w:rPr>
          </w:pPr>
          <w:r>
            <w:fldChar w:fldCharType="begin"/>
          </w:r>
          <w:r>
            <w:instrText xml:space="preserve"> HYPERLINK \l "_Toc68703831" </w:instrText>
          </w:r>
          <w:r>
            <w:fldChar w:fldCharType="separate"/>
          </w:r>
          <w:r>
            <w:rPr>
              <w:rStyle w:val="15"/>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6F5ED57F">
          <w:pPr>
            <w:pStyle w:val="11"/>
            <w:tabs>
              <w:tab w:val="right" w:leader="dot" w:pos="8834"/>
            </w:tabs>
            <w:rPr>
              <w:rFonts w:cstheme="minorBidi"/>
              <w:kern w:val="2"/>
              <w:sz w:val="21"/>
            </w:rPr>
          </w:pPr>
          <w:r>
            <w:fldChar w:fldCharType="begin"/>
          </w:r>
          <w:r>
            <w:instrText xml:space="preserve"> HYPERLINK \l "_Toc68703832" </w:instrText>
          </w:r>
          <w:r>
            <w:fldChar w:fldCharType="separate"/>
          </w:r>
          <w:r>
            <w:rPr>
              <w:rStyle w:val="15"/>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243162F9">
          <w:pPr>
            <w:pStyle w:val="11"/>
            <w:tabs>
              <w:tab w:val="right" w:leader="dot" w:pos="8834"/>
            </w:tabs>
            <w:rPr>
              <w:rFonts w:cstheme="minorBidi"/>
              <w:kern w:val="2"/>
              <w:sz w:val="21"/>
            </w:rPr>
          </w:pPr>
          <w:r>
            <w:fldChar w:fldCharType="begin"/>
          </w:r>
          <w:r>
            <w:instrText xml:space="preserve"> HYPERLINK \l "_Toc68703833" </w:instrText>
          </w:r>
          <w:r>
            <w:fldChar w:fldCharType="separate"/>
          </w:r>
          <w:r>
            <w:rPr>
              <w:rStyle w:val="15"/>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15AEAB6C">
          <w:pPr>
            <w:pStyle w:val="9"/>
            <w:tabs>
              <w:tab w:val="right" w:leader="dot" w:pos="8834"/>
            </w:tabs>
            <w:rPr>
              <w:rFonts w:cstheme="minorBidi"/>
              <w:kern w:val="2"/>
              <w:sz w:val="21"/>
            </w:rPr>
          </w:pPr>
          <w:r>
            <w:fldChar w:fldCharType="begin"/>
          </w:r>
          <w:r>
            <w:instrText xml:space="preserve"> HYPERLINK \l "_Toc68703834" </w:instrText>
          </w:r>
          <w:r>
            <w:fldChar w:fldCharType="separate"/>
          </w:r>
          <w:r>
            <w:rPr>
              <w:rStyle w:val="15"/>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68F31437">
          <w:pPr>
            <w:pStyle w:val="11"/>
            <w:tabs>
              <w:tab w:val="right" w:leader="dot" w:pos="8834"/>
            </w:tabs>
            <w:rPr>
              <w:rFonts w:cstheme="minorBidi"/>
              <w:kern w:val="2"/>
              <w:sz w:val="21"/>
            </w:rPr>
          </w:pPr>
          <w:r>
            <w:fldChar w:fldCharType="begin"/>
          </w:r>
          <w:r>
            <w:instrText xml:space="preserve"> HYPERLINK \l "_Toc68703835" </w:instrText>
          </w:r>
          <w:r>
            <w:fldChar w:fldCharType="separate"/>
          </w:r>
          <w:r>
            <w:rPr>
              <w:rStyle w:val="15"/>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14:paraId="505B74D8">
          <w:pPr>
            <w:pStyle w:val="11"/>
            <w:tabs>
              <w:tab w:val="right" w:leader="dot" w:pos="8834"/>
            </w:tabs>
            <w:rPr>
              <w:rFonts w:cstheme="minorBidi"/>
              <w:kern w:val="2"/>
              <w:sz w:val="21"/>
            </w:rPr>
          </w:pPr>
          <w:r>
            <w:fldChar w:fldCharType="begin"/>
          </w:r>
          <w:r>
            <w:instrText xml:space="preserve"> HYPERLINK \l "_Toc68703836" </w:instrText>
          </w:r>
          <w:r>
            <w:fldChar w:fldCharType="separate"/>
          </w:r>
          <w:r>
            <w:rPr>
              <w:rStyle w:val="15"/>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5F9E6DC4">
          <w:pPr>
            <w:pStyle w:val="9"/>
            <w:tabs>
              <w:tab w:val="right" w:leader="dot" w:pos="8834"/>
            </w:tabs>
            <w:rPr>
              <w:rFonts w:cstheme="minorBidi"/>
              <w:kern w:val="2"/>
              <w:sz w:val="21"/>
            </w:rPr>
          </w:pPr>
          <w:r>
            <w:fldChar w:fldCharType="begin"/>
          </w:r>
          <w:r>
            <w:instrText xml:space="preserve"> HYPERLINK \l "_Toc68703837" </w:instrText>
          </w:r>
          <w:r>
            <w:fldChar w:fldCharType="separate"/>
          </w:r>
          <w:r>
            <w:rPr>
              <w:rStyle w:val="15"/>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5BE5D63D">
          <w:pPr>
            <w:pStyle w:val="11"/>
            <w:tabs>
              <w:tab w:val="right" w:leader="dot" w:pos="8834"/>
            </w:tabs>
            <w:rPr>
              <w:rFonts w:cstheme="minorBidi"/>
              <w:kern w:val="2"/>
              <w:sz w:val="21"/>
            </w:rPr>
          </w:pPr>
          <w:r>
            <w:fldChar w:fldCharType="begin"/>
          </w:r>
          <w:r>
            <w:instrText xml:space="preserve"> HYPERLINK \l "_Toc68703838" </w:instrText>
          </w:r>
          <w:r>
            <w:fldChar w:fldCharType="separate"/>
          </w:r>
          <w:r>
            <w:rPr>
              <w:rStyle w:val="15"/>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1B58BA6E">
          <w:pPr>
            <w:pStyle w:val="11"/>
            <w:tabs>
              <w:tab w:val="right" w:leader="dot" w:pos="8834"/>
            </w:tabs>
            <w:rPr>
              <w:rFonts w:cstheme="minorBidi"/>
              <w:kern w:val="2"/>
              <w:sz w:val="21"/>
            </w:rPr>
          </w:pPr>
          <w:r>
            <w:fldChar w:fldCharType="begin"/>
          </w:r>
          <w:r>
            <w:instrText xml:space="preserve"> HYPERLINK \l "_Toc68703839" </w:instrText>
          </w:r>
          <w:r>
            <w:fldChar w:fldCharType="separate"/>
          </w:r>
          <w:r>
            <w:rPr>
              <w:rStyle w:val="15"/>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35F4C063">
          <w:pPr>
            <w:pStyle w:val="11"/>
            <w:tabs>
              <w:tab w:val="right" w:leader="dot" w:pos="8834"/>
            </w:tabs>
            <w:rPr>
              <w:rFonts w:cstheme="minorBidi"/>
              <w:kern w:val="2"/>
              <w:sz w:val="21"/>
            </w:rPr>
          </w:pPr>
          <w:r>
            <w:fldChar w:fldCharType="begin"/>
          </w:r>
          <w:r>
            <w:instrText xml:space="preserve"> HYPERLINK \l "_Toc68703840" </w:instrText>
          </w:r>
          <w:r>
            <w:fldChar w:fldCharType="separate"/>
          </w:r>
          <w:r>
            <w:rPr>
              <w:rStyle w:val="15"/>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0985792C">
          <w:pPr>
            <w:pStyle w:val="11"/>
            <w:tabs>
              <w:tab w:val="right" w:leader="dot" w:pos="8834"/>
            </w:tabs>
            <w:rPr>
              <w:rFonts w:cstheme="minorBidi"/>
              <w:kern w:val="2"/>
              <w:sz w:val="21"/>
            </w:rPr>
          </w:pPr>
          <w:r>
            <w:fldChar w:fldCharType="begin"/>
          </w:r>
          <w:r>
            <w:instrText xml:space="preserve"> HYPERLINK \l "_Toc68703841" </w:instrText>
          </w:r>
          <w:r>
            <w:fldChar w:fldCharType="separate"/>
          </w:r>
          <w:r>
            <w:rPr>
              <w:rStyle w:val="15"/>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14:paraId="60865357">
          <w:pPr>
            <w:pStyle w:val="9"/>
            <w:tabs>
              <w:tab w:val="right" w:leader="dot" w:pos="8834"/>
            </w:tabs>
            <w:rPr>
              <w:rFonts w:cstheme="minorBidi"/>
              <w:kern w:val="2"/>
              <w:sz w:val="21"/>
            </w:rPr>
          </w:pPr>
          <w:r>
            <w:fldChar w:fldCharType="begin"/>
          </w:r>
          <w:r>
            <w:instrText xml:space="preserve"> HYPERLINK \l "_Toc68703842" </w:instrText>
          </w:r>
          <w:r>
            <w:fldChar w:fldCharType="separate"/>
          </w:r>
          <w:r>
            <w:rPr>
              <w:rStyle w:val="15"/>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1C381FF4">
          <w:pPr>
            <w:pStyle w:val="11"/>
            <w:tabs>
              <w:tab w:val="right" w:leader="dot" w:pos="8834"/>
            </w:tabs>
            <w:rPr>
              <w:rFonts w:cstheme="minorBidi"/>
              <w:kern w:val="2"/>
              <w:sz w:val="21"/>
            </w:rPr>
          </w:pPr>
          <w:r>
            <w:fldChar w:fldCharType="begin"/>
          </w:r>
          <w:r>
            <w:instrText xml:space="preserve"> HYPERLINK \l "_Toc68703843" </w:instrText>
          </w:r>
          <w:r>
            <w:fldChar w:fldCharType="separate"/>
          </w:r>
          <w:r>
            <w:rPr>
              <w:rStyle w:val="15"/>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14:paraId="302E83F8">
          <w:pPr>
            <w:pStyle w:val="11"/>
            <w:tabs>
              <w:tab w:val="right" w:leader="dot" w:pos="8834"/>
            </w:tabs>
            <w:rPr>
              <w:rFonts w:cstheme="minorBidi"/>
              <w:kern w:val="2"/>
              <w:sz w:val="21"/>
            </w:rPr>
          </w:pPr>
          <w:r>
            <w:fldChar w:fldCharType="begin"/>
          </w:r>
          <w:r>
            <w:instrText xml:space="preserve"> HYPERLINK \l "_Toc68703844" </w:instrText>
          </w:r>
          <w:r>
            <w:fldChar w:fldCharType="separate"/>
          </w:r>
          <w:r>
            <w:rPr>
              <w:rStyle w:val="15"/>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0389A102">
          <w:pPr>
            <w:pStyle w:val="9"/>
            <w:tabs>
              <w:tab w:val="right" w:leader="dot" w:pos="8834"/>
            </w:tabs>
            <w:rPr>
              <w:rFonts w:cstheme="minorBidi"/>
              <w:kern w:val="2"/>
              <w:sz w:val="21"/>
            </w:rPr>
          </w:pPr>
          <w:r>
            <w:fldChar w:fldCharType="begin"/>
          </w:r>
          <w:r>
            <w:instrText xml:space="preserve"> HYPERLINK \l "_Toc68703845" </w:instrText>
          </w:r>
          <w:r>
            <w:fldChar w:fldCharType="separate"/>
          </w:r>
          <w:r>
            <w:rPr>
              <w:rStyle w:val="15"/>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51F26A05">
          <w:pPr>
            <w:pStyle w:val="9"/>
            <w:tabs>
              <w:tab w:val="right" w:leader="dot" w:pos="8834"/>
            </w:tabs>
          </w:pPr>
          <w:r>
            <w:fldChar w:fldCharType="begin"/>
          </w:r>
          <w:r>
            <w:instrText xml:space="preserve"> HYPERLINK \l "_Toc68703846" </w:instrText>
          </w:r>
          <w:r>
            <w:fldChar w:fldCharType="separate"/>
          </w:r>
          <w:r>
            <w:rPr>
              <w:rStyle w:val="15"/>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5BDA26AB">
          <w:r>
            <w:rPr>
              <w:b/>
              <w:bCs/>
              <w:lang w:val="zh-CN"/>
            </w:rPr>
            <w:fldChar w:fldCharType="end"/>
          </w:r>
        </w:p>
      </w:sdtContent>
    </w:sdt>
    <w:p w14:paraId="5B0A5AB1">
      <w:pPr>
        <w:widowControl/>
        <w:jc w:val="left"/>
        <w:rPr>
          <w:rFonts w:ascii="宋体" w:hAnsi="宋体" w:eastAsia="宋体" w:cs="Arial"/>
          <w:b/>
          <w:bCs/>
          <w:sz w:val="36"/>
          <w:szCs w:val="36"/>
        </w:rPr>
      </w:pPr>
      <w:r>
        <w:rPr>
          <w:rFonts w:ascii="宋体" w:hAnsi="宋体" w:eastAsia="宋体" w:cs="Arial"/>
          <w:b/>
          <w:bCs/>
          <w:sz w:val="36"/>
          <w:szCs w:val="36"/>
        </w:rPr>
        <w:br w:type="page"/>
      </w:r>
    </w:p>
    <w:p w14:paraId="374619B5">
      <w:pPr>
        <w:spacing w:line="560" w:lineRule="exact"/>
        <w:jc w:val="center"/>
        <w:rPr>
          <w:rFonts w:ascii="宋体" w:hAnsi="宋体"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bookmarkStart w:id="0" w:name="_Toc68703827"/>
    </w:p>
    <w:p w14:paraId="175513B1">
      <w:pPr>
        <w:pStyle w:val="3"/>
        <w:spacing w:before="0" w:after="0" w:line="560" w:lineRule="exact"/>
        <w:rPr>
          <w:rFonts w:ascii="宋体" w:hAnsi="宋体" w:eastAsia="宋体"/>
          <w:sz w:val="32"/>
          <w:szCs w:val="32"/>
        </w:rPr>
      </w:pPr>
      <w:r>
        <w:rPr>
          <w:rFonts w:hint="eastAsia" w:ascii="宋体" w:hAnsi="宋体" w:eastAsia="宋体"/>
          <w:sz w:val="32"/>
          <w:szCs w:val="32"/>
        </w:rPr>
        <w:t>一、基本情况</w:t>
      </w:r>
      <w:bookmarkEnd w:id="0"/>
      <w:bookmarkStart w:id="1" w:name="_Toc68703828"/>
    </w:p>
    <w:p w14:paraId="35E12619">
      <w:pPr>
        <w:pStyle w:val="4"/>
        <w:spacing w:before="0" w:after="0" w:line="360" w:lineRule="auto"/>
        <w:rPr>
          <w:rFonts w:ascii="仿宋_GB2312" w:eastAsia="仿宋_GB2312"/>
          <w:b w:val="0"/>
          <w:bCs w:val="0"/>
        </w:rPr>
      </w:pPr>
      <w:r>
        <w:rPr>
          <w:rFonts w:hint="eastAsia" w:ascii="仿宋_GB2312" w:eastAsia="仿宋_GB2312"/>
          <w:b w:val="0"/>
          <w:bCs w:val="0"/>
        </w:rPr>
        <w:t>（一）项目概况</w:t>
      </w:r>
      <w:bookmarkEnd w:id="1"/>
    </w:p>
    <w:p w14:paraId="197F5AC9">
      <w:pPr>
        <w:spacing w:line="560" w:lineRule="exact"/>
        <w:ind w:firstLine="640" w:firstLineChars="200"/>
        <w:rPr>
          <w:rFonts w:ascii="仿宋_GB2312"/>
          <w:sz w:val="32"/>
          <w:szCs w:val="32"/>
        </w:rPr>
      </w:pPr>
      <w:r>
        <w:rPr>
          <w:rFonts w:hint="eastAsia" w:ascii="仿宋_GB2312"/>
          <w:sz w:val="32"/>
          <w:szCs w:val="32"/>
        </w:rPr>
        <w:t>1、项目背景</w:t>
      </w:r>
    </w:p>
    <w:p w14:paraId="45CA925B">
      <w:pPr>
        <w:spacing w:line="560" w:lineRule="exact"/>
        <w:ind w:firstLine="640" w:firstLineChars="200"/>
        <w:rPr>
          <w:rFonts w:ascii="仿宋_GB2312"/>
          <w:sz w:val="32"/>
          <w:szCs w:val="32"/>
        </w:rPr>
      </w:pPr>
      <w:r>
        <w:rPr>
          <w:color w:val="000000" w:themeColor="text1"/>
          <w:sz w:val="32"/>
          <w:szCs w:val="32"/>
        </w:rPr>
        <w:t>耕地是粮食生产的命根子，粮食安全是“国之大者”</w:t>
      </w:r>
      <w:r>
        <w:rPr>
          <w:color w:val="000000" w:themeColor="text1"/>
          <w:sz w:val="32"/>
          <w:szCs w:val="32"/>
          <w:shd w:val="clear" w:color="auto" w:fill="FFFFFF"/>
        </w:rPr>
        <w:t>。</w:t>
      </w:r>
      <w:r>
        <w:rPr>
          <w:color w:val="000000" w:themeColor="text1"/>
          <w:sz w:val="32"/>
          <w:szCs w:val="32"/>
        </w:rPr>
        <w:t>近年来，</w:t>
      </w:r>
      <w:r>
        <w:rPr>
          <w:color w:val="000000" w:themeColor="text1"/>
          <w:spacing w:val="8"/>
          <w:sz w:val="32"/>
          <w:szCs w:val="32"/>
        </w:rPr>
        <w:t>党中央、国务院多次强调，要</w:t>
      </w:r>
      <w:r>
        <w:rPr>
          <w:color w:val="000000" w:themeColor="text1"/>
          <w:sz w:val="32"/>
          <w:szCs w:val="32"/>
        </w:rPr>
        <w:t>全方位夯实粮食安全根基，全面落实粮食安全党政同责，牢牢守住十八亿亩耕地红线，逐步把永久基本农田全部建成高标准农田，深入实施种业振兴行动，强化农业科技和装备支撑，健全种粮农民收益保障机制和主产区利益补偿机制，确保中国人的饭碗牢牢端在自己手中。</w:t>
      </w:r>
    </w:p>
    <w:p w14:paraId="075D95E3">
      <w:pPr>
        <w:spacing w:line="560" w:lineRule="exact"/>
        <w:ind w:firstLine="640" w:firstLineChars="200"/>
        <w:rPr>
          <w:rFonts w:ascii="仿宋_GB2312"/>
          <w:sz w:val="28"/>
          <w:szCs w:val="28"/>
        </w:rPr>
      </w:pPr>
      <w:r>
        <w:rPr>
          <w:rFonts w:hint="eastAsia" w:ascii="仿宋_GB2312"/>
          <w:sz w:val="32"/>
          <w:szCs w:val="32"/>
        </w:rPr>
        <w:t>2019年中央1号文件对高标准农田建设规划提出了明确要求，各级农业农村部门要切实把思想和行动统一到中央关于农田建设的系列部署要求上来，整合资源，创新机制，以高标准农田建设为引领，推动“藏粮于地、藏粮于技”落实落地，加快提升农业综合生产能力，为深入实施乡村振兴战略和打赢脱贫攻坚战提供基础支撑。</w:t>
      </w:r>
    </w:p>
    <w:p w14:paraId="2C4BDD5D">
      <w:pPr>
        <w:spacing w:line="560" w:lineRule="exact"/>
        <w:ind w:firstLine="640" w:firstLineChars="200"/>
        <w:rPr>
          <w:rFonts w:ascii="仿宋_GB2312"/>
          <w:sz w:val="32"/>
          <w:szCs w:val="32"/>
        </w:rPr>
      </w:pPr>
      <w:r>
        <w:rPr>
          <w:rFonts w:hint="eastAsia" w:ascii="仿宋_GB2312"/>
          <w:sz w:val="32"/>
          <w:szCs w:val="32"/>
        </w:rPr>
        <w:t>为贯彻落实乡村振兴规划和2019年中央1号文件要求，确保自治区下达我州高标准农田建设项目顺利实施，巴州农业农村局于下达了相关通知文件，要求各县、市农业农村局严格按照通知要求立即开展前期准备工作，确保自治区下达我州高标准农田建设项目顺利实施。</w:t>
      </w:r>
    </w:p>
    <w:p w14:paraId="7577FF97">
      <w:pPr>
        <w:spacing w:line="560" w:lineRule="exact"/>
        <w:ind w:firstLine="640" w:firstLineChars="200"/>
        <w:rPr>
          <w:rFonts w:ascii="仿宋_GB2312"/>
          <w:sz w:val="32"/>
          <w:szCs w:val="32"/>
        </w:rPr>
      </w:pPr>
      <w:r>
        <w:rPr>
          <w:rFonts w:hint="eastAsia" w:ascii="仿宋_GB2312"/>
          <w:sz w:val="32"/>
          <w:szCs w:val="32"/>
        </w:rPr>
        <w:t>焉耆县根据通知文件要求，加快推进高标准农田建设，切实提升耕地质量，稳定农业生产，确保完成自治区、自治州下达的高标准基本农田建设任务。</w:t>
      </w:r>
    </w:p>
    <w:p w14:paraId="179536A6">
      <w:pPr>
        <w:spacing w:line="560" w:lineRule="exact"/>
        <w:ind w:firstLine="640" w:firstLineChars="200"/>
        <w:rPr>
          <w:rFonts w:ascii="仿宋_GB2312"/>
          <w:sz w:val="32"/>
          <w:szCs w:val="32"/>
        </w:rPr>
      </w:pPr>
      <w:r>
        <w:rPr>
          <w:rFonts w:hint="eastAsia" w:ascii="仿宋_GB2312"/>
          <w:sz w:val="32"/>
          <w:szCs w:val="32"/>
        </w:rPr>
        <w:t>2、主要内容及实施情况</w:t>
      </w:r>
    </w:p>
    <w:p w14:paraId="525E3C45">
      <w:pPr>
        <w:spacing w:line="560" w:lineRule="exact"/>
        <w:ind w:firstLine="640" w:firstLineChars="200"/>
        <w:rPr>
          <w:rFonts w:ascii="仿宋_GB2312"/>
          <w:color w:val="000000" w:themeColor="text1"/>
          <w:sz w:val="32"/>
          <w:szCs w:val="32"/>
        </w:rPr>
      </w:pPr>
      <w:r>
        <w:rPr>
          <w:rFonts w:hint="eastAsia" w:ascii="仿宋_GB2312"/>
          <w:color w:val="000000" w:themeColor="text1"/>
          <w:sz w:val="32"/>
          <w:szCs w:val="32"/>
        </w:rPr>
        <w:t>焉耆县2019-2023年高标准农田建设项目上报州农业农村局后经州局、巴农发文件批复，同意项目按实施方案建设内容施工，文件批准项目建设年限2019年-2023年。建设面积33.24万亩，均为中央和自治区财政专项资金，项目所在位置为</w:t>
      </w:r>
      <w:r>
        <w:rPr>
          <w:rFonts w:hint="eastAsia" w:ascii="仿宋_GB2312" w:hAnsi="仿宋_GB2312" w:cs="仿宋_GB2312"/>
          <w:sz w:val="32"/>
          <w:szCs w:val="32"/>
        </w:rPr>
        <w:t>七个星镇、包尔海乡、永宁镇、北大渠乡、查汗采开乡、五号渠乡、四十里城子镇、良种场等乡镇</w:t>
      </w:r>
      <w:r>
        <w:rPr>
          <w:rFonts w:hint="eastAsia" w:ascii="仿宋_GB2312"/>
          <w:color w:val="000000" w:themeColor="text1"/>
          <w:sz w:val="32"/>
          <w:szCs w:val="32"/>
        </w:rPr>
        <w:t>。</w:t>
      </w:r>
    </w:p>
    <w:p w14:paraId="043B053A">
      <w:pPr>
        <w:spacing w:line="560" w:lineRule="exact"/>
        <w:ind w:firstLine="640" w:firstLineChars="200"/>
        <w:rPr>
          <w:rFonts w:ascii="仿宋_GB2312"/>
          <w:color w:val="FF0000"/>
          <w:sz w:val="32"/>
          <w:szCs w:val="32"/>
        </w:rPr>
      </w:pPr>
      <w:r>
        <w:rPr>
          <w:rFonts w:hint="eastAsia" w:ascii="仿宋_GB2312"/>
          <w:color w:val="000000" w:themeColor="text1"/>
          <w:sz w:val="32"/>
          <w:szCs w:val="32"/>
        </w:rPr>
        <w:t>主要内容：计划完成</w:t>
      </w:r>
      <w:r>
        <w:rPr>
          <w:color w:val="000000" w:themeColor="text1"/>
          <w:sz w:val="32"/>
          <w:szCs w:val="32"/>
        </w:rPr>
        <w:t>高标准农田</w:t>
      </w:r>
      <w:r>
        <w:rPr>
          <w:rFonts w:hint="eastAsia"/>
          <w:color w:val="000000" w:themeColor="text1"/>
          <w:sz w:val="32"/>
          <w:szCs w:val="32"/>
        </w:rPr>
        <w:t>建设</w:t>
      </w:r>
      <w:r>
        <w:rPr>
          <w:color w:val="000000" w:themeColor="text1"/>
          <w:sz w:val="32"/>
          <w:szCs w:val="32"/>
        </w:rPr>
        <w:t>33.24万亩，其中，改良土壤73312.25亩，土地平整57398.22亩，防渗斗渠168.357km，配套渠系建筑物1644座，新建和改造高效节水</w:t>
      </w:r>
      <w:r>
        <w:rPr>
          <w:rFonts w:hint="eastAsia"/>
          <w:color w:val="000000" w:themeColor="text1"/>
          <w:sz w:val="32"/>
          <w:szCs w:val="32"/>
        </w:rPr>
        <w:t>9.09万</w:t>
      </w:r>
      <w:r>
        <w:rPr>
          <w:color w:val="000000" w:themeColor="text1"/>
          <w:sz w:val="32"/>
          <w:szCs w:val="32"/>
        </w:rPr>
        <w:t>亩，新建首部、沉沙池67座，田间道路151.763km，修建机耕道路77.82km，修建生产路30.5km，农田防护林882.76亩，380VA输电线路6.1km。</w:t>
      </w:r>
    </w:p>
    <w:p w14:paraId="67443399">
      <w:pPr>
        <w:spacing w:line="560" w:lineRule="exact"/>
        <w:ind w:firstLine="640" w:firstLineChars="200"/>
        <w:rPr>
          <w:rFonts w:ascii="仿宋_GB2312"/>
          <w:color w:val="FF0000"/>
          <w:sz w:val="32"/>
          <w:szCs w:val="32"/>
        </w:rPr>
      </w:pPr>
      <w:r>
        <w:rPr>
          <w:rFonts w:hint="eastAsia" w:ascii="仿宋_GB2312"/>
          <w:color w:val="000000" w:themeColor="text1"/>
          <w:sz w:val="32"/>
          <w:szCs w:val="32"/>
        </w:rPr>
        <w:t>实施情况：该项目已完成</w:t>
      </w:r>
      <w:r>
        <w:rPr>
          <w:color w:val="000000" w:themeColor="text1"/>
          <w:sz w:val="32"/>
          <w:szCs w:val="32"/>
        </w:rPr>
        <w:t>高标准农田</w:t>
      </w:r>
      <w:r>
        <w:rPr>
          <w:rFonts w:hint="eastAsia"/>
          <w:color w:val="000000" w:themeColor="text1"/>
          <w:sz w:val="32"/>
          <w:szCs w:val="32"/>
        </w:rPr>
        <w:t>建设</w:t>
      </w:r>
      <w:r>
        <w:rPr>
          <w:color w:val="000000" w:themeColor="text1"/>
          <w:sz w:val="32"/>
          <w:szCs w:val="32"/>
        </w:rPr>
        <w:t>33.24万亩，其中，改良土壤73312.25亩，土地平整57398.22亩，防渗斗渠168.357km，配套渠系建筑物1644座，新建和改造高效节水</w:t>
      </w:r>
      <w:r>
        <w:rPr>
          <w:rFonts w:hint="eastAsia"/>
          <w:color w:val="000000" w:themeColor="text1"/>
          <w:sz w:val="32"/>
          <w:szCs w:val="32"/>
        </w:rPr>
        <w:t>9.09万</w:t>
      </w:r>
      <w:r>
        <w:rPr>
          <w:color w:val="000000" w:themeColor="text1"/>
          <w:sz w:val="32"/>
          <w:szCs w:val="32"/>
        </w:rPr>
        <w:t>亩，新建首部、沉沙池67座，田间道路151.763km，修建机耕道路77.82km，修建生产路30.5km，农田防护林882.76亩，380VA输电线路6.1km。</w:t>
      </w:r>
    </w:p>
    <w:p w14:paraId="3E7C50E5">
      <w:pPr>
        <w:spacing w:line="560" w:lineRule="exact"/>
        <w:ind w:firstLine="640" w:firstLineChars="200"/>
        <w:rPr>
          <w:rFonts w:ascii="仿宋_GB2312"/>
          <w:sz w:val="32"/>
          <w:szCs w:val="32"/>
        </w:rPr>
      </w:pPr>
      <w:r>
        <w:rPr>
          <w:rFonts w:hint="eastAsia" w:ascii="仿宋_GB2312"/>
          <w:sz w:val="32"/>
          <w:szCs w:val="32"/>
        </w:rPr>
        <w:t>3、资金投入和使用情况</w:t>
      </w:r>
    </w:p>
    <w:p w14:paraId="423832A3">
      <w:pPr>
        <w:spacing w:line="560" w:lineRule="exact"/>
        <w:ind w:firstLine="640" w:firstLineChars="200"/>
        <w:rPr>
          <w:rFonts w:ascii="仿宋_GB2312"/>
          <w:sz w:val="32"/>
          <w:szCs w:val="32"/>
        </w:rPr>
      </w:pPr>
      <w:r>
        <w:rPr>
          <w:rFonts w:hint="eastAsia" w:ascii="仿宋_GB2312"/>
          <w:sz w:val="32"/>
          <w:szCs w:val="32"/>
        </w:rPr>
        <w:t>资金投入情况：该项目预算数12627万元，实际总投入12627万元，资金落实到位12627万元。</w:t>
      </w:r>
    </w:p>
    <w:p w14:paraId="00FB8211">
      <w:pPr>
        <w:spacing w:line="560" w:lineRule="exact"/>
        <w:ind w:firstLine="640" w:firstLineChars="200"/>
        <w:rPr>
          <w:rFonts w:ascii="仿宋_GB2312"/>
          <w:sz w:val="28"/>
          <w:szCs w:val="28"/>
        </w:rPr>
      </w:pPr>
      <w:r>
        <w:rPr>
          <w:rFonts w:hint="eastAsia" w:ascii="仿宋_GB2312"/>
          <w:sz w:val="32"/>
          <w:szCs w:val="32"/>
        </w:rPr>
        <w:t>资金使用情况：该项目预算数12627万元，执行数12627万元，预算执行率为100%，用于：高标准农田建设项目总投入12627万元。</w:t>
      </w:r>
      <w:bookmarkStart w:id="21" w:name="_GoBack"/>
      <w:bookmarkEnd w:id="21"/>
      <w:r>
        <w:rPr>
          <w:rFonts w:hint="eastAsia" w:ascii="仿宋_GB2312"/>
          <w:sz w:val="32"/>
          <w:szCs w:val="32"/>
          <w:lang w:eastAsia="zh-CN"/>
        </w:rPr>
        <w:t>截至目前</w:t>
      </w:r>
      <w:r>
        <w:rPr>
          <w:rFonts w:hint="eastAsia" w:ascii="仿宋_GB2312"/>
          <w:sz w:val="32"/>
          <w:szCs w:val="32"/>
        </w:rPr>
        <w:t>支付资金12627万元，支付率100%</w:t>
      </w:r>
    </w:p>
    <w:p w14:paraId="4BB97A67">
      <w:pPr>
        <w:pStyle w:val="4"/>
        <w:spacing w:before="0" w:after="0" w:line="360" w:lineRule="auto"/>
        <w:rPr>
          <w:rFonts w:ascii="仿宋_GB2312" w:eastAsia="仿宋_GB2312"/>
          <w:b w:val="0"/>
          <w:bCs w:val="0"/>
        </w:rPr>
      </w:pPr>
      <w:bookmarkStart w:id="2" w:name="_Toc68703829"/>
      <w:r>
        <w:rPr>
          <w:rFonts w:hint="eastAsia" w:ascii="仿宋_GB2312" w:eastAsia="仿宋_GB2312"/>
          <w:b w:val="0"/>
          <w:bCs w:val="0"/>
        </w:rPr>
        <w:t>（二）项目绩效目标</w:t>
      </w:r>
      <w:bookmarkEnd w:id="2"/>
    </w:p>
    <w:p w14:paraId="25998C0D">
      <w:pPr>
        <w:spacing w:line="560" w:lineRule="exact"/>
        <w:ind w:firstLine="640" w:firstLineChars="200"/>
        <w:rPr>
          <w:rFonts w:ascii="仿宋_GB2312"/>
          <w:sz w:val="32"/>
          <w:szCs w:val="32"/>
          <w:highlight w:val="yellow"/>
        </w:rPr>
      </w:pPr>
      <w:r>
        <w:rPr>
          <w:rFonts w:hint="eastAsia" w:ascii="仿宋_GB2312"/>
          <w:sz w:val="32"/>
          <w:szCs w:val="32"/>
        </w:rPr>
        <w:t>1、总体目标：通过项目建设，高质量完成2019-2023年自治州下达焉耆县33.24万亩高标准农田建设任务，项目区农田实现田块平整、集中连片，水电路设施配套完善，耕地质量和地力明显改善，水资源利用率明显提高，防灾减灾和科技服务明显加强，基本达到高标准农田建设标准。力争完成</w:t>
      </w:r>
      <w:r>
        <w:rPr>
          <w:color w:val="000000" w:themeColor="text1"/>
          <w:sz w:val="32"/>
          <w:szCs w:val="32"/>
        </w:rPr>
        <w:t>改良土壤73312.25亩，土地平整57398.22亩，防渗斗渠168.357km，配套渠系建筑物1644座，新建和改造高效节水9.09万亩，新建首部、沉沙池67座，田间道路151.763km，修建机耕道路77.82km，修建生产路30.5km，农田防护林882.76亩，380VA输电线路6.1km。</w:t>
      </w:r>
    </w:p>
    <w:p w14:paraId="0E9E8A5E">
      <w:pPr>
        <w:spacing w:line="560" w:lineRule="exact"/>
        <w:ind w:firstLine="640" w:firstLineChars="200"/>
        <w:rPr>
          <w:rFonts w:ascii="仿宋_GB2312"/>
          <w:sz w:val="28"/>
          <w:szCs w:val="28"/>
          <w:highlight w:val="yellow"/>
        </w:rPr>
      </w:pPr>
      <w:r>
        <w:rPr>
          <w:rFonts w:hint="eastAsia" w:ascii="仿宋_GB2312"/>
          <w:sz w:val="32"/>
          <w:szCs w:val="32"/>
        </w:rPr>
        <w:t>2、阶段性目标：2019年开始施工，20</w:t>
      </w:r>
      <w:bookmarkStart w:id="3" w:name="_Toc68703830"/>
      <w:r>
        <w:rPr>
          <w:rFonts w:hint="eastAsia" w:ascii="仿宋_GB2312"/>
          <w:sz w:val="32"/>
          <w:szCs w:val="32"/>
        </w:rPr>
        <w:t>23年完成</w:t>
      </w:r>
      <w:r>
        <w:rPr>
          <w:color w:val="000000" w:themeColor="text1"/>
          <w:sz w:val="32"/>
          <w:szCs w:val="32"/>
        </w:rPr>
        <w:t>改良土壤73312.25亩，土地平整57398.22亩，防渗斗渠168.357km，配套渠系建筑物1644座，新建和改造高效节水9.09万亩，新建首部、沉沙池67座，田间道路151.763km，修建机耕道路77.82km，修建生产路30.5km，农田防护林882.76亩，380VA输电线路6.1km。</w:t>
      </w:r>
    </w:p>
    <w:p w14:paraId="732F021A">
      <w:pPr>
        <w:pStyle w:val="3"/>
        <w:spacing w:before="0" w:after="0" w:line="560" w:lineRule="exact"/>
        <w:rPr>
          <w:rFonts w:ascii="宋体" w:hAnsi="宋体" w:eastAsia="宋体"/>
          <w:sz w:val="32"/>
          <w:szCs w:val="32"/>
        </w:rPr>
      </w:pPr>
      <w:r>
        <w:rPr>
          <w:rFonts w:hint="eastAsia" w:ascii="宋体" w:hAnsi="宋体" w:eastAsia="宋体"/>
          <w:sz w:val="32"/>
          <w:szCs w:val="32"/>
        </w:rPr>
        <w:t>二、绩效评价工作开展情况</w:t>
      </w:r>
      <w:bookmarkEnd w:id="3"/>
    </w:p>
    <w:p w14:paraId="6D7083FF">
      <w:pPr>
        <w:pStyle w:val="4"/>
        <w:spacing w:before="0" w:after="0"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14:paraId="1084C4DA">
      <w:pPr>
        <w:spacing w:line="560" w:lineRule="exact"/>
        <w:rPr>
          <w:rFonts w:ascii="仿宋_GB2312"/>
          <w:sz w:val="32"/>
          <w:szCs w:val="32"/>
        </w:rPr>
      </w:pPr>
      <w:r>
        <w:rPr>
          <w:rFonts w:hint="eastAsia" w:ascii="仿宋_GB2312"/>
          <w:sz w:val="32"/>
          <w:szCs w:val="32"/>
        </w:rPr>
        <w:t>1、绩效评价目的</w:t>
      </w:r>
    </w:p>
    <w:p w14:paraId="5080925F">
      <w:pPr>
        <w:spacing w:line="560" w:lineRule="exact"/>
        <w:ind w:firstLine="640" w:firstLineChars="200"/>
        <w:rPr>
          <w:rFonts w:ascii="仿宋_GB2312"/>
          <w:sz w:val="32"/>
          <w:szCs w:val="32"/>
        </w:rPr>
      </w:pPr>
      <w:r>
        <w:rPr>
          <w:rFonts w:hint="eastAsia" w:ascii="仿宋_GB2312"/>
          <w:sz w:val="32"/>
          <w:szCs w:val="32"/>
        </w:rPr>
        <w:t>通过绩效评价，客观地评判项目的管理绩效，了解和掌握焉耆县高标准农田建设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6F7C22AC">
      <w:pPr>
        <w:spacing w:line="560" w:lineRule="exact"/>
        <w:rPr>
          <w:rFonts w:ascii="仿宋_GB2312"/>
          <w:sz w:val="32"/>
          <w:szCs w:val="32"/>
        </w:rPr>
      </w:pPr>
      <w:r>
        <w:rPr>
          <w:rFonts w:hint="eastAsia" w:ascii="仿宋_GB2312"/>
          <w:sz w:val="32"/>
          <w:szCs w:val="32"/>
        </w:rPr>
        <w:t>2、绩效评价对象</w:t>
      </w:r>
    </w:p>
    <w:p w14:paraId="084B0A5D">
      <w:pPr>
        <w:spacing w:line="560" w:lineRule="exact"/>
        <w:ind w:firstLine="640" w:firstLineChars="200"/>
        <w:rPr>
          <w:rFonts w:ascii="仿宋_GB2312"/>
          <w:sz w:val="32"/>
          <w:szCs w:val="32"/>
        </w:rPr>
      </w:pPr>
      <w:r>
        <w:rPr>
          <w:rFonts w:hint="eastAsia" w:ascii="仿宋_GB2312"/>
          <w:sz w:val="32"/>
          <w:szCs w:val="32"/>
        </w:rPr>
        <w:t>焉耆县2019-2023年高标准农田建设项目。</w:t>
      </w:r>
    </w:p>
    <w:p w14:paraId="41D93839">
      <w:pPr>
        <w:spacing w:line="560" w:lineRule="exact"/>
        <w:rPr>
          <w:rFonts w:ascii="仿宋_GB2312"/>
          <w:sz w:val="32"/>
          <w:szCs w:val="32"/>
        </w:rPr>
      </w:pPr>
      <w:r>
        <w:rPr>
          <w:rFonts w:hint="eastAsia" w:ascii="仿宋_GB2312"/>
          <w:sz w:val="32"/>
          <w:szCs w:val="32"/>
        </w:rPr>
        <w:t>3、绩效评价范围</w:t>
      </w:r>
    </w:p>
    <w:p w14:paraId="454EC384">
      <w:pPr>
        <w:spacing w:line="560" w:lineRule="exact"/>
        <w:ind w:firstLine="640" w:firstLineChars="200"/>
        <w:rPr>
          <w:rFonts w:ascii="仿宋_GB2312"/>
          <w:sz w:val="32"/>
          <w:szCs w:val="32"/>
        </w:rPr>
      </w:pPr>
      <w:r>
        <w:rPr>
          <w:rFonts w:hint="eastAsia" w:ascii="仿宋_GB2312"/>
          <w:sz w:val="32"/>
          <w:szCs w:val="32"/>
        </w:rPr>
        <w:t>本次评价从项目决策（包括绩效目标、决策过程）、项目管理（包括项目资金、项目实施）、项目产出（包括项目产出数量、产出质量、产出时效和产出成本）项目效益四个维度进行焉耆县高标准农田建设项目评价，评价核心为专项资金的支出完成情况和效果。</w:t>
      </w:r>
      <w:bookmarkStart w:id="5" w:name="_Toc68703832"/>
    </w:p>
    <w:p w14:paraId="79AF6C80">
      <w:pPr>
        <w:pStyle w:val="4"/>
        <w:spacing w:before="0" w:after="0" w:line="360" w:lineRule="auto"/>
        <w:rPr>
          <w:rFonts w:ascii="仿宋_GB2312" w:eastAsia="仿宋_GB2312"/>
          <w:b w:val="0"/>
          <w:bCs w:val="0"/>
        </w:rPr>
      </w:pPr>
      <w:r>
        <w:rPr>
          <w:rFonts w:hint="eastAsia" w:ascii="仿宋_GB2312" w:eastAsia="仿宋_GB2312"/>
          <w:b w:val="0"/>
          <w:bCs w:val="0"/>
        </w:rPr>
        <w:t>（二）绩效评价原则、评价指标体系、评价方法、评价标准等</w:t>
      </w:r>
      <w:bookmarkEnd w:id="5"/>
    </w:p>
    <w:p w14:paraId="59E26AA0">
      <w:pPr>
        <w:spacing w:line="560" w:lineRule="exact"/>
        <w:ind w:firstLine="640" w:firstLineChars="200"/>
        <w:jc w:val="left"/>
        <w:rPr>
          <w:rFonts w:ascii="仿宋_GB2312"/>
          <w:sz w:val="32"/>
          <w:szCs w:val="32"/>
        </w:rPr>
      </w:pPr>
      <w:r>
        <w:rPr>
          <w:rFonts w:hint="eastAsia" w:ascii="仿宋_GB2312"/>
          <w:sz w:val="32"/>
          <w:szCs w:val="32"/>
        </w:rPr>
        <w:t>1、绩效评价原则</w:t>
      </w:r>
    </w:p>
    <w:p w14:paraId="5E216D57">
      <w:pPr>
        <w:spacing w:line="560" w:lineRule="exact"/>
        <w:ind w:firstLine="640" w:firstLineChars="200"/>
        <w:jc w:val="left"/>
        <w:rPr>
          <w:rFonts w:ascii="仿宋_GB2312"/>
          <w:sz w:val="32"/>
          <w:szCs w:val="32"/>
        </w:rPr>
      </w:pPr>
      <w:r>
        <w:rPr>
          <w:rFonts w:hint="eastAsia" w:ascii="仿宋_GB2312"/>
          <w:sz w:val="32"/>
          <w:szCs w:val="32"/>
        </w:rPr>
        <w:t>（1）科学公正。绩效评价应当运用科学合理的方法，按照规范的程序，对项目绩效进行客观、公正的反映。</w:t>
      </w:r>
    </w:p>
    <w:p w14:paraId="436C8E0E">
      <w:pPr>
        <w:spacing w:line="560" w:lineRule="exact"/>
        <w:ind w:firstLine="640" w:firstLineChars="200"/>
        <w:jc w:val="left"/>
        <w:rPr>
          <w:rFonts w:ascii="仿宋_GB2312"/>
          <w:sz w:val="32"/>
          <w:szCs w:val="32"/>
        </w:rPr>
      </w:pPr>
      <w:r>
        <w:rPr>
          <w:rFonts w:hint="eastAsia" w:ascii="仿宋_GB2312"/>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69274B2">
      <w:pPr>
        <w:spacing w:line="560" w:lineRule="exact"/>
        <w:ind w:firstLine="640" w:firstLineChars="200"/>
        <w:jc w:val="left"/>
        <w:rPr>
          <w:rFonts w:ascii="仿宋_GB2312"/>
          <w:sz w:val="32"/>
          <w:szCs w:val="32"/>
        </w:rPr>
      </w:pPr>
      <w:r>
        <w:rPr>
          <w:rFonts w:hint="eastAsia" w:ascii="仿宋_GB2312"/>
          <w:sz w:val="32"/>
          <w:szCs w:val="32"/>
        </w:rPr>
        <w:t>（3）激励约束。绩效评价结果应与预算安排、政策调整、改进管理实质性挂钩，体现奖优罚劣和激励相容导向，有效要安排、低效要压减、无效要问责。</w:t>
      </w:r>
    </w:p>
    <w:p w14:paraId="2B93A0B0">
      <w:pPr>
        <w:spacing w:line="560" w:lineRule="exact"/>
        <w:ind w:firstLine="640" w:firstLineChars="200"/>
        <w:jc w:val="left"/>
        <w:rPr>
          <w:rFonts w:ascii="仿宋_GB2312"/>
          <w:sz w:val="32"/>
          <w:szCs w:val="32"/>
        </w:rPr>
      </w:pPr>
      <w:r>
        <w:rPr>
          <w:rFonts w:hint="eastAsia" w:ascii="仿宋_GB2312"/>
          <w:sz w:val="32"/>
          <w:szCs w:val="32"/>
        </w:rPr>
        <w:t>（4）公开透明。绩效评价结果应依法依规公开，并自觉接受社会监督。</w:t>
      </w:r>
    </w:p>
    <w:p w14:paraId="5988597A">
      <w:pPr>
        <w:spacing w:line="560" w:lineRule="exact"/>
        <w:ind w:firstLine="640" w:firstLineChars="200"/>
        <w:jc w:val="left"/>
      </w:pPr>
      <w:r>
        <w:rPr>
          <w:rFonts w:hint="eastAsia" w:ascii="仿宋_GB2312"/>
          <w:sz w:val="32"/>
          <w:szCs w:val="32"/>
        </w:rPr>
        <w:t>本次项目支出绩效自评采用以上评价原则，根据《财政部关于印发&lt;财政支出绩效评价管理暂行办法＞的通知》(财预﹝2011﹞285号)、财政部《项目支出绩效评价管理办法》(财预﹝2020﹞10号)、关于印发《自治州财政支出绩效评价管理暂行办法》的通知(巴财预﹝2019﹞82号)，我单位组织评价小组，对焉耆县高标准农田建设项目实施情况评价，部门评价和财政评价在单位自评的基础上开展，职责明确，各有侧重，相互衔接。根据绩效评价结果体现奖优罚劣和激励相容导向。绩效评价结果依法依规公开，并自觉接受社会监督，对项目绩效进行客观、公正的反映。</w:t>
      </w:r>
    </w:p>
    <w:p w14:paraId="5EDD797B">
      <w:pPr>
        <w:spacing w:line="560" w:lineRule="exact"/>
      </w:pPr>
      <w:r>
        <w:rPr>
          <w:rFonts w:hint="eastAsia"/>
        </w:rPr>
        <w:t>2、评价指标体系（附表说明）</w:t>
      </w:r>
    </w:p>
    <w:p w14:paraId="718A4D8E">
      <w:pPr>
        <w:pStyle w:val="4"/>
        <w:spacing w:before="0" w:after="0" w:line="560" w:lineRule="exact"/>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焉耆县高标准农田建设项目支出绩效评价指标体系</w:t>
      </w:r>
    </w:p>
    <w:tbl>
      <w:tblPr>
        <w:tblStyle w:val="13"/>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4B5E20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61CE33AD">
            <w:pPr>
              <w:widowControl/>
              <w:spacing w:line="560" w:lineRule="exac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14:paraId="3EA14DB0">
            <w:pPr>
              <w:widowControl/>
              <w:spacing w:line="560" w:lineRule="exac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14:paraId="4D2E2A9C">
            <w:pPr>
              <w:widowControl/>
              <w:spacing w:line="560" w:lineRule="exac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14:paraId="7F257C0F">
            <w:pPr>
              <w:widowControl/>
              <w:spacing w:line="560" w:lineRule="exact"/>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14:paraId="5C154009">
            <w:pPr>
              <w:widowControl/>
              <w:spacing w:line="560" w:lineRule="exact"/>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14:paraId="36468B63">
            <w:pPr>
              <w:widowControl/>
              <w:spacing w:line="560" w:lineRule="exact"/>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14:paraId="683FF3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75229E6E">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14:paraId="4C24DCD8">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项目立项</w:t>
            </w:r>
          </w:p>
        </w:tc>
        <w:tc>
          <w:tcPr>
            <w:tcW w:w="1875" w:type="dxa"/>
            <w:tcBorders>
              <w:right w:val="single" w:color="auto" w:sz="4" w:space="0"/>
            </w:tcBorders>
            <w:shd w:val="clear" w:color="auto" w:fill="FFFFFF"/>
            <w:vAlign w:val="center"/>
          </w:tcPr>
          <w:p w14:paraId="3D39201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立项依据</w:t>
            </w:r>
          </w:p>
          <w:p w14:paraId="5391C39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14:paraId="1A0A3807">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14:paraId="15141DCB">
            <w:pPr>
              <w:spacing w:line="560" w:lineRule="exact"/>
              <w:jc w:val="center"/>
            </w:pPr>
            <w:r>
              <w:rPr>
                <w:rFonts w:hint="eastAsia"/>
              </w:rPr>
              <w:t>5</w:t>
            </w:r>
          </w:p>
        </w:tc>
        <w:tc>
          <w:tcPr>
            <w:tcW w:w="874" w:type="dxa"/>
            <w:tcBorders>
              <w:bottom w:val="single" w:color="auto" w:sz="4" w:space="0"/>
            </w:tcBorders>
            <w:shd w:val="clear" w:color="auto" w:fill="FFFFFF"/>
            <w:vAlign w:val="center"/>
          </w:tcPr>
          <w:p w14:paraId="3FC79F88">
            <w:pPr>
              <w:spacing w:line="560" w:lineRule="exact"/>
              <w:jc w:val="center"/>
            </w:pPr>
            <w:r>
              <w:rPr>
                <w:rFonts w:hint="eastAsia"/>
              </w:rPr>
              <w:t>5</w:t>
            </w:r>
          </w:p>
        </w:tc>
      </w:tr>
      <w:tr w14:paraId="65C034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7868BB4F">
            <w:pPr>
              <w:spacing w:line="560" w:lineRule="exact"/>
              <w:jc w:val="center"/>
              <w:rPr>
                <w:rFonts w:ascii="宋体" w:hAnsi="宋体" w:cs="宋体"/>
                <w:color w:val="000000"/>
                <w:kern w:val="0"/>
                <w:sz w:val="22"/>
              </w:rPr>
            </w:pPr>
          </w:p>
        </w:tc>
        <w:tc>
          <w:tcPr>
            <w:tcW w:w="1478" w:type="dxa"/>
            <w:vMerge w:val="continue"/>
            <w:shd w:val="clear" w:color="auto" w:fill="FFFFFF"/>
            <w:vAlign w:val="center"/>
          </w:tcPr>
          <w:p w14:paraId="64E6B531">
            <w:pPr>
              <w:widowControl/>
              <w:spacing w:line="560" w:lineRule="exac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01C1FD6F">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立项程序</w:t>
            </w:r>
          </w:p>
          <w:p w14:paraId="0A243CA1">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14:paraId="2B36B3E6">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center"/>
          </w:tcPr>
          <w:p w14:paraId="6CA04CFE">
            <w:pPr>
              <w:spacing w:line="560" w:lineRule="exact"/>
              <w:jc w:val="center"/>
            </w:pPr>
            <w:r>
              <w:rPr>
                <w:rFonts w:hint="eastAsia"/>
              </w:rPr>
              <w:t>5</w:t>
            </w:r>
          </w:p>
        </w:tc>
        <w:tc>
          <w:tcPr>
            <w:tcW w:w="874" w:type="dxa"/>
            <w:shd w:val="clear" w:color="auto" w:fill="FFFFFF"/>
            <w:vAlign w:val="center"/>
          </w:tcPr>
          <w:p w14:paraId="5CB6A40B">
            <w:pPr>
              <w:spacing w:line="560" w:lineRule="exact"/>
              <w:jc w:val="center"/>
            </w:pPr>
            <w:r>
              <w:rPr>
                <w:rFonts w:hint="eastAsia"/>
              </w:rPr>
              <w:t>5</w:t>
            </w:r>
          </w:p>
        </w:tc>
      </w:tr>
      <w:tr w14:paraId="7AEAF9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19B0D1C6">
            <w:pPr>
              <w:spacing w:line="560" w:lineRule="exact"/>
              <w:jc w:val="center"/>
              <w:rPr>
                <w:rFonts w:ascii="宋体" w:hAnsi="宋体" w:cs="宋体"/>
                <w:color w:val="000000"/>
                <w:kern w:val="0"/>
                <w:sz w:val="22"/>
              </w:rPr>
            </w:pPr>
          </w:p>
        </w:tc>
        <w:tc>
          <w:tcPr>
            <w:tcW w:w="1478" w:type="dxa"/>
            <w:vMerge w:val="restart"/>
            <w:shd w:val="clear" w:color="auto" w:fill="FFFFFF"/>
            <w:vAlign w:val="center"/>
          </w:tcPr>
          <w:p w14:paraId="2F6C4A02">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14:paraId="68600797">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绩效目标</w:t>
            </w:r>
          </w:p>
          <w:p w14:paraId="47101607">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14:paraId="4F29F324">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14:paraId="17619BCD">
            <w:pPr>
              <w:spacing w:line="560" w:lineRule="exact"/>
              <w:jc w:val="center"/>
            </w:pPr>
            <w:r>
              <w:rPr>
                <w:rFonts w:hint="eastAsia"/>
              </w:rPr>
              <w:t>2.5</w:t>
            </w:r>
          </w:p>
        </w:tc>
        <w:tc>
          <w:tcPr>
            <w:tcW w:w="874" w:type="dxa"/>
            <w:shd w:val="clear" w:color="000000" w:fill="FFFFFF"/>
            <w:vAlign w:val="center"/>
          </w:tcPr>
          <w:p w14:paraId="16A2B448">
            <w:pPr>
              <w:spacing w:line="560" w:lineRule="exact"/>
              <w:jc w:val="center"/>
            </w:pPr>
            <w:r>
              <w:rPr>
                <w:rFonts w:hint="eastAsia"/>
              </w:rPr>
              <w:t>2.5</w:t>
            </w:r>
          </w:p>
        </w:tc>
      </w:tr>
      <w:tr w14:paraId="3CDAC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2370EC66">
            <w:pPr>
              <w:widowControl/>
              <w:spacing w:line="560" w:lineRule="exact"/>
              <w:jc w:val="center"/>
              <w:rPr>
                <w:rFonts w:ascii="宋体" w:hAnsi="宋体" w:cs="宋体"/>
                <w:color w:val="000000"/>
                <w:kern w:val="0"/>
                <w:sz w:val="22"/>
              </w:rPr>
            </w:pPr>
          </w:p>
        </w:tc>
        <w:tc>
          <w:tcPr>
            <w:tcW w:w="1478" w:type="dxa"/>
            <w:vMerge w:val="continue"/>
            <w:shd w:val="clear" w:color="auto" w:fill="FFFFFF"/>
            <w:vAlign w:val="center"/>
          </w:tcPr>
          <w:p w14:paraId="3E29D84D">
            <w:pPr>
              <w:widowControl/>
              <w:spacing w:line="560" w:lineRule="exac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665BD43E">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绩效指标</w:t>
            </w:r>
          </w:p>
          <w:p w14:paraId="6BEA394B">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14:paraId="13A4EC3B">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14:paraId="3907622F">
            <w:pPr>
              <w:spacing w:line="560" w:lineRule="exact"/>
              <w:jc w:val="center"/>
            </w:pPr>
            <w:r>
              <w:rPr>
                <w:rFonts w:hint="eastAsia"/>
              </w:rPr>
              <w:t>2.5</w:t>
            </w:r>
          </w:p>
        </w:tc>
        <w:tc>
          <w:tcPr>
            <w:tcW w:w="874" w:type="dxa"/>
            <w:tcBorders>
              <w:bottom w:val="single" w:color="auto" w:sz="4" w:space="0"/>
            </w:tcBorders>
            <w:shd w:val="clear" w:color="000000" w:fill="FFFFFF"/>
            <w:vAlign w:val="center"/>
          </w:tcPr>
          <w:p w14:paraId="6B4E7B3D">
            <w:pPr>
              <w:spacing w:line="560" w:lineRule="exact"/>
              <w:jc w:val="center"/>
            </w:pPr>
            <w:r>
              <w:rPr>
                <w:rFonts w:hint="eastAsia"/>
              </w:rPr>
              <w:t>2.5</w:t>
            </w:r>
          </w:p>
        </w:tc>
      </w:tr>
      <w:tr w14:paraId="5A58C6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3144B009">
            <w:pPr>
              <w:spacing w:line="560" w:lineRule="exact"/>
              <w:jc w:val="center"/>
              <w:rPr>
                <w:rFonts w:ascii="宋体" w:hAnsi="宋体" w:cs="宋体"/>
                <w:color w:val="000000"/>
                <w:kern w:val="0"/>
                <w:sz w:val="22"/>
              </w:rPr>
            </w:pPr>
          </w:p>
        </w:tc>
        <w:tc>
          <w:tcPr>
            <w:tcW w:w="1478" w:type="dxa"/>
            <w:vMerge w:val="restart"/>
            <w:shd w:val="clear" w:color="auto" w:fill="FFFFFF"/>
            <w:vAlign w:val="center"/>
          </w:tcPr>
          <w:p w14:paraId="33220C1B">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资金投入</w:t>
            </w:r>
          </w:p>
        </w:tc>
        <w:tc>
          <w:tcPr>
            <w:tcW w:w="1875" w:type="dxa"/>
            <w:tcBorders>
              <w:right w:val="single" w:color="auto" w:sz="4" w:space="0"/>
            </w:tcBorders>
            <w:shd w:val="clear" w:color="auto" w:fill="FFFFFF"/>
            <w:vAlign w:val="center"/>
          </w:tcPr>
          <w:p w14:paraId="3C37428C">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预算编制</w:t>
            </w:r>
          </w:p>
          <w:p w14:paraId="2F00CD6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14:paraId="4CD59CE6">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14:paraId="39F0F647">
            <w:pPr>
              <w:spacing w:line="560" w:lineRule="exact"/>
              <w:jc w:val="center"/>
            </w:pPr>
            <w:r>
              <w:rPr>
                <w:rFonts w:hint="eastAsia"/>
              </w:rPr>
              <w:t>2.5</w:t>
            </w:r>
          </w:p>
        </w:tc>
        <w:tc>
          <w:tcPr>
            <w:tcW w:w="874" w:type="dxa"/>
            <w:tcBorders>
              <w:bottom w:val="single" w:color="auto" w:sz="4" w:space="0"/>
            </w:tcBorders>
            <w:shd w:val="clear" w:color="auto" w:fill="FFFFFF"/>
            <w:vAlign w:val="center"/>
          </w:tcPr>
          <w:p w14:paraId="6C24C9A6">
            <w:pPr>
              <w:spacing w:line="560" w:lineRule="exact"/>
              <w:jc w:val="center"/>
            </w:pPr>
            <w:r>
              <w:rPr>
                <w:rFonts w:hint="eastAsia"/>
              </w:rPr>
              <w:t>2.5</w:t>
            </w:r>
          </w:p>
        </w:tc>
      </w:tr>
      <w:tr w14:paraId="120B6A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1AC65376">
            <w:pPr>
              <w:widowControl/>
              <w:spacing w:line="560" w:lineRule="exact"/>
              <w:jc w:val="center"/>
              <w:rPr>
                <w:rFonts w:ascii="宋体" w:hAnsi="宋体" w:cs="宋体"/>
                <w:color w:val="000000"/>
                <w:kern w:val="0"/>
                <w:sz w:val="22"/>
              </w:rPr>
            </w:pPr>
          </w:p>
        </w:tc>
        <w:tc>
          <w:tcPr>
            <w:tcW w:w="1478" w:type="dxa"/>
            <w:vMerge w:val="continue"/>
            <w:shd w:val="clear" w:color="auto" w:fill="FFFFFF"/>
            <w:vAlign w:val="center"/>
          </w:tcPr>
          <w:p w14:paraId="457CA4D7">
            <w:pPr>
              <w:widowControl/>
              <w:spacing w:line="560" w:lineRule="exac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9CCB72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资金分配</w:t>
            </w:r>
          </w:p>
          <w:p w14:paraId="1D9C28D8">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14:paraId="0AD7A4B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14:paraId="0DD797F7">
            <w:pPr>
              <w:spacing w:line="560" w:lineRule="exact"/>
              <w:jc w:val="center"/>
            </w:pPr>
            <w:r>
              <w:rPr>
                <w:rFonts w:hint="eastAsia"/>
              </w:rPr>
              <w:t>2.5</w:t>
            </w:r>
          </w:p>
        </w:tc>
        <w:tc>
          <w:tcPr>
            <w:tcW w:w="874" w:type="dxa"/>
            <w:shd w:val="clear" w:color="auto" w:fill="FFFFFF"/>
            <w:vAlign w:val="center"/>
          </w:tcPr>
          <w:p w14:paraId="22EDA624">
            <w:pPr>
              <w:spacing w:line="560" w:lineRule="exact"/>
              <w:jc w:val="center"/>
            </w:pPr>
            <w:r>
              <w:rPr>
                <w:rFonts w:hint="eastAsia"/>
              </w:rPr>
              <w:t>2.5</w:t>
            </w:r>
          </w:p>
        </w:tc>
      </w:tr>
      <w:tr w14:paraId="68C43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5B028067">
            <w:pPr>
              <w:spacing w:line="560" w:lineRule="exac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14:paraId="0A04D493">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765BC71E">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14:paraId="39F2C12F">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14:paraId="30EA0882">
            <w:pPr>
              <w:spacing w:line="560" w:lineRule="exact"/>
              <w:jc w:val="center"/>
            </w:pPr>
            <w:r>
              <w:rPr>
                <w:rFonts w:hint="eastAsia"/>
              </w:rPr>
              <w:t>4</w:t>
            </w:r>
          </w:p>
        </w:tc>
        <w:tc>
          <w:tcPr>
            <w:tcW w:w="874" w:type="dxa"/>
            <w:tcBorders>
              <w:bottom w:val="single" w:color="auto" w:sz="4" w:space="0"/>
            </w:tcBorders>
            <w:shd w:val="clear" w:color="000000" w:fill="FFFFFF"/>
            <w:vAlign w:val="center"/>
          </w:tcPr>
          <w:p w14:paraId="1D55344D">
            <w:pPr>
              <w:spacing w:line="560" w:lineRule="exact"/>
              <w:jc w:val="center"/>
            </w:pPr>
            <w:r>
              <w:rPr>
                <w:rFonts w:hint="eastAsia"/>
              </w:rPr>
              <w:t>4</w:t>
            </w:r>
          </w:p>
        </w:tc>
      </w:tr>
      <w:tr w14:paraId="73A07D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4A57A703">
            <w:pPr>
              <w:spacing w:line="560" w:lineRule="exact"/>
              <w:jc w:val="center"/>
              <w:rPr>
                <w:rFonts w:ascii="宋体" w:hAnsi="宋体" w:cs="宋体"/>
                <w:color w:val="000000"/>
                <w:kern w:val="0"/>
                <w:sz w:val="22"/>
              </w:rPr>
            </w:pPr>
          </w:p>
        </w:tc>
        <w:tc>
          <w:tcPr>
            <w:tcW w:w="1478" w:type="dxa"/>
            <w:vMerge w:val="continue"/>
            <w:shd w:val="clear" w:color="auto" w:fill="FFFFFF"/>
            <w:vAlign w:val="center"/>
          </w:tcPr>
          <w:p w14:paraId="1FAF0D36">
            <w:pPr>
              <w:spacing w:line="560" w:lineRule="exac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199A9268">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14:paraId="59EF65B0">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center"/>
          </w:tcPr>
          <w:p w14:paraId="501CFCD5">
            <w:pPr>
              <w:spacing w:line="560" w:lineRule="exact"/>
              <w:jc w:val="center"/>
            </w:pPr>
            <w:r>
              <w:rPr>
                <w:rFonts w:hint="eastAsia"/>
              </w:rPr>
              <w:t>4</w:t>
            </w:r>
          </w:p>
        </w:tc>
        <w:tc>
          <w:tcPr>
            <w:tcW w:w="874" w:type="dxa"/>
            <w:tcBorders>
              <w:bottom w:val="single" w:color="auto" w:sz="4" w:space="0"/>
            </w:tcBorders>
            <w:shd w:val="clear" w:color="auto" w:fill="FFFFFF"/>
            <w:vAlign w:val="center"/>
          </w:tcPr>
          <w:p w14:paraId="031C66CD">
            <w:pPr>
              <w:spacing w:line="560" w:lineRule="exact"/>
              <w:jc w:val="center"/>
            </w:pPr>
            <w:r>
              <w:rPr>
                <w:rFonts w:hint="eastAsia"/>
              </w:rPr>
              <w:t>4</w:t>
            </w:r>
          </w:p>
        </w:tc>
      </w:tr>
      <w:tr w14:paraId="1C21F8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6F05CA5A">
            <w:pPr>
              <w:spacing w:line="560" w:lineRule="exact"/>
              <w:jc w:val="center"/>
              <w:rPr>
                <w:rFonts w:ascii="宋体" w:hAnsi="宋体" w:cs="宋体"/>
                <w:color w:val="000000"/>
                <w:kern w:val="0"/>
                <w:sz w:val="22"/>
              </w:rPr>
            </w:pPr>
          </w:p>
        </w:tc>
        <w:tc>
          <w:tcPr>
            <w:tcW w:w="1478" w:type="dxa"/>
            <w:shd w:val="clear" w:color="auto" w:fill="FFFFFF"/>
            <w:vAlign w:val="center"/>
          </w:tcPr>
          <w:p w14:paraId="4C30E318">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0A84E810">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资金使用</w:t>
            </w:r>
          </w:p>
          <w:p w14:paraId="27C76736">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14:paraId="27CF3B57">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14:paraId="54243F56">
            <w:pPr>
              <w:spacing w:line="560" w:lineRule="exact"/>
              <w:jc w:val="center"/>
            </w:pPr>
            <w:r>
              <w:rPr>
                <w:rFonts w:hint="eastAsia"/>
              </w:rPr>
              <w:t>4</w:t>
            </w:r>
          </w:p>
        </w:tc>
        <w:tc>
          <w:tcPr>
            <w:tcW w:w="874" w:type="dxa"/>
            <w:tcBorders>
              <w:bottom w:val="single" w:color="auto" w:sz="4" w:space="0"/>
            </w:tcBorders>
            <w:shd w:val="clear" w:color="000000" w:fill="FFFFFF"/>
            <w:vAlign w:val="center"/>
          </w:tcPr>
          <w:p w14:paraId="0D9EB211">
            <w:pPr>
              <w:spacing w:line="560" w:lineRule="exact"/>
              <w:jc w:val="center"/>
            </w:pPr>
            <w:r>
              <w:rPr>
                <w:rFonts w:hint="eastAsia"/>
              </w:rPr>
              <w:t>4</w:t>
            </w:r>
          </w:p>
        </w:tc>
      </w:tr>
      <w:tr w14:paraId="2D9C12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5E3E041F">
            <w:pPr>
              <w:spacing w:line="560" w:lineRule="exact"/>
              <w:jc w:val="center"/>
              <w:rPr>
                <w:rFonts w:ascii="宋体" w:hAnsi="宋体" w:cs="宋体"/>
                <w:color w:val="000000"/>
                <w:kern w:val="0"/>
                <w:sz w:val="22"/>
              </w:rPr>
            </w:pPr>
          </w:p>
        </w:tc>
        <w:tc>
          <w:tcPr>
            <w:tcW w:w="1478" w:type="dxa"/>
            <w:vMerge w:val="restart"/>
            <w:shd w:val="clear" w:color="auto" w:fill="FFFFFF"/>
            <w:vAlign w:val="center"/>
          </w:tcPr>
          <w:p w14:paraId="0C30F4A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组织实施</w:t>
            </w:r>
          </w:p>
        </w:tc>
        <w:tc>
          <w:tcPr>
            <w:tcW w:w="1875" w:type="dxa"/>
            <w:tcBorders>
              <w:right w:val="single" w:color="auto" w:sz="4" w:space="0"/>
            </w:tcBorders>
            <w:shd w:val="clear" w:color="auto" w:fill="FFFFFF"/>
            <w:vAlign w:val="center"/>
          </w:tcPr>
          <w:p w14:paraId="4D275B67">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管理制度</w:t>
            </w:r>
          </w:p>
          <w:p w14:paraId="79EA4DF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14:paraId="2CBEDF5E">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14:paraId="318BE7C0">
            <w:pPr>
              <w:spacing w:line="560" w:lineRule="exact"/>
              <w:jc w:val="center"/>
            </w:pPr>
            <w:r>
              <w:rPr>
                <w:rFonts w:hint="eastAsia"/>
              </w:rPr>
              <w:t>4</w:t>
            </w:r>
          </w:p>
        </w:tc>
        <w:tc>
          <w:tcPr>
            <w:tcW w:w="874" w:type="dxa"/>
            <w:tcBorders>
              <w:bottom w:val="single" w:color="auto" w:sz="4" w:space="0"/>
            </w:tcBorders>
            <w:shd w:val="clear" w:color="000000" w:fill="FFFFFF"/>
            <w:vAlign w:val="center"/>
          </w:tcPr>
          <w:p w14:paraId="5F4678FB">
            <w:pPr>
              <w:spacing w:line="560" w:lineRule="exact"/>
              <w:jc w:val="center"/>
            </w:pPr>
            <w:r>
              <w:rPr>
                <w:rFonts w:hint="eastAsia"/>
              </w:rPr>
              <w:t>4</w:t>
            </w:r>
          </w:p>
        </w:tc>
      </w:tr>
      <w:tr w14:paraId="2164AE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578EA420">
            <w:pPr>
              <w:widowControl/>
              <w:spacing w:line="560" w:lineRule="exact"/>
              <w:jc w:val="center"/>
              <w:rPr>
                <w:rFonts w:ascii="宋体" w:hAnsi="宋体" w:cs="宋体"/>
                <w:color w:val="000000"/>
                <w:kern w:val="0"/>
                <w:sz w:val="22"/>
              </w:rPr>
            </w:pPr>
          </w:p>
        </w:tc>
        <w:tc>
          <w:tcPr>
            <w:tcW w:w="1478" w:type="dxa"/>
            <w:vMerge w:val="continue"/>
            <w:shd w:val="clear" w:color="auto" w:fill="FFFFFF"/>
            <w:vAlign w:val="center"/>
          </w:tcPr>
          <w:p w14:paraId="163B48E7">
            <w:pPr>
              <w:widowControl/>
              <w:spacing w:line="560" w:lineRule="exac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7B688142">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制度执行</w:t>
            </w:r>
          </w:p>
          <w:p w14:paraId="7333BBC8">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14:paraId="22B7DCC5">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14:paraId="029D47D0">
            <w:pPr>
              <w:spacing w:line="560" w:lineRule="exact"/>
              <w:jc w:val="center"/>
            </w:pPr>
            <w:r>
              <w:rPr>
                <w:rFonts w:hint="eastAsia"/>
              </w:rPr>
              <w:t>4</w:t>
            </w:r>
          </w:p>
        </w:tc>
        <w:tc>
          <w:tcPr>
            <w:tcW w:w="874" w:type="dxa"/>
            <w:tcBorders>
              <w:bottom w:val="single" w:color="auto" w:sz="4" w:space="0"/>
            </w:tcBorders>
            <w:shd w:val="clear" w:color="000000" w:fill="FFFFFF"/>
            <w:vAlign w:val="center"/>
          </w:tcPr>
          <w:p w14:paraId="66D8ACA9">
            <w:pPr>
              <w:spacing w:line="560" w:lineRule="exact"/>
              <w:jc w:val="center"/>
            </w:pPr>
            <w:r>
              <w:rPr>
                <w:rFonts w:hint="eastAsia"/>
              </w:rPr>
              <w:t>4</w:t>
            </w:r>
          </w:p>
        </w:tc>
      </w:tr>
      <w:tr w14:paraId="2DD5FF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2E9201E7">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14:paraId="325FCD31">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14:paraId="204F9536">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14:paraId="281C0C3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14:paraId="570E4EE9">
            <w:pPr>
              <w:spacing w:line="560" w:lineRule="exact"/>
              <w:jc w:val="center"/>
            </w:pPr>
            <w:r>
              <w:rPr>
                <w:rFonts w:hint="eastAsia"/>
              </w:rPr>
              <w:t>10</w:t>
            </w:r>
          </w:p>
        </w:tc>
        <w:tc>
          <w:tcPr>
            <w:tcW w:w="874" w:type="dxa"/>
            <w:shd w:val="clear" w:color="000000" w:fill="FFFFFF"/>
            <w:vAlign w:val="center"/>
          </w:tcPr>
          <w:p w14:paraId="5AF616D0">
            <w:pPr>
              <w:spacing w:line="560" w:lineRule="exact"/>
              <w:jc w:val="center"/>
            </w:pPr>
            <w:r>
              <w:rPr>
                <w:rFonts w:hint="eastAsia"/>
              </w:rPr>
              <w:t>7</w:t>
            </w:r>
          </w:p>
        </w:tc>
      </w:tr>
      <w:tr w14:paraId="587E10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05A69F98">
            <w:pPr>
              <w:widowControl/>
              <w:spacing w:line="560" w:lineRule="exact"/>
              <w:jc w:val="center"/>
              <w:rPr>
                <w:rFonts w:ascii="宋体" w:hAnsi="宋体" w:cs="宋体"/>
                <w:color w:val="000000"/>
                <w:kern w:val="0"/>
                <w:sz w:val="22"/>
              </w:rPr>
            </w:pPr>
          </w:p>
        </w:tc>
        <w:tc>
          <w:tcPr>
            <w:tcW w:w="1478" w:type="dxa"/>
            <w:shd w:val="clear" w:color="auto" w:fill="FFFFFF"/>
            <w:vAlign w:val="center"/>
          </w:tcPr>
          <w:p w14:paraId="64454616">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14:paraId="509E98DA">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14:paraId="6F5ABB62">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14:paraId="06D396CA">
            <w:pPr>
              <w:spacing w:line="560" w:lineRule="exact"/>
              <w:jc w:val="center"/>
            </w:pPr>
            <w:r>
              <w:rPr>
                <w:rFonts w:hint="eastAsia"/>
              </w:rPr>
              <w:t>10</w:t>
            </w:r>
          </w:p>
        </w:tc>
        <w:tc>
          <w:tcPr>
            <w:tcW w:w="874" w:type="dxa"/>
            <w:shd w:val="clear" w:color="000000" w:fill="FFFFFF"/>
            <w:vAlign w:val="center"/>
          </w:tcPr>
          <w:p w14:paraId="7E4C8458">
            <w:pPr>
              <w:spacing w:line="560" w:lineRule="exact"/>
              <w:jc w:val="center"/>
            </w:pPr>
            <w:r>
              <w:rPr>
                <w:rFonts w:hint="eastAsia"/>
              </w:rPr>
              <w:t>10</w:t>
            </w:r>
          </w:p>
        </w:tc>
      </w:tr>
      <w:tr w14:paraId="5830BB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7744C013">
            <w:pPr>
              <w:spacing w:line="560" w:lineRule="exact"/>
              <w:jc w:val="center"/>
              <w:rPr>
                <w:rFonts w:ascii="宋体" w:hAnsi="宋体" w:cs="宋体"/>
                <w:color w:val="000000"/>
                <w:kern w:val="0"/>
                <w:sz w:val="22"/>
              </w:rPr>
            </w:pPr>
          </w:p>
        </w:tc>
        <w:tc>
          <w:tcPr>
            <w:tcW w:w="1478" w:type="dxa"/>
            <w:shd w:val="clear" w:color="auto" w:fill="FFFFFF"/>
            <w:vAlign w:val="center"/>
          </w:tcPr>
          <w:p w14:paraId="23899223">
            <w:pPr>
              <w:spacing w:line="560" w:lineRule="exac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14:paraId="6FB81EA8">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14:paraId="057CF9F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14:paraId="268F0234">
            <w:pPr>
              <w:spacing w:line="560" w:lineRule="exact"/>
              <w:jc w:val="center"/>
            </w:pPr>
            <w:r>
              <w:rPr>
                <w:rFonts w:hint="eastAsia"/>
              </w:rPr>
              <w:t>10</w:t>
            </w:r>
          </w:p>
        </w:tc>
        <w:tc>
          <w:tcPr>
            <w:tcW w:w="874" w:type="dxa"/>
            <w:shd w:val="clear" w:color="000000" w:fill="FFFFFF"/>
            <w:vAlign w:val="center"/>
          </w:tcPr>
          <w:p w14:paraId="57544D92">
            <w:pPr>
              <w:spacing w:line="560" w:lineRule="exact"/>
              <w:jc w:val="center"/>
            </w:pPr>
            <w:r>
              <w:rPr>
                <w:rFonts w:hint="eastAsia"/>
              </w:rPr>
              <w:t>8</w:t>
            </w:r>
          </w:p>
        </w:tc>
      </w:tr>
      <w:tr w14:paraId="52F190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608B43BC">
            <w:pPr>
              <w:widowControl/>
              <w:spacing w:line="560" w:lineRule="exact"/>
              <w:jc w:val="center"/>
              <w:rPr>
                <w:rFonts w:ascii="宋体" w:hAnsi="宋体" w:cs="宋体"/>
                <w:color w:val="000000"/>
                <w:kern w:val="0"/>
                <w:sz w:val="22"/>
              </w:rPr>
            </w:pPr>
          </w:p>
        </w:tc>
        <w:tc>
          <w:tcPr>
            <w:tcW w:w="1478" w:type="dxa"/>
            <w:shd w:val="clear" w:color="auto" w:fill="FFFFFF"/>
            <w:vAlign w:val="center"/>
          </w:tcPr>
          <w:p w14:paraId="59B26ED1">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14:paraId="2D523ADE">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14:paraId="46A9228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14:paraId="619F5523">
            <w:pPr>
              <w:spacing w:line="560" w:lineRule="exact"/>
              <w:jc w:val="center"/>
            </w:pPr>
            <w:r>
              <w:rPr>
                <w:rFonts w:hint="eastAsia"/>
              </w:rPr>
              <w:t>10</w:t>
            </w:r>
          </w:p>
        </w:tc>
        <w:tc>
          <w:tcPr>
            <w:tcW w:w="874" w:type="dxa"/>
            <w:shd w:val="clear" w:color="auto" w:fill="FFFFFF"/>
            <w:vAlign w:val="center"/>
          </w:tcPr>
          <w:p w14:paraId="3891F85B">
            <w:pPr>
              <w:spacing w:line="560" w:lineRule="exact"/>
              <w:jc w:val="center"/>
            </w:pPr>
            <w:r>
              <w:rPr>
                <w:rFonts w:hint="eastAsia"/>
              </w:rPr>
              <w:t>10</w:t>
            </w:r>
          </w:p>
        </w:tc>
      </w:tr>
      <w:tr w14:paraId="1AF829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183AB51E">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14:paraId="1F430822">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项目效益</w:t>
            </w:r>
          </w:p>
        </w:tc>
        <w:tc>
          <w:tcPr>
            <w:tcW w:w="1875" w:type="dxa"/>
            <w:tcBorders>
              <w:right w:val="single" w:color="auto" w:sz="4" w:space="0"/>
            </w:tcBorders>
            <w:shd w:val="clear" w:color="auto" w:fill="FFFFFF"/>
            <w:vAlign w:val="center"/>
          </w:tcPr>
          <w:p w14:paraId="699BB7B9">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14:paraId="15E416F7">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center"/>
          </w:tcPr>
          <w:p w14:paraId="6A51C4A4">
            <w:pPr>
              <w:spacing w:line="560" w:lineRule="exact"/>
              <w:jc w:val="center"/>
            </w:pPr>
            <w:r>
              <w:rPr>
                <w:rFonts w:hint="eastAsia"/>
              </w:rPr>
              <w:t>15</w:t>
            </w:r>
          </w:p>
        </w:tc>
        <w:tc>
          <w:tcPr>
            <w:tcW w:w="874" w:type="dxa"/>
            <w:shd w:val="clear" w:color="auto" w:fill="FFFFFF"/>
            <w:vAlign w:val="center"/>
          </w:tcPr>
          <w:p w14:paraId="5DF1A948">
            <w:pPr>
              <w:spacing w:line="560" w:lineRule="exact"/>
              <w:jc w:val="center"/>
            </w:pPr>
            <w:r>
              <w:rPr>
                <w:rFonts w:hint="eastAsia"/>
              </w:rPr>
              <w:t>15</w:t>
            </w:r>
          </w:p>
        </w:tc>
      </w:tr>
      <w:tr w14:paraId="7480D1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3D6EB768">
            <w:pPr>
              <w:widowControl/>
              <w:spacing w:line="560" w:lineRule="exact"/>
              <w:jc w:val="center"/>
              <w:rPr>
                <w:rFonts w:ascii="宋体" w:hAnsi="宋体" w:cs="宋体"/>
                <w:color w:val="000000"/>
                <w:kern w:val="0"/>
                <w:sz w:val="22"/>
              </w:rPr>
            </w:pPr>
          </w:p>
        </w:tc>
        <w:tc>
          <w:tcPr>
            <w:tcW w:w="1478" w:type="dxa"/>
            <w:vMerge w:val="continue"/>
            <w:shd w:val="clear" w:color="auto" w:fill="FFFFFF"/>
            <w:vAlign w:val="center"/>
          </w:tcPr>
          <w:p w14:paraId="5B7EDFFB">
            <w:pPr>
              <w:widowControl/>
              <w:spacing w:line="560" w:lineRule="exac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2D6379C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14:paraId="5C446A3D">
            <w:pPr>
              <w:widowControl/>
              <w:spacing w:line="560" w:lineRule="exac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center"/>
          </w:tcPr>
          <w:p w14:paraId="47AC8BEA">
            <w:pPr>
              <w:spacing w:line="560" w:lineRule="exact"/>
              <w:jc w:val="center"/>
            </w:pPr>
            <w:r>
              <w:rPr>
                <w:rFonts w:hint="eastAsia"/>
              </w:rPr>
              <w:t>5</w:t>
            </w:r>
          </w:p>
        </w:tc>
        <w:tc>
          <w:tcPr>
            <w:tcW w:w="874" w:type="dxa"/>
            <w:shd w:val="clear" w:color="000000" w:fill="FFFFFF"/>
            <w:vAlign w:val="center"/>
          </w:tcPr>
          <w:p w14:paraId="41805D1C">
            <w:pPr>
              <w:spacing w:line="560" w:lineRule="exact"/>
              <w:jc w:val="center"/>
            </w:pPr>
            <w:r>
              <w:rPr>
                <w:rFonts w:hint="eastAsia"/>
              </w:rPr>
              <w:t>5</w:t>
            </w:r>
          </w:p>
        </w:tc>
      </w:tr>
      <w:tr w14:paraId="189F64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0CF18BD8">
            <w:pPr>
              <w:widowControl/>
              <w:spacing w:line="560" w:lineRule="exac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14:paraId="298E9272">
            <w:pPr>
              <w:widowControl/>
              <w:spacing w:line="560" w:lineRule="exac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14:paraId="5D94E2FF">
            <w:pPr>
              <w:widowControl/>
              <w:spacing w:line="560" w:lineRule="exact"/>
              <w:jc w:val="center"/>
              <w:rPr>
                <w:rFonts w:ascii="宋体" w:hAnsi="宋体" w:cs="宋体"/>
                <w:b/>
                <w:bCs/>
                <w:color w:val="000000"/>
                <w:kern w:val="0"/>
                <w:sz w:val="22"/>
              </w:rPr>
            </w:pPr>
            <w:r>
              <w:rPr>
                <w:rFonts w:hint="eastAsia" w:ascii="宋体" w:hAnsi="宋体" w:cs="宋体"/>
                <w:b/>
                <w:bCs/>
                <w:color w:val="000000"/>
                <w:kern w:val="0"/>
                <w:sz w:val="22"/>
              </w:rPr>
              <w:t>100</w:t>
            </w:r>
          </w:p>
        </w:tc>
        <w:tc>
          <w:tcPr>
            <w:tcW w:w="874" w:type="dxa"/>
            <w:shd w:val="clear" w:color="auto" w:fill="FFFFFF"/>
            <w:vAlign w:val="center"/>
          </w:tcPr>
          <w:p w14:paraId="33D54AB2">
            <w:pPr>
              <w:widowControl/>
              <w:spacing w:line="560" w:lineRule="exact"/>
              <w:jc w:val="center"/>
              <w:rPr>
                <w:rFonts w:ascii="宋体" w:hAnsi="宋体" w:cs="宋体"/>
                <w:b/>
                <w:bCs/>
                <w:color w:val="000000"/>
                <w:kern w:val="0"/>
                <w:sz w:val="22"/>
              </w:rPr>
            </w:pPr>
            <w:r>
              <w:rPr>
                <w:rFonts w:hint="eastAsia" w:ascii="宋体" w:hAnsi="宋体" w:cs="宋体"/>
                <w:b/>
                <w:bCs/>
                <w:color w:val="000000"/>
                <w:kern w:val="0"/>
                <w:sz w:val="22"/>
              </w:rPr>
              <w:t>91</w:t>
            </w:r>
          </w:p>
        </w:tc>
      </w:tr>
    </w:tbl>
    <w:p w14:paraId="5486CF77">
      <w:pPr>
        <w:spacing w:line="560" w:lineRule="exact"/>
        <w:sectPr>
          <w:pgSz w:w="11906" w:h="16838"/>
          <w:pgMar w:top="1928" w:right="1531" w:bottom="1701" w:left="1531" w:header="737" w:footer="851" w:gutter="0"/>
          <w:cols w:space="720" w:num="1"/>
          <w:docGrid w:type="lines" w:linePitch="408" w:charSpace="0"/>
        </w:sectPr>
      </w:pPr>
    </w:p>
    <w:p w14:paraId="2743172D">
      <w:pPr>
        <w:spacing w:line="560" w:lineRule="exact"/>
        <w:ind w:firstLine="640" w:firstLineChars="200"/>
        <w:rPr>
          <w:rFonts w:ascii="仿宋_GB2312"/>
          <w:sz w:val="32"/>
          <w:szCs w:val="32"/>
        </w:rPr>
      </w:pPr>
      <w:r>
        <w:rPr>
          <w:rFonts w:hint="eastAsia" w:ascii="仿宋_GB2312"/>
          <w:sz w:val="32"/>
          <w:szCs w:val="32"/>
        </w:rPr>
        <w:t>3、评价方法</w:t>
      </w:r>
    </w:p>
    <w:p w14:paraId="53DCD2F7">
      <w:pPr>
        <w:spacing w:line="560" w:lineRule="exact"/>
        <w:ind w:firstLine="640" w:firstLineChars="200"/>
        <w:rPr>
          <w:rFonts w:ascii="仿宋_GB2312"/>
          <w:sz w:val="32"/>
          <w:szCs w:val="32"/>
        </w:rPr>
      </w:pPr>
      <w:r>
        <w:rPr>
          <w:rFonts w:hint="eastAsia" w:ascii="仿宋_GB2312"/>
          <w:sz w:val="32"/>
          <w:szCs w:val="32"/>
        </w:rPr>
        <w:t>（1）成本效益分析法。是指将投入与产出、效益进行关联性分析的方法。</w:t>
      </w:r>
    </w:p>
    <w:p w14:paraId="599641B8">
      <w:pPr>
        <w:spacing w:line="560" w:lineRule="exact"/>
        <w:ind w:firstLine="640" w:firstLineChars="200"/>
        <w:rPr>
          <w:rFonts w:ascii="仿宋_GB2312"/>
          <w:sz w:val="32"/>
          <w:szCs w:val="32"/>
        </w:rPr>
      </w:pPr>
      <w:r>
        <w:rPr>
          <w:rFonts w:hint="eastAsia" w:ascii="仿宋_GB2312"/>
          <w:sz w:val="32"/>
          <w:szCs w:val="32"/>
        </w:rPr>
        <w:t>（2）最低成本法。是指在绩效目标确定的前提下，成本最小者为优的方法。</w:t>
      </w:r>
    </w:p>
    <w:p w14:paraId="74641093">
      <w:pPr>
        <w:spacing w:line="560" w:lineRule="exact"/>
        <w:ind w:firstLine="640" w:firstLineChars="200"/>
        <w:rPr>
          <w:rFonts w:ascii="仿宋_GB2312"/>
          <w:sz w:val="32"/>
          <w:szCs w:val="32"/>
        </w:rPr>
      </w:pPr>
      <w:r>
        <w:rPr>
          <w:rFonts w:hint="eastAsia" w:ascii="仿宋_GB2312"/>
          <w:sz w:val="32"/>
          <w:szCs w:val="32"/>
        </w:rPr>
        <w:t>本次项目支出绩效自评采用成本效益分析法及最低成本法，原因是：该项目为焉耆县高标准农田建设项目，成本效益分析法及最低成本法能更好的对该项目的资金进行评价。</w:t>
      </w:r>
    </w:p>
    <w:p w14:paraId="3DDCC459">
      <w:pPr>
        <w:spacing w:line="560" w:lineRule="exact"/>
        <w:ind w:firstLine="640" w:firstLineChars="200"/>
        <w:rPr>
          <w:rFonts w:ascii="仿宋_GB2312"/>
          <w:sz w:val="32"/>
          <w:szCs w:val="32"/>
        </w:rPr>
      </w:pPr>
      <w:r>
        <w:rPr>
          <w:rFonts w:hint="eastAsia" w:ascii="仿宋_GB2312"/>
          <w:sz w:val="32"/>
          <w:szCs w:val="32"/>
        </w:rPr>
        <w:t>4、评价标准</w:t>
      </w:r>
    </w:p>
    <w:p w14:paraId="5965685E">
      <w:pPr>
        <w:spacing w:line="560" w:lineRule="exact"/>
        <w:ind w:firstLine="640" w:firstLineChars="200"/>
        <w:rPr>
          <w:rFonts w:ascii="仿宋_GB2312"/>
          <w:sz w:val="32"/>
          <w:szCs w:val="32"/>
        </w:rPr>
      </w:pPr>
      <w:r>
        <w:rPr>
          <w:rFonts w:hint="eastAsia" w:ascii="仿宋_GB2312"/>
          <w:sz w:val="32"/>
          <w:szCs w:val="32"/>
        </w:rPr>
        <w:t>计划标准。指以预先制定的目标、计划、预算、定额等作为评价标准。</w:t>
      </w:r>
    </w:p>
    <w:p w14:paraId="2261B66B">
      <w:pPr>
        <w:spacing w:line="560" w:lineRule="exact"/>
        <w:ind w:firstLine="640" w:firstLineChars="200"/>
        <w:rPr>
          <w:rFonts w:ascii="仿宋_GB2312"/>
          <w:sz w:val="32"/>
          <w:szCs w:val="32"/>
        </w:rPr>
      </w:pPr>
      <w:r>
        <w:rPr>
          <w:rFonts w:hint="eastAsia" w:ascii="仿宋_GB2312"/>
          <w:sz w:val="32"/>
          <w:szCs w:val="32"/>
        </w:rPr>
        <w:t>本次项目支出绩效自评采用计划标准的标准，原因是：根据实施方案内容核定数量和产出指标，从而评价资金的有效使用情况。</w:t>
      </w:r>
    </w:p>
    <w:p w14:paraId="199FD94D">
      <w:pPr>
        <w:pStyle w:val="4"/>
        <w:spacing w:before="0" w:after="0" w:line="360" w:lineRule="auto"/>
        <w:rPr>
          <w:rFonts w:ascii="仿宋_GB2312" w:eastAsia="仿宋_GB2312"/>
          <w:b w:val="0"/>
          <w:bCs w:val="0"/>
        </w:rPr>
      </w:pPr>
      <w:bookmarkStart w:id="6" w:name="_Toc68703833"/>
      <w:r>
        <w:rPr>
          <w:rFonts w:hint="eastAsia" w:ascii="仿宋_GB2312" w:eastAsia="仿宋_GB2312"/>
          <w:b w:val="0"/>
          <w:bCs w:val="0"/>
        </w:rPr>
        <w:t>（三）绩效评价工作过程</w:t>
      </w:r>
      <w:bookmarkEnd w:id="6"/>
    </w:p>
    <w:p w14:paraId="24601BD1">
      <w:pPr>
        <w:spacing w:line="560" w:lineRule="exact"/>
        <w:ind w:firstLine="640" w:firstLineChars="200"/>
        <w:rPr>
          <w:rFonts w:ascii="仿宋_GB2312"/>
          <w:sz w:val="32"/>
          <w:szCs w:val="32"/>
        </w:rPr>
      </w:pPr>
      <w:r>
        <w:rPr>
          <w:rFonts w:hint="eastAsia" w:ascii="仿宋_GB2312"/>
          <w:sz w:val="32"/>
          <w:szCs w:val="32"/>
        </w:rPr>
        <w:t>1、前期准备：</w:t>
      </w:r>
    </w:p>
    <w:p w14:paraId="1617E749">
      <w:pPr>
        <w:spacing w:line="560" w:lineRule="exact"/>
        <w:ind w:firstLine="640" w:firstLineChars="200"/>
        <w:rPr>
          <w:rFonts w:ascii="仿宋_GB2312"/>
          <w:sz w:val="32"/>
          <w:szCs w:val="32"/>
        </w:rPr>
      </w:pPr>
      <w:r>
        <w:rPr>
          <w:rFonts w:hint="eastAsia" w:ascii="仿宋_GB2312"/>
          <w:sz w:val="32"/>
          <w:szCs w:val="32"/>
          <w:lang w:val="zh-CN"/>
        </w:rPr>
        <w:t>评价组通过前期调研</w:t>
      </w:r>
      <w:r>
        <w:rPr>
          <w:rFonts w:hint="eastAsia" w:ascii="仿宋_GB2312"/>
          <w:sz w:val="32"/>
          <w:szCs w:val="32"/>
        </w:rPr>
        <w:t>确定绩效评价对象和范围，</w:t>
      </w:r>
      <w:r>
        <w:rPr>
          <w:rFonts w:hint="eastAsia" w:ascii="仿宋_GB2312"/>
          <w:sz w:val="32"/>
          <w:szCs w:val="32"/>
          <w:lang w:val="zh-CN"/>
        </w:rPr>
        <w:t>确定了评价的目的、方法以及评价的原则，根据项目的内容和特征制定了评价指标体系及评价标准以及评价实施方案，修正并确定所需资料清单，最终确定</w:t>
      </w:r>
      <w:r>
        <w:rPr>
          <w:rFonts w:hint="eastAsia" w:ascii="仿宋_GB2312"/>
          <w:sz w:val="32"/>
          <w:szCs w:val="32"/>
        </w:rPr>
        <w:t>绩效评价工作方案；</w:t>
      </w:r>
    </w:p>
    <w:p w14:paraId="2E10A480">
      <w:pPr>
        <w:spacing w:line="560" w:lineRule="exact"/>
        <w:ind w:firstLine="640" w:firstLineChars="200"/>
        <w:rPr>
          <w:rFonts w:ascii="仿宋_GB2312"/>
          <w:sz w:val="32"/>
          <w:szCs w:val="32"/>
        </w:rPr>
      </w:pPr>
      <w:r>
        <w:rPr>
          <w:rFonts w:hint="eastAsia" w:ascii="仿宋_GB2312"/>
          <w:sz w:val="32"/>
          <w:szCs w:val="32"/>
        </w:rPr>
        <w:t>2、组织实施：</w:t>
      </w:r>
    </w:p>
    <w:p w14:paraId="4F839931">
      <w:pPr>
        <w:spacing w:line="560" w:lineRule="exact"/>
        <w:ind w:firstLine="640" w:firstLineChars="200"/>
        <w:rPr>
          <w:rFonts w:ascii="仿宋_GB2312"/>
          <w:sz w:val="32"/>
          <w:szCs w:val="32"/>
        </w:rPr>
      </w:pPr>
      <w:r>
        <w:rPr>
          <w:rFonts w:hint="eastAsia" w:ascii="仿宋_GB2312"/>
          <w:sz w:val="32"/>
          <w:szCs w:val="32"/>
        </w:rPr>
        <w:t>评价工作进入实施阶段，评价组收集绩效评价相关数据资料，进行现场调研、座谈；并与项目实施负责人沟通，了解资金的内容、操作流程、管理机制、资金使用方向等情况，分析形成初步结论。</w:t>
      </w:r>
    </w:p>
    <w:p w14:paraId="0698CCB6">
      <w:pPr>
        <w:spacing w:line="560" w:lineRule="exact"/>
        <w:ind w:firstLine="640" w:firstLineChars="200"/>
        <w:rPr>
          <w:rFonts w:ascii="仿宋_GB2312"/>
          <w:sz w:val="32"/>
          <w:szCs w:val="32"/>
        </w:rPr>
      </w:pPr>
      <w:r>
        <w:rPr>
          <w:rFonts w:hint="eastAsia" w:ascii="仿宋_GB2312"/>
          <w:sz w:val="32"/>
          <w:szCs w:val="32"/>
        </w:rPr>
        <w:t>3、分析评价：</w:t>
      </w:r>
    </w:p>
    <w:p w14:paraId="2EF228C7">
      <w:pPr>
        <w:spacing w:line="560" w:lineRule="exact"/>
        <w:ind w:firstLine="640" w:firstLineChars="200"/>
        <w:rPr>
          <w:rFonts w:ascii="仿宋_GB2312"/>
          <w:sz w:val="28"/>
          <w:szCs w:val="28"/>
        </w:rPr>
      </w:pPr>
      <w:r>
        <w:rPr>
          <w:rFonts w:hint="eastAsia" w:ascii="仿宋_GB2312"/>
          <w:sz w:val="32"/>
          <w:szCs w:val="32"/>
        </w:rPr>
        <w:t>评价组按照绩效评价的原则和规范，对取得的资料进行审查核实，对采集的数据进行分析，按照绩效评价指标评分表逐项进行打分、分析，汇总各方评价结果，综合分析并形成评价结论。</w:t>
      </w:r>
    </w:p>
    <w:p w14:paraId="1B1318C9">
      <w:pPr>
        <w:pStyle w:val="3"/>
        <w:spacing w:before="0" w:after="0" w:line="560" w:lineRule="exact"/>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14:paraId="46AA9D3A">
      <w:pPr>
        <w:pStyle w:val="4"/>
        <w:spacing w:before="0" w:after="0"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14:paraId="1A5E9B7B">
      <w:pPr>
        <w:spacing w:line="560" w:lineRule="exact"/>
        <w:ind w:firstLine="640" w:firstLineChars="200"/>
        <w:rPr>
          <w:rFonts w:ascii="仿宋_GB2312"/>
          <w:sz w:val="28"/>
          <w:szCs w:val="28"/>
        </w:rPr>
      </w:pPr>
      <w:r>
        <w:rPr>
          <w:rFonts w:hint="eastAsia" w:ascii="仿宋_GB2312"/>
          <w:sz w:val="32"/>
          <w:szCs w:val="32"/>
        </w:rPr>
        <w:t>本项目严格按照科学公正、统筹兼顾、激励约束、公开透明绩效评价原则，采用成本效益分析法、最低成本法评价方法，坚持计划标准绩效评价标准对本项目的立项、项绩效目标、资金投入、资金管理、组织实施、产出数量、产出质量、产出时效、产出成本、项目效益进行了综合评价。</w:t>
      </w:r>
    </w:p>
    <w:p w14:paraId="3A7F7641">
      <w:pPr>
        <w:spacing w:line="560" w:lineRule="exact"/>
        <w:ind w:firstLine="600" w:firstLineChars="200"/>
        <w:jc w:val="center"/>
      </w:pPr>
      <w:r>
        <w:rPr>
          <w:rFonts w:hint="eastAsia"/>
        </w:rPr>
        <w:t>焉耆县高标准农田建设项目评价得分情况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7D40654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6E87AC6">
            <w:pPr>
              <w:spacing w:line="560" w:lineRule="exact"/>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FBACBA1">
            <w:pPr>
              <w:spacing w:line="560" w:lineRule="exact"/>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C22C731">
            <w:pPr>
              <w:spacing w:line="560" w:lineRule="exact"/>
              <w:jc w:val="center"/>
              <w:rPr>
                <w:b/>
                <w:bCs/>
                <w:color w:val="000000"/>
                <w:sz w:val="22"/>
              </w:rPr>
            </w:pPr>
            <w:r>
              <w:rPr>
                <w:rFonts w:hint="eastAsia"/>
                <w:b/>
                <w:bCs/>
                <w:color w:val="000000"/>
                <w:sz w:val="22"/>
              </w:rPr>
              <w:t>得分</w:t>
            </w:r>
          </w:p>
        </w:tc>
      </w:tr>
      <w:tr w14:paraId="6326653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A79999A">
            <w:pPr>
              <w:spacing w:line="560" w:lineRule="exact"/>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6066FE8">
            <w:pPr>
              <w:spacing w:line="560" w:lineRule="exact"/>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FFFCB49">
            <w:pPr>
              <w:spacing w:line="560" w:lineRule="exact"/>
              <w:jc w:val="center"/>
              <w:rPr>
                <w:color w:val="000000"/>
                <w:sz w:val="22"/>
              </w:rPr>
            </w:pPr>
            <w:r>
              <w:rPr>
                <w:rFonts w:hint="eastAsia"/>
                <w:color w:val="000000"/>
                <w:sz w:val="22"/>
              </w:rPr>
              <w:t>20</w:t>
            </w:r>
          </w:p>
        </w:tc>
      </w:tr>
      <w:tr w14:paraId="12B8F6F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306DE6E">
            <w:pPr>
              <w:spacing w:line="560" w:lineRule="exact"/>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98FF2CF">
            <w:pPr>
              <w:spacing w:line="560" w:lineRule="exact"/>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262C8AA">
            <w:pPr>
              <w:spacing w:line="560" w:lineRule="exact"/>
              <w:jc w:val="center"/>
              <w:rPr>
                <w:color w:val="000000"/>
                <w:sz w:val="22"/>
              </w:rPr>
            </w:pPr>
            <w:r>
              <w:rPr>
                <w:rFonts w:hint="eastAsia"/>
                <w:color w:val="000000"/>
                <w:sz w:val="22"/>
              </w:rPr>
              <w:t>20</w:t>
            </w:r>
          </w:p>
        </w:tc>
      </w:tr>
      <w:tr w14:paraId="53401C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E6B645">
            <w:pPr>
              <w:spacing w:line="560" w:lineRule="exact"/>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19EB67C9">
            <w:pPr>
              <w:spacing w:line="560" w:lineRule="exact"/>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76F94104">
            <w:pPr>
              <w:spacing w:line="560" w:lineRule="exact"/>
              <w:jc w:val="center"/>
              <w:rPr>
                <w:color w:val="000000"/>
                <w:sz w:val="22"/>
              </w:rPr>
            </w:pPr>
            <w:r>
              <w:rPr>
                <w:rFonts w:hint="eastAsia"/>
                <w:color w:val="000000"/>
                <w:sz w:val="22"/>
              </w:rPr>
              <w:t>40</w:t>
            </w:r>
          </w:p>
        </w:tc>
      </w:tr>
      <w:tr w14:paraId="64A7C06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D9B0986">
            <w:pPr>
              <w:spacing w:line="560" w:lineRule="exact"/>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FC9407C">
            <w:pPr>
              <w:spacing w:line="560" w:lineRule="exact"/>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6BB909E">
            <w:pPr>
              <w:spacing w:line="560" w:lineRule="exact"/>
              <w:jc w:val="center"/>
              <w:rPr>
                <w:color w:val="000000"/>
                <w:sz w:val="22"/>
              </w:rPr>
            </w:pPr>
            <w:r>
              <w:rPr>
                <w:rFonts w:hint="eastAsia"/>
                <w:color w:val="000000"/>
                <w:sz w:val="22"/>
              </w:rPr>
              <w:t>20</w:t>
            </w:r>
          </w:p>
        </w:tc>
      </w:tr>
      <w:tr w14:paraId="2D73FAF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28C5848">
            <w:pPr>
              <w:spacing w:line="560" w:lineRule="exact"/>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D236C1E">
            <w:pPr>
              <w:spacing w:line="560" w:lineRule="exact"/>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42F789F3">
            <w:pPr>
              <w:spacing w:line="560" w:lineRule="exact"/>
              <w:jc w:val="center"/>
              <w:rPr>
                <w:b/>
                <w:bCs/>
                <w:color w:val="000000"/>
                <w:sz w:val="22"/>
              </w:rPr>
            </w:pPr>
            <w:r>
              <w:rPr>
                <w:rFonts w:hint="eastAsia"/>
                <w:b/>
                <w:bCs/>
                <w:color w:val="000000"/>
                <w:sz w:val="22"/>
              </w:rPr>
              <w:t>100</w:t>
            </w:r>
          </w:p>
        </w:tc>
      </w:tr>
    </w:tbl>
    <w:p w14:paraId="556F4E03">
      <w:pPr>
        <w:pStyle w:val="4"/>
        <w:spacing w:before="0" w:after="0"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14:paraId="2A10AE18">
      <w:pPr>
        <w:spacing w:line="560" w:lineRule="exact"/>
        <w:ind w:firstLine="640" w:firstLineChars="200"/>
        <w:rPr>
          <w:rFonts w:ascii="仿宋_GB2312"/>
          <w:sz w:val="28"/>
          <w:szCs w:val="28"/>
        </w:rPr>
      </w:pPr>
      <w:r>
        <w:rPr>
          <w:rFonts w:hint="eastAsia" w:ascii="仿宋_GB2312"/>
          <w:sz w:val="32"/>
          <w:szCs w:val="32"/>
        </w:rPr>
        <w:t>本项目的项目决策、项目过程、项目产出、项目效益均达到了预期要求，最终得分为100分，项目达成年度指标</w:t>
      </w:r>
      <w:r>
        <w:rPr>
          <w:rFonts w:hint="eastAsia" w:ascii="仿宋_GB2312"/>
          <w:sz w:val="28"/>
          <w:szCs w:val="28"/>
        </w:rPr>
        <w:t>。</w:t>
      </w:r>
    </w:p>
    <w:p w14:paraId="5CF3A2DD">
      <w:pPr>
        <w:pStyle w:val="3"/>
        <w:spacing w:before="0" w:after="0" w:line="560" w:lineRule="exact"/>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09BBD174">
      <w:pPr>
        <w:pStyle w:val="4"/>
        <w:spacing w:before="0" w:after="0"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055F0877">
      <w:pPr>
        <w:spacing w:line="560" w:lineRule="exact"/>
        <w:rPr>
          <w:b/>
          <w:bCs/>
        </w:rPr>
      </w:pPr>
      <w:r>
        <w:rPr>
          <w:rFonts w:hint="eastAsia"/>
          <w:b/>
          <w:bCs/>
        </w:rPr>
        <w:t>1、立项依据充分性</w:t>
      </w:r>
    </w:p>
    <w:p w14:paraId="29D46EFC">
      <w:pPr>
        <w:spacing w:line="560" w:lineRule="exact"/>
        <w:ind w:firstLine="640" w:firstLineChars="200"/>
        <w:rPr>
          <w:rFonts w:ascii="仿宋_GB2312"/>
          <w:sz w:val="32"/>
          <w:szCs w:val="32"/>
        </w:rPr>
      </w:pPr>
      <w:r>
        <w:rPr>
          <w:rFonts w:hint="eastAsia" w:ascii="仿宋_GB2312"/>
          <w:sz w:val="32"/>
          <w:szCs w:val="32"/>
        </w:rPr>
        <w:t>项目立项是符合国家法律法规、国民经济发展规划和相关政策；项目立项是符合行业发展规划和政策要求；项目立项是与部门职责范围相符，属于部门履职所需；项目是属于公共财政支持范围，是符合中央、地方事权支出责任划分原则；项目不是与相关部门同类项目或部门内部相关项目重复。</w:t>
      </w:r>
    </w:p>
    <w:p w14:paraId="55B28466">
      <w:pPr>
        <w:spacing w:line="560" w:lineRule="exact"/>
        <w:ind w:firstLine="640" w:firstLineChars="200"/>
        <w:rPr>
          <w:rFonts w:ascii="仿宋_GB2312"/>
          <w:sz w:val="32"/>
          <w:szCs w:val="32"/>
        </w:rPr>
      </w:pPr>
      <w:r>
        <w:rPr>
          <w:rFonts w:hint="eastAsia" w:ascii="仿宋_GB2312"/>
          <w:sz w:val="32"/>
          <w:szCs w:val="32"/>
        </w:rPr>
        <w:t>项目立项依据：巴农发相关文件、批复、通知等文件。</w:t>
      </w:r>
    </w:p>
    <w:p w14:paraId="3C8E2881">
      <w:pPr>
        <w:spacing w:line="560" w:lineRule="exact"/>
        <w:ind w:firstLine="640" w:firstLineChars="200"/>
        <w:rPr>
          <w:rFonts w:ascii="仿宋_GB2312"/>
          <w:sz w:val="32"/>
          <w:szCs w:val="32"/>
        </w:rPr>
      </w:pPr>
      <w:r>
        <w:rPr>
          <w:rFonts w:hint="eastAsia" w:ascii="仿宋_GB2312"/>
          <w:sz w:val="32"/>
          <w:szCs w:val="32"/>
        </w:rPr>
        <w:t>2、立项程序规范性</w:t>
      </w:r>
    </w:p>
    <w:p w14:paraId="34B4A279">
      <w:pPr>
        <w:spacing w:line="560" w:lineRule="exact"/>
        <w:ind w:firstLine="640" w:firstLineChars="200"/>
        <w:rPr>
          <w:rFonts w:ascii="仿宋_GB2312"/>
          <w:sz w:val="32"/>
          <w:szCs w:val="32"/>
        </w:rPr>
      </w:pPr>
      <w:r>
        <w:rPr>
          <w:rFonts w:hint="eastAsia" w:ascii="仿宋_GB2312"/>
          <w:sz w:val="32"/>
          <w:szCs w:val="32"/>
        </w:rPr>
        <w:t>项目立项有完备的立项手续及批复，可行性报告等资料完备，符合项目立项程序规范性。</w:t>
      </w:r>
    </w:p>
    <w:p w14:paraId="10C9CBFC">
      <w:pPr>
        <w:spacing w:line="560" w:lineRule="exact"/>
        <w:ind w:firstLine="640" w:firstLineChars="200"/>
        <w:rPr>
          <w:rFonts w:ascii="仿宋_GB2312"/>
          <w:sz w:val="32"/>
          <w:szCs w:val="32"/>
        </w:rPr>
      </w:pPr>
      <w:r>
        <w:rPr>
          <w:rFonts w:hint="eastAsia" w:ascii="仿宋_GB2312"/>
          <w:sz w:val="32"/>
          <w:szCs w:val="32"/>
        </w:rPr>
        <w:t>3、绩效目标合理性</w:t>
      </w:r>
    </w:p>
    <w:p w14:paraId="28A335BA">
      <w:pPr>
        <w:spacing w:line="560" w:lineRule="exact"/>
        <w:ind w:firstLine="640" w:firstLineChars="200"/>
        <w:rPr>
          <w:rFonts w:ascii="仿宋_GB2312"/>
          <w:sz w:val="32"/>
          <w:szCs w:val="32"/>
        </w:rPr>
      </w:pPr>
      <w:r>
        <w:rPr>
          <w:rFonts w:hint="eastAsia" w:ascii="仿宋_GB2312"/>
          <w:sz w:val="32"/>
          <w:szCs w:val="32"/>
        </w:rPr>
        <w:t>焉耆县高标准农田建设项目设立了项目绩效目标，项目的预期产出效益和效果也均能符合正常的业绩水平，并且与预算确定的项目投资额或资金量相匹配。</w:t>
      </w:r>
    </w:p>
    <w:p w14:paraId="1850D65F">
      <w:pPr>
        <w:spacing w:line="560" w:lineRule="exact"/>
        <w:ind w:firstLine="640" w:firstLineChars="200"/>
        <w:rPr>
          <w:rFonts w:ascii="仿宋_GB2312"/>
          <w:sz w:val="32"/>
          <w:szCs w:val="32"/>
        </w:rPr>
      </w:pPr>
      <w:r>
        <w:rPr>
          <w:rFonts w:hint="eastAsia" w:ascii="仿宋_GB2312"/>
          <w:sz w:val="32"/>
          <w:szCs w:val="32"/>
        </w:rPr>
        <w:t>4、绩效指标明确性</w:t>
      </w:r>
    </w:p>
    <w:p w14:paraId="703CBE05">
      <w:pPr>
        <w:spacing w:line="560" w:lineRule="exact"/>
        <w:ind w:firstLine="640" w:firstLineChars="200"/>
        <w:rPr>
          <w:rFonts w:ascii="仿宋_GB2312"/>
          <w:sz w:val="32"/>
          <w:szCs w:val="32"/>
        </w:rPr>
      </w:pPr>
      <w:bookmarkStart w:id="12" w:name="_Hlk68699917"/>
      <w:r>
        <w:rPr>
          <w:rFonts w:hint="eastAsia" w:ascii="仿宋_GB2312"/>
          <w:sz w:val="32"/>
          <w:szCs w:val="32"/>
        </w:rPr>
        <w:t>焉耆县高标准农田建设项目将项目绩效目标细化分解为具体的绩效指标，一级指标共3条，二级指标共8条，三级指标共13条，其中量化指标条数共6条，所有绩效指标均通过清晰、可衡量的指标值予以体现，并且做到了与项目目标任务数或计划数相对应。</w:t>
      </w:r>
      <w:bookmarkEnd w:id="12"/>
    </w:p>
    <w:p w14:paraId="6552B8E8">
      <w:pPr>
        <w:spacing w:line="560" w:lineRule="exact"/>
        <w:ind w:firstLine="640" w:firstLineChars="200"/>
        <w:rPr>
          <w:rFonts w:ascii="仿宋_GB2312"/>
          <w:sz w:val="32"/>
          <w:szCs w:val="32"/>
        </w:rPr>
      </w:pPr>
      <w:r>
        <w:rPr>
          <w:rFonts w:hint="eastAsia" w:ascii="仿宋_GB2312"/>
          <w:sz w:val="32"/>
          <w:szCs w:val="32"/>
        </w:rPr>
        <w:t>5、预算编制科学性</w:t>
      </w:r>
    </w:p>
    <w:p w14:paraId="318C761F">
      <w:pPr>
        <w:spacing w:line="560" w:lineRule="exact"/>
        <w:ind w:firstLine="640" w:firstLineChars="200"/>
        <w:rPr>
          <w:rFonts w:ascii="仿宋_GB2312"/>
          <w:sz w:val="32"/>
          <w:szCs w:val="32"/>
        </w:rPr>
      </w:pPr>
      <w:r>
        <w:rPr>
          <w:rFonts w:hint="eastAsia" w:ascii="仿宋_GB2312"/>
          <w:sz w:val="32"/>
          <w:szCs w:val="32"/>
        </w:rPr>
        <w:t>该项目预算编制经过科学论证，预算内容与项目内容匹配，预算额度测算依据充分，按照标准编制，预算确定的项目资金量与工作任务相匹配。</w:t>
      </w:r>
    </w:p>
    <w:p w14:paraId="749C54EE">
      <w:pPr>
        <w:spacing w:line="560" w:lineRule="exact"/>
        <w:ind w:firstLine="640" w:firstLineChars="200"/>
        <w:rPr>
          <w:rFonts w:ascii="仿宋_GB2312"/>
          <w:sz w:val="32"/>
          <w:szCs w:val="32"/>
        </w:rPr>
      </w:pPr>
      <w:r>
        <w:rPr>
          <w:rFonts w:hint="eastAsia" w:ascii="仿宋_GB2312"/>
          <w:sz w:val="32"/>
          <w:szCs w:val="32"/>
        </w:rPr>
        <w:t>6、资金分配合理性</w:t>
      </w:r>
    </w:p>
    <w:p w14:paraId="2C732E37">
      <w:pPr>
        <w:spacing w:line="560" w:lineRule="exact"/>
        <w:ind w:firstLine="640" w:firstLineChars="200"/>
        <w:rPr>
          <w:sz w:val="28"/>
          <w:szCs w:val="28"/>
        </w:rPr>
      </w:pPr>
      <w:r>
        <w:rPr>
          <w:rFonts w:hint="eastAsia" w:ascii="仿宋_GB2312"/>
          <w:sz w:val="32"/>
          <w:szCs w:val="32"/>
        </w:rPr>
        <w:t>该项目预算资金分配依据充分，资金分配额度合理，与项目单位实际相适应。该项目预算数</w:t>
      </w:r>
      <w:r>
        <w:rPr>
          <w:sz w:val="32"/>
          <w:szCs w:val="32"/>
        </w:rPr>
        <w:t>12627万元，全年执行数12627万元。</w:t>
      </w:r>
    </w:p>
    <w:p w14:paraId="59C0C247">
      <w:pPr>
        <w:pStyle w:val="4"/>
        <w:spacing w:before="0" w:after="0"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14:paraId="52EA16E0">
      <w:pPr>
        <w:spacing w:line="560" w:lineRule="exact"/>
        <w:ind w:firstLine="640" w:firstLineChars="200"/>
        <w:rPr>
          <w:rFonts w:ascii="仿宋_GB2312"/>
          <w:sz w:val="32"/>
          <w:szCs w:val="32"/>
        </w:rPr>
      </w:pPr>
      <w:r>
        <w:rPr>
          <w:rFonts w:hint="eastAsia" w:ascii="仿宋_GB2312"/>
          <w:sz w:val="32"/>
          <w:szCs w:val="32"/>
        </w:rPr>
        <w:t>1、资金到位率</w:t>
      </w:r>
    </w:p>
    <w:p w14:paraId="797C7D97">
      <w:pPr>
        <w:spacing w:line="560" w:lineRule="exact"/>
        <w:ind w:firstLine="640" w:firstLineChars="200"/>
        <w:rPr>
          <w:rFonts w:ascii="仿宋_GB2312"/>
          <w:sz w:val="32"/>
          <w:szCs w:val="32"/>
        </w:rPr>
      </w:pPr>
      <w:r>
        <w:rPr>
          <w:rFonts w:hint="eastAsia" w:ascii="仿宋_GB2312"/>
          <w:sz w:val="32"/>
          <w:szCs w:val="32"/>
        </w:rPr>
        <w:t>实际到位资金12627万元，预算资金12627万元，资金到位率100%。</w:t>
      </w:r>
    </w:p>
    <w:p w14:paraId="37EB117A">
      <w:pPr>
        <w:spacing w:line="560" w:lineRule="exact"/>
        <w:ind w:firstLine="640" w:firstLineChars="200"/>
        <w:rPr>
          <w:rFonts w:ascii="仿宋_GB2312"/>
          <w:sz w:val="32"/>
          <w:szCs w:val="32"/>
        </w:rPr>
      </w:pPr>
      <w:r>
        <w:rPr>
          <w:rFonts w:hint="eastAsia" w:ascii="仿宋_GB2312"/>
          <w:sz w:val="32"/>
          <w:szCs w:val="32"/>
        </w:rPr>
        <w:t>2、预算执行率</w:t>
      </w:r>
    </w:p>
    <w:p w14:paraId="500A4678">
      <w:pPr>
        <w:spacing w:line="560" w:lineRule="exact"/>
        <w:ind w:firstLine="640" w:firstLineChars="200"/>
        <w:rPr>
          <w:rFonts w:ascii="仿宋_GB2312"/>
          <w:sz w:val="32"/>
          <w:szCs w:val="32"/>
        </w:rPr>
      </w:pPr>
      <w:r>
        <w:rPr>
          <w:rFonts w:hint="eastAsia" w:ascii="仿宋_GB2312"/>
          <w:sz w:val="32"/>
          <w:szCs w:val="32"/>
        </w:rPr>
        <w:t>预算数12627万元，执行数12627万元，预算执行率为100%。</w:t>
      </w:r>
    </w:p>
    <w:p w14:paraId="353E3892">
      <w:pPr>
        <w:spacing w:line="560" w:lineRule="exact"/>
        <w:ind w:firstLine="640" w:firstLineChars="200"/>
        <w:rPr>
          <w:rFonts w:ascii="仿宋_GB2312"/>
          <w:sz w:val="32"/>
          <w:szCs w:val="32"/>
        </w:rPr>
      </w:pPr>
      <w:r>
        <w:rPr>
          <w:rFonts w:hint="eastAsia" w:ascii="仿宋_GB2312"/>
          <w:sz w:val="32"/>
          <w:szCs w:val="32"/>
        </w:rPr>
        <w:t>3、资金使用合规性</w:t>
      </w:r>
    </w:p>
    <w:p w14:paraId="2F0CFDC0">
      <w:pPr>
        <w:spacing w:line="560" w:lineRule="exact"/>
        <w:ind w:firstLine="640" w:firstLineChars="200"/>
        <w:rPr>
          <w:rFonts w:ascii="仿宋_GB2312"/>
          <w:sz w:val="32"/>
          <w:szCs w:val="32"/>
        </w:rPr>
      </w:pPr>
      <w:r>
        <w:rPr>
          <w:rFonts w:hint="eastAsia" w:ascii="仿宋_GB2312"/>
          <w:sz w:val="32"/>
          <w:szCs w:val="32"/>
        </w:rPr>
        <w:t>该项目符合国家财经法规和财务管理制度以及有关专项资金管理办法的规定；资金的拨付有完整的审批程序和手续；符合项目预算批复或合同规定的用途；不存在截留、挤占、挪用、虚列支出等情况。</w:t>
      </w:r>
    </w:p>
    <w:p w14:paraId="206F77E2">
      <w:pPr>
        <w:spacing w:line="560" w:lineRule="exact"/>
        <w:ind w:firstLine="640" w:firstLineChars="200"/>
        <w:rPr>
          <w:rFonts w:ascii="仿宋_GB2312"/>
          <w:sz w:val="32"/>
          <w:szCs w:val="32"/>
        </w:rPr>
      </w:pPr>
      <w:r>
        <w:rPr>
          <w:rFonts w:hint="eastAsia" w:ascii="仿宋_GB2312"/>
          <w:sz w:val="32"/>
          <w:szCs w:val="32"/>
        </w:rPr>
        <w:t>4、管理制度健全性</w:t>
      </w:r>
    </w:p>
    <w:p w14:paraId="6F56D75D">
      <w:pPr>
        <w:spacing w:line="560" w:lineRule="exact"/>
        <w:ind w:firstLine="640" w:firstLineChars="200"/>
        <w:rPr>
          <w:rFonts w:ascii="仿宋_GB2312"/>
          <w:sz w:val="32"/>
          <w:szCs w:val="32"/>
        </w:rPr>
      </w:pPr>
      <w:r>
        <w:rPr>
          <w:rFonts w:hint="eastAsia" w:ascii="仿宋_GB2312"/>
          <w:sz w:val="32"/>
          <w:szCs w:val="32"/>
        </w:rPr>
        <w:t>我部门已制定《焉耆县农业农村局财务管理制度》财务管理制度，财务制度是合法、合规、完整。</w:t>
      </w:r>
    </w:p>
    <w:p w14:paraId="719108D0">
      <w:pPr>
        <w:spacing w:line="560" w:lineRule="exact"/>
        <w:ind w:firstLine="640" w:firstLineChars="200"/>
        <w:rPr>
          <w:rFonts w:ascii="仿宋_GB2312"/>
          <w:sz w:val="32"/>
          <w:szCs w:val="32"/>
        </w:rPr>
      </w:pPr>
      <w:r>
        <w:rPr>
          <w:rFonts w:hint="eastAsia" w:ascii="仿宋_GB2312"/>
          <w:sz w:val="32"/>
          <w:szCs w:val="32"/>
        </w:rPr>
        <w:t>5、制度执行有效性</w:t>
      </w:r>
    </w:p>
    <w:p w14:paraId="640C017B">
      <w:pPr>
        <w:spacing w:line="560" w:lineRule="exact"/>
        <w:ind w:firstLine="640" w:firstLineChars="200"/>
      </w:pPr>
      <w:r>
        <w:rPr>
          <w:rFonts w:hint="eastAsia" w:ascii="仿宋_GB2312"/>
          <w:sz w:val="32"/>
          <w:szCs w:val="32"/>
        </w:rPr>
        <w:t>该项目遵守相关法律法规和相关管理规定；项目调整及支出调整手续完备；项目合同书、验收报告、技术鉴定等资料齐全并及时归档；项目实施的人员条件、场地设备等落实到位。</w:t>
      </w:r>
    </w:p>
    <w:p w14:paraId="3BA1B782">
      <w:pPr>
        <w:pStyle w:val="4"/>
        <w:spacing w:before="0" w:after="0" w:line="360" w:lineRule="auto"/>
        <w:rPr>
          <w:rFonts w:ascii="仿宋_GB2312" w:eastAsia="仿宋_GB2312"/>
          <w:b w:val="0"/>
          <w:bCs w:val="0"/>
        </w:rPr>
      </w:pPr>
      <w:bookmarkStart w:id="14" w:name="_Toc68703840"/>
      <w:r>
        <w:rPr>
          <w:rFonts w:hint="eastAsia" w:ascii="仿宋_GB2312" w:eastAsia="仿宋_GB2312"/>
          <w:b w:val="0"/>
          <w:bCs w:val="0"/>
        </w:rPr>
        <w:t>（三）项目产出情况</w:t>
      </w:r>
      <w:bookmarkEnd w:id="14"/>
    </w:p>
    <w:p w14:paraId="4609B850">
      <w:pPr>
        <w:spacing w:line="560" w:lineRule="exact"/>
        <w:ind w:firstLine="640" w:firstLineChars="200"/>
        <w:rPr>
          <w:rFonts w:ascii="仿宋_GB2312"/>
          <w:sz w:val="32"/>
          <w:szCs w:val="32"/>
        </w:rPr>
      </w:pPr>
      <w:r>
        <w:rPr>
          <w:rFonts w:hint="eastAsia" w:ascii="仿宋_GB2312"/>
          <w:sz w:val="32"/>
          <w:szCs w:val="32"/>
        </w:rPr>
        <w:t>1、数量指标：指标1：新增和改造提升高标准农田建设面积，指标值：33.24万亩，实际完成值33.24万亩，指标完成率85%；指标2：其中新增和改造提升高效节水灌溉面积，指标值:</w:t>
      </w:r>
      <w:r>
        <w:rPr>
          <w:sz w:val="32"/>
          <w:szCs w:val="32"/>
        </w:rPr>
        <w:t>9.09万亩</w:t>
      </w:r>
      <w:r>
        <w:rPr>
          <w:rFonts w:hint="eastAsia" w:ascii="仿宋_GB2312"/>
          <w:sz w:val="32"/>
          <w:szCs w:val="32"/>
        </w:rPr>
        <w:t>，实际完成值</w:t>
      </w:r>
      <w:r>
        <w:rPr>
          <w:sz w:val="32"/>
          <w:szCs w:val="32"/>
        </w:rPr>
        <w:t>9.09万亩</w:t>
      </w:r>
      <w:r>
        <w:rPr>
          <w:rFonts w:hint="eastAsia" w:ascii="仿宋_GB2312"/>
          <w:sz w:val="32"/>
          <w:szCs w:val="32"/>
        </w:rPr>
        <w:t>，指标完成率100%。</w:t>
      </w:r>
    </w:p>
    <w:p w14:paraId="7DF0B6D7">
      <w:pPr>
        <w:spacing w:line="560" w:lineRule="exact"/>
        <w:ind w:firstLine="640" w:firstLineChars="200"/>
        <w:rPr>
          <w:rFonts w:ascii="仿宋_GB2312"/>
          <w:sz w:val="32"/>
          <w:szCs w:val="32"/>
        </w:rPr>
      </w:pPr>
      <w:r>
        <w:rPr>
          <w:rFonts w:hint="eastAsia" w:ascii="仿宋_GB2312"/>
          <w:sz w:val="32"/>
          <w:szCs w:val="32"/>
        </w:rPr>
        <w:t>2、质量指标：指标1：项目验收合格率，指标值：≥95%，实际完成值95%，指标完成率100%。</w:t>
      </w:r>
    </w:p>
    <w:p w14:paraId="16A357E2">
      <w:pPr>
        <w:spacing w:line="560" w:lineRule="exact"/>
        <w:ind w:firstLine="640" w:firstLineChars="200"/>
        <w:rPr>
          <w:rFonts w:ascii="仿宋_GB2312"/>
          <w:sz w:val="32"/>
          <w:szCs w:val="32"/>
        </w:rPr>
      </w:pPr>
      <w:r>
        <w:rPr>
          <w:rFonts w:hint="eastAsia" w:ascii="仿宋_GB2312"/>
          <w:sz w:val="32"/>
          <w:szCs w:val="32"/>
        </w:rPr>
        <w:t>3、时效指标：指标1：项目完成及时性，指标值：1年，实际完成值1年，指标完成率100%。</w:t>
      </w:r>
    </w:p>
    <w:p w14:paraId="136F43A9">
      <w:pPr>
        <w:spacing w:line="560" w:lineRule="exact"/>
        <w:ind w:firstLine="640" w:firstLineChars="200"/>
      </w:pPr>
      <w:r>
        <w:rPr>
          <w:rFonts w:hint="eastAsia" w:ascii="仿宋_GB2312"/>
          <w:sz w:val="32"/>
          <w:szCs w:val="32"/>
        </w:rPr>
        <w:t>4、成本指标：指标1：项目总投资，指标值：12627万元，实际完成值12627万元，指标完成率100%。</w:t>
      </w:r>
    </w:p>
    <w:p w14:paraId="2E83539B">
      <w:pPr>
        <w:pStyle w:val="4"/>
        <w:spacing w:before="0" w:after="0" w:line="360" w:lineRule="auto"/>
        <w:rPr>
          <w:rFonts w:ascii="仿宋_GB2312" w:eastAsia="仿宋_GB2312"/>
          <w:b w:val="0"/>
          <w:bCs w:val="0"/>
        </w:rPr>
      </w:pPr>
      <w:bookmarkStart w:id="15" w:name="_Toc68703841"/>
      <w:r>
        <w:rPr>
          <w:rFonts w:hint="eastAsia" w:ascii="仿宋_GB2312" w:eastAsia="仿宋_GB2312"/>
          <w:b w:val="0"/>
          <w:bCs w:val="0"/>
        </w:rPr>
        <w:t>（四）项目效益情况</w:t>
      </w:r>
      <w:bookmarkEnd w:id="15"/>
    </w:p>
    <w:p w14:paraId="7F2B3766">
      <w:pPr>
        <w:spacing w:line="560" w:lineRule="exact"/>
        <w:ind w:firstLine="640" w:firstLineChars="200"/>
        <w:rPr>
          <w:rFonts w:ascii="仿宋_GB2312"/>
          <w:sz w:val="32"/>
          <w:szCs w:val="32"/>
        </w:rPr>
      </w:pPr>
      <w:r>
        <w:rPr>
          <w:rFonts w:hint="eastAsia" w:ascii="仿宋_GB2312"/>
          <w:sz w:val="32"/>
          <w:szCs w:val="32"/>
        </w:rPr>
        <w:t>1、社会效益指标：指标1：粮食综合生产能力，指标值：明显提升，实际完成值：明显提升，指标完成率100%。指标2：田间道路通达度，指标值：平原地区达100%，实际完成值：平原地区达100%，指标完成率100%。</w:t>
      </w:r>
    </w:p>
    <w:p w14:paraId="37F938F2">
      <w:pPr>
        <w:spacing w:line="560" w:lineRule="exact"/>
        <w:ind w:firstLine="640" w:firstLineChars="200"/>
        <w:rPr>
          <w:rFonts w:ascii="仿宋_GB2312"/>
          <w:sz w:val="32"/>
          <w:szCs w:val="32"/>
        </w:rPr>
      </w:pPr>
      <w:r>
        <w:rPr>
          <w:rFonts w:hint="eastAsia" w:ascii="仿宋_GB2312"/>
          <w:sz w:val="32"/>
          <w:szCs w:val="32"/>
        </w:rPr>
        <w:t>2、生态效益指标：指标1：耕地质量，指标值：逐步提升，实际完成值：逐步提升，指标完成率100%。指标2：水资源利用率，指标值：逐步提升，实际完成值：逐步提升，指标完成率100%。指标</w:t>
      </w:r>
    </w:p>
    <w:p w14:paraId="6F0A5D2D">
      <w:pPr>
        <w:spacing w:line="560" w:lineRule="exact"/>
        <w:ind w:firstLine="640" w:firstLineChars="200"/>
        <w:rPr>
          <w:rFonts w:ascii="仿宋_GB2312"/>
          <w:sz w:val="32"/>
          <w:szCs w:val="32"/>
        </w:rPr>
      </w:pPr>
      <w:r>
        <w:rPr>
          <w:rFonts w:hint="eastAsia" w:ascii="仿宋_GB2312"/>
          <w:sz w:val="32"/>
          <w:szCs w:val="32"/>
        </w:rPr>
        <w:t>3、可持续影响指标：指标1：农业种植结构，指标值：进一步优化，实际完成值：进一步优化，指标完成率100%。指标2：改善生态环境，指标值：明显改善，实际完成值：明显改善，指标完成率100%</w:t>
      </w:r>
    </w:p>
    <w:p w14:paraId="7BA56933">
      <w:pPr>
        <w:spacing w:line="560" w:lineRule="exact"/>
        <w:ind w:firstLine="640" w:firstLineChars="200"/>
        <w:rPr>
          <w:color w:val="FF0000"/>
        </w:rPr>
      </w:pPr>
      <w:r>
        <w:rPr>
          <w:rFonts w:hint="eastAsia" w:ascii="仿宋_GB2312"/>
          <w:sz w:val="32"/>
          <w:szCs w:val="32"/>
        </w:rPr>
        <w:t>4、服务对象满意指标：指标1：受益群众满意率，指标值：≥90%，实际完成值：90%，指标完成率100%。</w:t>
      </w:r>
    </w:p>
    <w:p w14:paraId="13C1D26D">
      <w:pPr>
        <w:pStyle w:val="3"/>
        <w:spacing w:before="0" w:after="0" w:line="560" w:lineRule="exact"/>
        <w:rPr>
          <w:rFonts w:ascii="宋体" w:hAnsi="宋体" w:eastAsia="宋体"/>
          <w:sz w:val="32"/>
          <w:szCs w:val="32"/>
        </w:rPr>
      </w:pPr>
      <w:bookmarkStart w:id="16" w:name="_Toc68703842"/>
      <w:r>
        <w:rPr>
          <w:rFonts w:hint="eastAsia" w:ascii="宋体" w:hAnsi="宋体" w:eastAsia="宋体"/>
          <w:sz w:val="32"/>
          <w:szCs w:val="32"/>
        </w:rPr>
        <w:t>五、主要经验及做法、存在的问题及原因分析</w:t>
      </w:r>
      <w:bookmarkEnd w:id="16"/>
    </w:p>
    <w:p w14:paraId="0DB24DAF">
      <w:pPr>
        <w:pStyle w:val="4"/>
        <w:spacing w:before="0" w:after="0" w:line="360" w:lineRule="auto"/>
        <w:rPr>
          <w:rFonts w:ascii="仿宋_GB2312" w:eastAsia="仿宋_GB2312"/>
          <w:b w:val="0"/>
          <w:bCs w:val="0"/>
        </w:rPr>
      </w:pPr>
      <w:bookmarkStart w:id="17" w:name="_Toc68703843"/>
      <w:r>
        <w:rPr>
          <w:rFonts w:hint="eastAsia" w:ascii="仿宋_GB2312" w:eastAsia="仿宋_GB2312"/>
          <w:b w:val="0"/>
          <w:bCs w:val="0"/>
        </w:rPr>
        <w:t>（一）主要经验及做法</w:t>
      </w:r>
      <w:bookmarkEnd w:id="17"/>
    </w:p>
    <w:p w14:paraId="0C5ADAE4">
      <w:pPr>
        <w:spacing w:line="560" w:lineRule="exact"/>
        <w:ind w:firstLine="640" w:firstLineChars="200"/>
        <w:rPr>
          <w:rFonts w:ascii="仿宋_GB2312"/>
          <w:sz w:val="32"/>
          <w:szCs w:val="32"/>
        </w:rPr>
      </w:pPr>
      <w:bookmarkStart w:id="18" w:name="_Toc68703844"/>
      <w:r>
        <w:rPr>
          <w:rFonts w:hint="eastAsia" w:ascii="仿宋_GB2312"/>
          <w:sz w:val="32"/>
          <w:szCs w:val="32"/>
        </w:rPr>
        <w:t>1、项目实施过程中，我单位加强科室配合，监管有力，及时按年初预算进度支付经费，为项目实施做好资金保障。项目执行科室普查中心提出项目资金的使用计划，较为规范地组织实施，有条不紊开展相关工作，并做好资料收集整理工作。</w:t>
      </w:r>
    </w:p>
    <w:p w14:paraId="148C05AB">
      <w:pPr>
        <w:spacing w:line="560" w:lineRule="exact"/>
        <w:ind w:firstLine="640" w:firstLineChars="200"/>
        <w:rPr>
          <w:rFonts w:ascii="仿宋_GB2312"/>
          <w:sz w:val="32"/>
          <w:szCs w:val="32"/>
        </w:rPr>
      </w:pPr>
      <w:r>
        <w:rPr>
          <w:rFonts w:hint="eastAsia" w:ascii="仿宋_GB2312"/>
          <w:sz w:val="32"/>
          <w:szCs w:val="32"/>
        </w:rPr>
        <w:t>2、项目实施过程中，按照合同计划规范地组织实施，有条不紊开展相关工作，并做好资料收集整理工作。</w:t>
      </w:r>
    </w:p>
    <w:p w14:paraId="5AC2245F">
      <w:pPr>
        <w:spacing w:line="560" w:lineRule="exact"/>
        <w:ind w:firstLine="640" w:firstLineChars="200"/>
        <w:rPr>
          <w:rFonts w:ascii="仿宋_GB2312"/>
          <w:sz w:val="32"/>
          <w:szCs w:val="32"/>
        </w:rPr>
      </w:pPr>
      <w:r>
        <w:rPr>
          <w:rFonts w:hint="eastAsia" w:ascii="仿宋_GB2312"/>
          <w:sz w:val="32"/>
          <w:szCs w:val="32"/>
        </w:rPr>
        <w:t>3、合理安排项目资金，确保项目及时必要。</w:t>
      </w:r>
    </w:p>
    <w:p w14:paraId="64FA33A4">
      <w:pPr>
        <w:spacing w:line="560" w:lineRule="exact"/>
        <w:ind w:firstLine="640" w:firstLineChars="200"/>
        <w:rPr>
          <w:rFonts w:ascii="仿宋_GB2312"/>
          <w:sz w:val="32"/>
          <w:szCs w:val="32"/>
        </w:rPr>
      </w:pPr>
      <w:r>
        <w:rPr>
          <w:rFonts w:hint="eastAsia" w:ascii="仿宋_GB2312"/>
          <w:sz w:val="32"/>
          <w:szCs w:val="32"/>
        </w:rPr>
        <w:t>4、制订项目资金使用管理规定，保证资金使用严格按财务制度办理。</w:t>
      </w:r>
    </w:p>
    <w:p w14:paraId="6D9C0054">
      <w:pPr>
        <w:spacing w:line="560" w:lineRule="exact"/>
        <w:ind w:firstLine="640" w:firstLineChars="200"/>
        <w:rPr>
          <w:rFonts w:ascii="仿宋_GB2312"/>
          <w:sz w:val="28"/>
          <w:szCs w:val="28"/>
        </w:rPr>
      </w:pPr>
      <w:r>
        <w:rPr>
          <w:rFonts w:hint="eastAsia" w:ascii="仿宋_GB2312"/>
          <w:sz w:val="32"/>
          <w:szCs w:val="32"/>
        </w:rPr>
        <w:t>5、发现问题及时更正，确保项目正常运行。</w:t>
      </w:r>
    </w:p>
    <w:p w14:paraId="14C589FC">
      <w:pPr>
        <w:pStyle w:val="4"/>
        <w:spacing w:before="0" w:after="0" w:line="360" w:lineRule="auto"/>
        <w:rPr>
          <w:rFonts w:ascii="仿宋_GB2312" w:eastAsia="仿宋_GB2312"/>
          <w:b w:val="0"/>
          <w:bCs w:val="0"/>
        </w:rPr>
      </w:pPr>
      <w:r>
        <w:rPr>
          <w:rFonts w:hint="eastAsia" w:ascii="仿宋_GB2312" w:eastAsia="仿宋_GB2312"/>
          <w:b w:val="0"/>
          <w:bCs w:val="0"/>
        </w:rPr>
        <w:t>（二）存在的问题及原因分析</w:t>
      </w:r>
      <w:bookmarkEnd w:id="18"/>
    </w:p>
    <w:p w14:paraId="794B3893">
      <w:pPr>
        <w:spacing w:line="560" w:lineRule="exact"/>
        <w:ind w:firstLine="640" w:firstLineChars="200"/>
        <w:rPr>
          <w:rFonts w:ascii="仿宋_GB2312"/>
          <w:sz w:val="32"/>
          <w:szCs w:val="32"/>
        </w:rPr>
      </w:pPr>
      <w:bookmarkStart w:id="19" w:name="_Toc68703845"/>
      <w:r>
        <w:rPr>
          <w:rFonts w:hint="eastAsia" w:ascii="仿宋_GB2312"/>
          <w:sz w:val="32"/>
          <w:szCs w:val="32"/>
        </w:rPr>
        <w:t>1、项目资金使用具有不可预见性和不可计划性，造成在项目实际执行过程中，不能很好的按照制定的项目支出绩效目标去完成；另外由于对于绩效管理工作经验不足，项目的部分成果无法用量化指标形式表示，在绩效考评指标的设计上，有待完善。</w:t>
      </w:r>
    </w:p>
    <w:p w14:paraId="55C649CD">
      <w:pPr>
        <w:spacing w:line="560" w:lineRule="exact"/>
        <w:ind w:firstLine="640" w:firstLineChars="200"/>
        <w:rPr>
          <w:rFonts w:ascii="仿宋_GB2312"/>
          <w:sz w:val="28"/>
          <w:szCs w:val="28"/>
        </w:rPr>
      </w:pPr>
      <w:r>
        <w:rPr>
          <w:rFonts w:hint="eastAsia" w:ascii="仿宋_GB2312"/>
          <w:sz w:val="32"/>
          <w:szCs w:val="32"/>
        </w:rPr>
        <w:t>2、财政绩效管理有待提高。按照财政支出绩效管理的要求，建立科学的财政资金效益考评制度体系，不断完善绩效评价的评价体系及工作流程，提高财政资金使用管理的水平和效率。</w:t>
      </w:r>
    </w:p>
    <w:p w14:paraId="330A149E">
      <w:pPr>
        <w:pStyle w:val="3"/>
        <w:spacing w:before="0" w:after="0" w:line="560" w:lineRule="exact"/>
        <w:rPr>
          <w:rFonts w:ascii="宋体" w:hAnsi="宋体" w:eastAsia="宋体"/>
          <w:sz w:val="32"/>
          <w:szCs w:val="32"/>
        </w:rPr>
      </w:pPr>
      <w:r>
        <w:rPr>
          <w:rFonts w:hint="eastAsia" w:ascii="宋体" w:hAnsi="宋体" w:eastAsia="宋体"/>
          <w:sz w:val="32"/>
          <w:szCs w:val="32"/>
        </w:rPr>
        <w:t>六、有关建议</w:t>
      </w:r>
      <w:bookmarkEnd w:id="19"/>
    </w:p>
    <w:p w14:paraId="24C5AE64">
      <w:pPr>
        <w:spacing w:line="560" w:lineRule="exact"/>
        <w:ind w:firstLine="640" w:firstLineChars="200"/>
        <w:rPr>
          <w:rFonts w:ascii="仿宋_GB2312"/>
          <w:sz w:val="32"/>
          <w:szCs w:val="32"/>
        </w:rPr>
      </w:pPr>
      <w:r>
        <w:rPr>
          <w:rFonts w:hint="eastAsia" w:ascii="仿宋_GB2312"/>
          <w:sz w:val="32"/>
          <w:szCs w:val="32"/>
        </w:rPr>
        <w:t>1、项目资金使用具有不可预见性和不可计划性，因此部分指标并不适宜作为绩效考核，例如经济效益指标、生态效益指标、可持续影响指标等指标。建议研究制订适合专项资金的支出绩效评价共性指标。</w:t>
      </w:r>
    </w:p>
    <w:p w14:paraId="4EC0069F">
      <w:pPr>
        <w:spacing w:line="560" w:lineRule="exact"/>
        <w:ind w:firstLine="640" w:firstLineChars="200"/>
      </w:pPr>
      <w:r>
        <w:rPr>
          <w:rFonts w:hint="eastAsia" w:ascii="仿宋_GB2312"/>
          <w:sz w:val="32"/>
          <w:szCs w:val="32"/>
        </w:rPr>
        <w:t>2、继续加强《预算法》及《预算法实施条例》的宣传、学习贯彻力度。科学合理编制预算，要做好编制前的调查研究和分析工作，进一步提高预算的准确性和科学性，减少预算编制的随意性。在对预算年度的经济状况进行全面科学分析的基础上，按照“量入为出、收支平衡、统筹兼顾，确保重点”的原则，合理安排预算收支，将预算资金尽量落实到具体人员、项目，使预算充分反映以政府为主体的资金收支活动全貌，保证预算的可执行性。</w:t>
      </w:r>
    </w:p>
    <w:p w14:paraId="37CAE8DD">
      <w:pPr>
        <w:pStyle w:val="3"/>
        <w:spacing w:before="0" w:after="0" w:line="560" w:lineRule="exact"/>
        <w:rPr>
          <w:rFonts w:ascii="宋体" w:hAnsi="宋体" w:eastAsia="宋体"/>
          <w:sz w:val="32"/>
          <w:szCs w:val="32"/>
        </w:rPr>
      </w:pPr>
      <w:bookmarkStart w:id="20" w:name="_Toc68703846"/>
      <w:r>
        <w:rPr>
          <w:rFonts w:hint="eastAsia" w:ascii="宋体" w:hAnsi="宋体" w:eastAsia="宋体"/>
          <w:sz w:val="32"/>
          <w:szCs w:val="32"/>
        </w:rPr>
        <w:t>七、其他需要说明的问题</w:t>
      </w:r>
      <w:bookmarkEnd w:id="20"/>
    </w:p>
    <w:p w14:paraId="7E543DB9">
      <w:pPr>
        <w:spacing w:line="560" w:lineRule="exact"/>
        <w:ind w:firstLine="640" w:firstLineChars="200"/>
        <w:rPr>
          <w:rFonts w:ascii="仿宋_GB2312"/>
          <w:sz w:val="32"/>
          <w:szCs w:val="32"/>
        </w:rPr>
      </w:pPr>
      <w:r>
        <w:rPr>
          <w:rFonts w:hint="eastAsia" w:ascii="仿宋_GB2312"/>
          <w:sz w:val="32"/>
          <w:szCs w:val="32"/>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D49C5"/>
    <w:rsid w:val="000363DC"/>
    <w:rsid w:val="000C7D71"/>
    <w:rsid w:val="001128E8"/>
    <w:rsid w:val="00142757"/>
    <w:rsid w:val="002D6061"/>
    <w:rsid w:val="00300C41"/>
    <w:rsid w:val="00313774"/>
    <w:rsid w:val="00373210"/>
    <w:rsid w:val="003D1D5A"/>
    <w:rsid w:val="00454992"/>
    <w:rsid w:val="00485AE2"/>
    <w:rsid w:val="0053493D"/>
    <w:rsid w:val="00550F51"/>
    <w:rsid w:val="005B6A7C"/>
    <w:rsid w:val="005F01F7"/>
    <w:rsid w:val="00614288"/>
    <w:rsid w:val="006466B4"/>
    <w:rsid w:val="006D75CF"/>
    <w:rsid w:val="00741FC0"/>
    <w:rsid w:val="0075690C"/>
    <w:rsid w:val="0079589A"/>
    <w:rsid w:val="007D49C5"/>
    <w:rsid w:val="00827812"/>
    <w:rsid w:val="00873DAB"/>
    <w:rsid w:val="008B2C29"/>
    <w:rsid w:val="008C0619"/>
    <w:rsid w:val="008C631D"/>
    <w:rsid w:val="00970D2F"/>
    <w:rsid w:val="009F04D8"/>
    <w:rsid w:val="00A14537"/>
    <w:rsid w:val="00A418B7"/>
    <w:rsid w:val="00A74501"/>
    <w:rsid w:val="00AF496D"/>
    <w:rsid w:val="00B112AD"/>
    <w:rsid w:val="00B93532"/>
    <w:rsid w:val="00BD286B"/>
    <w:rsid w:val="00C0377F"/>
    <w:rsid w:val="00C144CE"/>
    <w:rsid w:val="00CD5CA8"/>
    <w:rsid w:val="00D13CAB"/>
    <w:rsid w:val="00E26CFF"/>
    <w:rsid w:val="00E627C8"/>
    <w:rsid w:val="00E73D82"/>
    <w:rsid w:val="00F12018"/>
    <w:rsid w:val="00F578ED"/>
    <w:rsid w:val="00F601E6"/>
    <w:rsid w:val="00F62857"/>
    <w:rsid w:val="00FB6321"/>
    <w:rsid w:val="01D16493"/>
    <w:rsid w:val="01F0269C"/>
    <w:rsid w:val="02806A17"/>
    <w:rsid w:val="032A0685"/>
    <w:rsid w:val="03831D34"/>
    <w:rsid w:val="03CB1ACB"/>
    <w:rsid w:val="045520A4"/>
    <w:rsid w:val="0507003E"/>
    <w:rsid w:val="05103CE2"/>
    <w:rsid w:val="054E7350"/>
    <w:rsid w:val="058467AA"/>
    <w:rsid w:val="05BC7FE0"/>
    <w:rsid w:val="06695851"/>
    <w:rsid w:val="06791647"/>
    <w:rsid w:val="06F34B46"/>
    <w:rsid w:val="07F67848"/>
    <w:rsid w:val="0981019D"/>
    <w:rsid w:val="09D60FC6"/>
    <w:rsid w:val="0B70099A"/>
    <w:rsid w:val="0BC06C48"/>
    <w:rsid w:val="0BC24FE7"/>
    <w:rsid w:val="0C33136A"/>
    <w:rsid w:val="0CB13F13"/>
    <w:rsid w:val="0CB574CE"/>
    <w:rsid w:val="0D3C7798"/>
    <w:rsid w:val="0D456871"/>
    <w:rsid w:val="0DDB14DB"/>
    <w:rsid w:val="0E1B7DDC"/>
    <w:rsid w:val="10932D50"/>
    <w:rsid w:val="10AA3C72"/>
    <w:rsid w:val="111F7839"/>
    <w:rsid w:val="119119A7"/>
    <w:rsid w:val="1199083E"/>
    <w:rsid w:val="11E83AEE"/>
    <w:rsid w:val="12444C6C"/>
    <w:rsid w:val="126A4B43"/>
    <w:rsid w:val="13CE31FD"/>
    <w:rsid w:val="13D56AD4"/>
    <w:rsid w:val="140E6D8E"/>
    <w:rsid w:val="141A4EBE"/>
    <w:rsid w:val="14517431"/>
    <w:rsid w:val="14846F4E"/>
    <w:rsid w:val="14DD7998"/>
    <w:rsid w:val="157E56D5"/>
    <w:rsid w:val="159E5DF3"/>
    <w:rsid w:val="15E5514D"/>
    <w:rsid w:val="1601540C"/>
    <w:rsid w:val="163E5E01"/>
    <w:rsid w:val="1760412F"/>
    <w:rsid w:val="18246EF8"/>
    <w:rsid w:val="183130DE"/>
    <w:rsid w:val="186E6054"/>
    <w:rsid w:val="18B62A78"/>
    <w:rsid w:val="18F25BFB"/>
    <w:rsid w:val="194E4960"/>
    <w:rsid w:val="1A056219"/>
    <w:rsid w:val="1A204C04"/>
    <w:rsid w:val="1CE66BDF"/>
    <w:rsid w:val="1CEC3FE4"/>
    <w:rsid w:val="1D772478"/>
    <w:rsid w:val="1E3E036B"/>
    <w:rsid w:val="1F5D08F5"/>
    <w:rsid w:val="1F904EAB"/>
    <w:rsid w:val="20A6001F"/>
    <w:rsid w:val="212F5E20"/>
    <w:rsid w:val="227737EC"/>
    <w:rsid w:val="22DC3BB1"/>
    <w:rsid w:val="23500126"/>
    <w:rsid w:val="23776AA3"/>
    <w:rsid w:val="23F71A90"/>
    <w:rsid w:val="246547F7"/>
    <w:rsid w:val="249A77A9"/>
    <w:rsid w:val="26AA26E9"/>
    <w:rsid w:val="26D477AF"/>
    <w:rsid w:val="27642BD3"/>
    <w:rsid w:val="29357A87"/>
    <w:rsid w:val="2A913A8D"/>
    <w:rsid w:val="2A9C5959"/>
    <w:rsid w:val="2ACB7EC9"/>
    <w:rsid w:val="2AD63732"/>
    <w:rsid w:val="2C692EB9"/>
    <w:rsid w:val="2D044798"/>
    <w:rsid w:val="2D875335"/>
    <w:rsid w:val="2D940999"/>
    <w:rsid w:val="2E2E458B"/>
    <w:rsid w:val="2E5F1E13"/>
    <w:rsid w:val="2E97130A"/>
    <w:rsid w:val="2EF80F44"/>
    <w:rsid w:val="2FA21679"/>
    <w:rsid w:val="30EC6005"/>
    <w:rsid w:val="31C00915"/>
    <w:rsid w:val="345023F1"/>
    <w:rsid w:val="354E3BF6"/>
    <w:rsid w:val="355F2317"/>
    <w:rsid w:val="35E161CB"/>
    <w:rsid w:val="35E910A9"/>
    <w:rsid w:val="36CF375E"/>
    <w:rsid w:val="370031BA"/>
    <w:rsid w:val="380B28D6"/>
    <w:rsid w:val="38401F2E"/>
    <w:rsid w:val="38814947"/>
    <w:rsid w:val="38AA32AE"/>
    <w:rsid w:val="38FA3500"/>
    <w:rsid w:val="390D29C3"/>
    <w:rsid w:val="3B534E48"/>
    <w:rsid w:val="3C6A31B4"/>
    <w:rsid w:val="3CA510C8"/>
    <w:rsid w:val="3CB74753"/>
    <w:rsid w:val="3D792EFC"/>
    <w:rsid w:val="3DBF3BC5"/>
    <w:rsid w:val="3F095B3B"/>
    <w:rsid w:val="3F734377"/>
    <w:rsid w:val="3FBC6E5F"/>
    <w:rsid w:val="404263AC"/>
    <w:rsid w:val="41054F7C"/>
    <w:rsid w:val="426016FF"/>
    <w:rsid w:val="4264644B"/>
    <w:rsid w:val="42BA2DC1"/>
    <w:rsid w:val="46111660"/>
    <w:rsid w:val="4680074E"/>
    <w:rsid w:val="47076F64"/>
    <w:rsid w:val="471E1B6C"/>
    <w:rsid w:val="484B622D"/>
    <w:rsid w:val="496E1E9E"/>
    <w:rsid w:val="49A73A16"/>
    <w:rsid w:val="4A376F09"/>
    <w:rsid w:val="4A6A3654"/>
    <w:rsid w:val="4A940604"/>
    <w:rsid w:val="4B1D7FDF"/>
    <w:rsid w:val="4B274A36"/>
    <w:rsid w:val="4BCA6ECA"/>
    <w:rsid w:val="4BF80227"/>
    <w:rsid w:val="4C2E3A1E"/>
    <w:rsid w:val="4CCA4E72"/>
    <w:rsid w:val="4D19069D"/>
    <w:rsid w:val="4D52257C"/>
    <w:rsid w:val="4D783A96"/>
    <w:rsid w:val="4DB951D1"/>
    <w:rsid w:val="4E14008A"/>
    <w:rsid w:val="4E622B83"/>
    <w:rsid w:val="4ED8754E"/>
    <w:rsid w:val="4F351036"/>
    <w:rsid w:val="50835052"/>
    <w:rsid w:val="50E425FB"/>
    <w:rsid w:val="51456204"/>
    <w:rsid w:val="5170513A"/>
    <w:rsid w:val="517109E2"/>
    <w:rsid w:val="518C545B"/>
    <w:rsid w:val="51C94148"/>
    <w:rsid w:val="51F65907"/>
    <w:rsid w:val="52B8625F"/>
    <w:rsid w:val="52CB5093"/>
    <w:rsid w:val="53194BCE"/>
    <w:rsid w:val="536C36B8"/>
    <w:rsid w:val="53752FC5"/>
    <w:rsid w:val="539D6793"/>
    <w:rsid w:val="53CD47A4"/>
    <w:rsid w:val="54161967"/>
    <w:rsid w:val="54170783"/>
    <w:rsid w:val="5532134B"/>
    <w:rsid w:val="55860B4F"/>
    <w:rsid w:val="573F5884"/>
    <w:rsid w:val="574A11AC"/>
    <w:rsid w:val="57C80CB3"/>
    <w:rsid w:val="58823AAC"/>
    <w:rsid w:val="59AB468D"/>
    <w:rsid w:val="5A2A4068"/>
    <w:rsid w:val="5A763C9A"/>
    <w:rsid w:val="5AA82B29"/>
    <w:rsid w:val="5AC25B09"/>
    <w:rsid w:val="5B4B615F"/>
    <w:rsid w:val="5C474DE7"/>
    <w:rsid w:val="5D224099"/>
    <w:rsid w:val="5D4E4749"/>
    <w:rsid w:val="5D995AB2"/>
    <w:rsid w:val="5EBC5011"/>
    <w:rsid w:val="5F101CB5"/>
    <w:rsid w:val="5F515B87"/>
    <w:rsid w:val="5F594F01"/>
    <w:rsid w:val="60071F30"/>
    <w:rsid w:val="60D177B5"/>
    <w:rsid w:val="6158088D"/>
    <w:rsid w:val="631A4D29"/>
    <w:rsid w:val="634E5996"/>
    <w:rsid w:val="63731D6B"/>
    <w:rsid w:val="651A02F1"/>
    <w:rsid w:val="656610EA"/>
    <w:rsid w:val="66BE6450"/>
    <w:rsid w:val="680E15B1"/>
    <w:rsid w:val="68482BFB"/>
    <w:rsid w:val="688C508A"/>
    <w:rsid w:val="691B42A9"/>
    <w:rsid w:val="694D0ABF"/>
    <w:rsid w:val="6A0A0DA2"/>
    <w:rsid w:val="6A3E2EB4"/>
    <w:rsid w:val="6C556142"/>
    <w:rsid w:val="6C5A7E34"/>
    <w:rsid w:val="6CA25D5D"/>
    <w:rsid w:val="6CA9148D"/>
    <w:rsid w:val="6CF56DA1"/>
    <w:rsid w:val="6D7A67E2"/>
    <w:rsid w:val="6E890A7A"/>
    <w:rsid w:val="6E982901"/>
    <w:rsid w:val="6E9C4FC9"/>
    <w:rsid w:val="6EEE1656"/>
    <w:rsid w:val="6F1545FC"/>
    <w:rsid w:val="6FCD452F"/>
    <w:rsid w:val="70905F01"/>
    <w:rsid w:val="71815E90"/>
    <w:rsid w:val="71AC4029"/>
    <w:rsid w:val="71BF4FB4"/>
    <w:rsid w:val="72534BD7"/>
    <w:rsid w:val="725647AE"/>
    <w:rsid w:val="73D93CEF"/>
    <w:rsid w:val="747706CB"/>
    <w:rsid w:val="74D45E4F"/>
    <w:rsid w:val="76E259F8"/>
    <w:rsid w:val="771F6313"/>
    <w:rsid w:val="7808207E"/>
    <w:rsid w:val="7853789B"/>
    <w:rsid w:val="78602FD6"/>
    <w:rsid w:val="78AB1951"/>
    <w:rsid w:val="7944193F"/>
    <w:rsid w:val="79491B69"/>
    <w:rsid w:val="797A05A8"/>
    <w:rsid w:val="7D0E695B"/>
    <w:rsid w:val="7D367442"/>
    <w:rsid w:val="7D8D0339"/>
    <w:rsid w:val="7DCF5C99"/>
    <w:rsid w:val="7DFC5B7B"/>
    <w:rsid w:val="7F515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nhideWhenUsed="0" w:uiPriority="0" w:semiHidden="0"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Normal Indent"/>
    <w:basedOn w:val="1"/>
    <w:unhideWhenUsed/>
    <w:qFormat/>
    <w:uiPriority w:val="99"/>
    <w:pPr>
      <w:ind w:firstLine="420"/>
    </w:pPr>
    <w:rPr>
      <w:szCs w:val="20"/>
    </w:rPr>
  </w:style>
  <w:style w:type="paragraph" w:styleId="6">
    <w:name w:val="Balloon Text"/>
    <w:basedOn w:val="1"/>
    <w:link w:val="22"/>
    <w:semiHidden/>
    <w:unhideWhenUsed/>
    <w:qFormat/>
    <w:uiPriority w:val="99"/>
    <w:rPr>
      <w:sz w:val="18"/>
      <w:szCs w:val="18"/>
    </w:rPr>
  </w:style>
  <w:style w:type="paragraph" w:styleId="7">
    <w:name w:val="footer"/>
    <w:basedOn w:val="1"/>
    <w:link w:val="21"/>
    <w:semiHidden/>
    <w:unhideWhenUsed/>
    <w:qFormat/>
    <w:uiPriority w:val="99"/>
    <w:pPr>
      <w:tabs>
        <w:tab w:val="center" w:pos="4153"/>
        <w:tab w:val="right" w:pos="8306"/>
      </w:tabs>
      <w:snapToGrid w:val="0"/>
      <w:jc w:val="left"/>
    </w:pPr>
    <w:rPr>
      <w:sz w:val="18"/>
      <w:szCs w:val="18"/>
    </w:rPr>
  </w:style>
  <w:style w:type="paragraph" w:styleId="8">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footnote text"/>
    <w:basedOn w:val="1"/>
    <w:link w:val="23"/>
    <w:qFormat/>
    <w:uiPriority w:val="0"/>
    <w:pPr>
      <w:snapToGrid w:val="0"/>
      <w:jc w:val="left"/>
    </w:pPr>
    <w:rPr>
      <w:rFonts w:ascii="Calibri" w:hAnsi="Calibri" w:eastAsia="宋体"/>
      <w:sz w:val="18"/>
      <w:szCs w:val="18"/>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Normal (Web)"/>
    <w:basedOn w:val="1"/>
    <w:unhideWhenUsed/>
    <w:qFormat/>
    <w:uiPriority w:val="99"/>
    <w:pPr>
      <w:spacing w:before="100" w:beforeAutospacing="1" w:after="100" w:afterAutospacing="1"/>
      <w:jc w:val="left"/>
    </w:pPr>
    <w:rPr>
      <w:kern w:val="0"/>
      <w:sz w:val="24"/>
    </w:rPr>
  </w:style>
  <w:style w:type="character" w:styleId="15">
    <w:name w:val="Hyperlink"/>
    <w:basedOn w:val="14"/>
    <w:unhideWhenUsed/>
    <w:qFormat/>
    <w:uiPriority w:val="99"/>
    <w:rPr>
      <w:color w:val="0563C1" w:themeColor="hyperlink"/>
      <w:u w:val="single"/>
    </w:rPr>
  </w:style>
  <w:style w:type="paragraph" w:customStyle="1" w:styleId="16">
    <w:name w:val="_Style 1"/>
    <w:qFormat/>
    <w:uiPriority w:val="0"/>
    <w:rPr>
      <w:rFonts w:ascii="Times New Roman" w:hAnsi="Times New Roman" w:eastAsia="宋体" w:cs="Times New Roman"/>
      <w:sz w:val="22"/>
      <w:szCs w:val="22"/>
      <w:lang w:val="en-US" w:eastAsia="zh-CN" w:bidi="ar-SA"/>
    </w:rPr>
  </w:style>
  <w:style w:type="character" w:customStyle="1" w:styleId="17">
    <w:name w:val="标题 1 字符"/>
    <w:basedOn w:val="14"/>
    <w:link w:val="3"/>
    <w:qFormat/>
    <w:uiPriority w:val="9"/>
    <w:rPr>
      <w:rFonts w:ascii="Times New Roman" w:hAnsi="Times New Roman" w:eastAsia="仿宋_GB2312" w:cs="Times New Roman"/>
      <w:b/>
      <w:bCs/>
      <w:kern w:val="44"/>
      <w:sz w:val="44"/>
      <w:szCs w:val="44"/>
    </w:rPr>
  </w:style>
  <w:style w:type="character" w:customStyle="1" w:styleId="18">
    <w:name w:val="标题 2 字符"/>
    <w:basedOn w:val="14"/>
    <w:link w:val="4"/>
    <w:qFormat/>
    <w:uiPriority w:val="9"/>
    <w:rPr>
      <w:rFonts w:asciiTheme="majorHAnsi" w:hAnsiTheme="majorHAnsi" w:eastAsiaTheme="majorEastAsia" w:cstheme="majorBidi"/>
      <w:b/>
      <w:bCs/>
      <w:sz w:val="32"/>
      <w:szCs w:val="32"/>
    </w:rPr>
  </w:style>
  <w:style w:type="paragraph" w:customStyle="1" w:styleId="19">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0">
    <w:name w:val="页眉 字符"/>
    <w:basedOn w:val="14"/>
    <w:link w:val="8"/>
    <w:semiHidden/>
    <w:qFormat/>
    <w:uiPriority w:val="99"/>
    <w:rPr>
      <w:rFonts w:ascii="Times New Roman" w:hAnsi="Times New Roman" w:eastAsia="仿宋_GB2312" w:cs="Times New Roman"/>
      <w:sz w:val="18"/>
      <w:szCs w:val="18"/>
    </w:rPr>
  </w:style>
  <w:style w:type="character" w:customStyle="1" w:styleId="21">
    <w:name w:val="页脚 字符"/>
    <w:basedOn w:val="14"/>
    <w:link w:val="7"/>
    <w:semiHidden/>
    <w:qFormat/>
    <w:uiPriority w:val="99"/>
    <w:rPr>
      <w:rFonts w:ascii="Times New Roman" w:hAnsi="Times New Roman" w:eastAsia="仿宋_GB2312" w:cs="Times New Roman"/>
      <w:sz w:val="18"/>
      <w:szCs w:val="18"/>
    </w:rPr>
  </w:style>
  <w:style w:type="character" w:customStyle="1" w:styleId="22">
    <w:name w:val="批注框文本 字符"/>
    <w:basedOn w:val="14"/>
    <w:link w:val="6"/>
    <w:semiHidden/>
    <w:qFormat/>
    <w:uiPriority w:val="99"/>
    <w:rPr>
      <w:rFonts w:ascii="Times New Roman" w:hAnsi="Times New Roman" w:eastAsia="仿宋_GB2312" w:cs="Times New Roman"/>
      <w:sz w:val="18"/>
      <w:szCs w:val="18"/>
    </w:rPr>
  </w:style>
  <w:style w:type="character" w:customStyle="1" w:styleId="23">
    <w:name w:val="脚注文本 字符"/>
    <w:basedOn w:val="14"/>
    <w:link w:val="10"/>
    <w:qFormat/>
    <w:uiPriority w:val="0"/>
    <w:rPr>
      <w:rFonts w:ascii="Calibri" w:hAnsi="Calibri" w:eastAsia="宋体" w:cs="Times New Roman"/>
      <w:sz w:val="18"/>
      <w:szCs w:val="18"/>
    </w:rPr>
  </w:style>
  <w:style w:type="paragraph" w:styleId="24">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闻政-正文段落文字"/>
    <w:basedOn w:val="1"/>
    <w:qFormat/>
    <w:uiPriority w:val="99"/>
    <w:pPr>
      <w:spacing w:line="500" w:lineRule="exact"/>
      <w:ind w:firstLine="200" w:firstLineChars="200"/>
    </w:pPr>
    <w:rPr>
      <w:rFonts w:ascii="Calibri" w:hAnsi="Calibri"/>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6496</Words>
  <Characters>2126</Characters>
  <Lines>17</Lines>
  <Paragraphs>17</Paragraphs>
  <TotalTime>19</TotalTime>
  <ScaleCrop>false</ScaleCrop>
  <LinksUpToDate>false</LinksUpToDate>
  <CharactersWithSpaces>8605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2021-04-14T07:58:00Z</dcterms:created>
  <dc:creator>翘楚</dc:creator>
  <cp:lastModifiedBy>Administrator</cp:lastModifiedBy>
  <dcterms:modified xsi:type="dcterms:W3CDTF">2025-02-07T05:48:01Z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CD9A303AEFCF447B8DE2B2662D27960C_12</vt:lpwstr>
  </property>
</Properties>
</file>