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项目名称：中央财政城镇保障性安居工程老旧小区改造项目</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实施单位（公章）：焉耆回族自治县住房和城乡建设局</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主管部门（公章）：焉耆回族自治县住房和城乡建设局</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马学强</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8"/>
            <w:jc w:val="center"/>
            <w:rPr>
              <w:rFonts w:ascii="宋体" w:hAnsi="宋体" w:eastAsia="宋体"/>
              <w:b/>
              <w:bCs/>
              <w:color w:val="auto"/>
              <w:lang w:val="zh-CN"/>
            </w:rPr>
          </w:pPr>
          <w:bookmarkStart w:id="24" w:name="_GoBack"/>
          <w:bookmarkEnd w:id="24"/>
          <w:r>
            <w:rPr>
              <w:rFonts w:ascii="宋体" w:hAnsi="宋体" w:eastAsia="宋体"/>
              <w:b/>
              <w:bCs/>
              <w:color w:val="auto"/>
              <w:lang w:val="zh-CN"/>
            </w:rPr>
            <w:t>目录</w:t>
          </w:r>
        </w:p>
        <w:p>
          <w:pPr>
            <w:pStyle w:val="8"/>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5"/>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"_Toc68703828" </w:instrText>
          </w:r>
          <w:r>
            <w:fldChar w:fldCharType="separate"/>
          </w:r>
          <w:r>
            <w:rPr>
              <w:rStyle w:val="15"/>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"_Toc68703829" </w:instrText>
          </w:r>
          <w:r>
            <w:fldChar w:fldCharType="separate"/>
          </w:r>
          <w:r>
            <w:rPr>
              <w:rStyle w:val="15"/>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"_Toc68703830" </w:instrText>
          </w:r>
          <w:r>
            <w:fldChar w:fldCharType="separate"/>
          </w:r>
          <w:r>
            <w:rPr>
              <w:rStyle w:val="15"/>
              <w:rFonts w:ascii="宋体" w:hAnsi="宋体" w:eastAsia="宋体"/>
            </w:rPr>
            <w:t>二、绩效评价工作开展情况</w:t>
          </w:r>
          <w:r>
            <w:tab/>
          </w:r>
          <w:r>
            <w:fldChar w:fldCharType="begin"/>
          </w:r>
          <w:r>
            <w:instrText xml:space="preserve"> PAGEREF _Toc68703830 \h </w:instrText>
          </w:r>
          <w:r>
            <w:fldChar w:fldCharType="separate"/>
          </w:r>
          <w:r>
            <w:t>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"_Toc68703831" </w:instrText>
          </w:r>
          <w:r>
            <w:fldChar w:fldCharType="separate"/>
          </w:r>
          <w:r>
            <w:rPr>
              <w:rStyle w:val="15"/>
              <w:rFonts w:ascii="仿宋_GB2312" w:eastAsia="仿宋_GB2312"/>
            </w:rPr>
            <w:t>（一）绩效评价目的、对象和范围。</w:t>
          </w:r>
          <w:r>
            <w:tab/>
          </w:r>
          <w:r>
            <w:fldChar w:fldCharType="begin"/>
          </w:r>
          <w:r>
            <w:instrText xml:space="preserve"> PAGEREF _Toc68703831 \h </w:instrText>
          </w:r>
          <w:r>
            <w:fldChar w:fldCharType="separate"/>
          </w:r>
          <w:r>
            <w:t>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"_Toc68703832" </w:instrText>
          </w:r>
          <w:r>
            <w:fldChar w:fldCharType="separate"/>
          </w:r>
          <w:r>
            <w:rPr>
              <w:rStyle w:val="15"/>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6</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"_Toc68703833" </w:instrText>
          </w:r>
          <w:r>
            <w:fldChar w:fldCharType="separate"/>
          </w:r>
          <w:r>
            <w:rPr>
              <w:rStyle w:val="15"/>
              <w:rFonts w:ascii="仿宋_GB2312" w:eastAsia="仿宋_GB2312"/>
            </w:rPr>
            <w:t>（三）绩效评价工作过程。</w:t>
          </w:r>
          <w:r>
            <w:tab/>
          </w:r>
          <w:r>
            <w:fldChar w:fldCharType="begin"/>
          </w:r>
          <w:r>
            <w:instrText xml:space="preserve"> PAGEREF _Toc68703833 \h </w:instrText>
          </w:r>
          <w:r>
            <w:fldChar w:fldCharType="separate"/>
          </w:r>
          <w:r>
            <w:t>7</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"_Toc68703834" </w:instrText>
          </w:r>
          <w:r>
            <w:fldChar w:fldCharType="separate"/>
          </w:r>
          <w:r>
            <w:rPr>
              <w:rStyle w:val="15"/>
              <w:rFonts w:ascii="宋体" w:hAnsi="宋体" w:eastAsia="宋体"/>
            </w:rPr>
            <w:t>三、综合评价情况及评价结论</w:t>
          </w:r>
          <w:r>
            <w:tab/>
          </w:r>
          <w:r>
            <w:fldChar w:fldCharType="begin"/>
          </w:r>
          <w:r>
            <w:instrText xml:space="preserve"> PAGEREF _Toc68703834 \h </w:instrText>
          </w:r>
          <w:r>
            <w:fldChar w:fldCharType="separate"/>
          </w:r>
          <w:r>
            <w:t>8</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"_Toc68703835" </w:instrText>
          </w:r>
          <w:r>
            <w:fldChar w:fldCharType="separate"/>
          </w:r>
          <w:r>
            <w:rPr>
              <w:rStyle w:val="15"/>
              <w:rFonts w:ascii="仿宋_GB2312" w:eastAsia="仿宋_GB2312"/>
            </w:rPr>
            <w:t>（一）综合评价情况</w:t>
          </w:r>
          <w:r>
            <w:tab/>
          </w:r>
          <w:r>
            <w:fldChar w:fldCharType="begin"/>
          </w:r>
          <w:r>
            <w:instrText xml:space="preserve"> PAGEREF _Toc68703835 \h </w:instrText>
          </w:r>
          <w:r>
            <w:fldChar w:fldCharType="separate"/>
          </w:r>
          <w:r>
            <w:t>8</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"_Toc68703836" </w:instrText>
          </w:r>
          <w:r>
            <w:fldChar w:fldCharType="separate"/>
          </w:r>
          <w:r>
            <w:rPr>
              <w:rStyle w:val="15"/>
              <w:rFonts w:ascii="仿宋_GB2312" w:eastAsia="仿宋_GB2312"/>
            </w:rPr>
            <w:t>（二）评价结论</w:t>
          </w:r>
          <w:r>
            <w:tab/>
          </w:r>
          <w:r>
            <w:fldChar w:fldCharType="begin"/>
          </w:r>
          <w:r>
            <w:instrText xml:space="preserve"> PAGEREF _Toc68703836 \h </w:instrText>
          </w:r>
          <w:r>
            <w:fldChar w:fldCharType="separate"/>
          </w:r>
          <w:r>
            <w:t>8</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"_Toc68703837" </w:instrText>
          </w:r>
          <w:r>
            <w:fldChar w:fldCharType="separate"/>
          </w:r>
          <w:r>
            <w:rPr>
              <w:rStyle w:val="15"/>
              <w:rFonts w:ascii="宋体" w:hAnsi="宋体" w:eastAsia="宋体"/>
            </w:rPr>
            <w:t>四、绩效评价指标分析</w:t>
          </w:r>
          <w:r>
            <w:tab/>
          </w:r>
          <w:r>
            <w:fldChar w:fldCharType="begin"/>
          </w:r>
          <w:r>
            <w:instrText xml:space="preserve"> PAGEREF _Toc68703837 \h </w:instrText>
          </w:r>
          <w:r>
            <w:fldChar w:fldCharType="separate"/>
          </w:r>
          <w:r>
            <w:t>8</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"_Toc68703838" </w:instrText>
          </w:r>
          <w:r>
            <w:fldChar w:fldCharType="separate"/>
          </w:r>
          <w:r>
            <w:rPr>
              <w:rStyle w:val="15"/>
              <w:rFonts w:ascii="仿宋_GB2312" w:eastAsia="仿宋_GB2312"/>
            </w:rPr>
            <w:t>（一）项目决策情况。</w:t>
          </w:r>
          <w:r>
            <w:tab/>
          </w:r>
          <w:r>
            <w:fldChar w:fldCharType="begin"/>
          </w:r>
          <w:r>
            <w:instrText xml:space="preserve"> PAGEREF _Toc68703838 \h </w:instrText>
          </w:r>
          <w:r>
            <w:fldChar w:fldCharType="separate"/>
          </w:r>
          <w:r>
            <w:t>8</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"_Toc68703839" </w:instrText>
          </w:r>
          <w:r>
            <w:fldChar w:fldCharType="separate"/>
          </w:r>
          <w:r>
            <w:rPr>
              <w:rStyle w:val="15"/>
              <w:rFonts w:ascii="仿宋_GB2312" w:eastAsia="仿宋_GB2312"/>
            </w:rPr>
            <w:t>（二）项目过程情况。</w:t>
          </w:r>
          <w:r>
            <w:tab/>
          </w:r>
          <w:r>
            <w:fldChar w:fldCharType="begin"/>
          </w:r>
          <w:r>
            <w:instrText xml:space="preserve"> PAGEREF _Toc68703839 \h </w:instrText>
          </w:r>
          <w:r>
            <w:fldChar w:fldCharType="separate"/>
          </w:r>
          <w:r>
            <w:t>10</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"_Toc68703840" </w:instrText>
          </w:r>
          <w:r>
            <w:fldChar w:fldCharType="separate"/>
          </w:r>
          <w:r>
            <w:rPr>
              <w:rStyle w:val="15"/>
              <w:rFonts w:ascii="仿宋_GB2312" w:eastAsia="仿宋_GB2312"/>
            </w:rPr>
            <w:t>（三）项目产出情况。</w:t>
          </w:r>
          <w:r>
            <w:tab/>
          </w:r>
          <w:r>
            <w:fldChar w:fldCharType="begin"/>
          </w:r>
          <w:r>
            <w:instrText xml:space="preserve"> PAGEREF _Toc68703840 \h </w:instrText>
          </w:r>
          <w:r>
            <w:fldChar w:fldCharType="separate"/>
          </w:r>
          <w:r>
            <w:t>11</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"_Toc68703841" </w:instrText>
          </w:r>
          <w:r>
            <w:fldChar w:fldCharType="separate"/>
          </w:r>
          <w:r>
            <w:rPr>
              <w:rStyle w:val="15"/>
              <w:rFonts w:ascii="仿宋_GB2312" w:eastAsia="仿宋_GB2312"/>
            </w:rPr>
            <w:t>（四）项目效益情况。</w:t>
          </w:r>
          <w:r>
            <w:tab/>
          </w:r>
          <w:r>
            <w:fldChar w:fldCharType="begin"/>
          </w:r>
          <w:r>
            <w:instrText xml:space="preserve"> PAGEREF _Toc68703841 \h </w:instrText>
          </w:r>
          <w:r>
            <w:fldChar w:fldCharType="separate"/>
          </w:r>
          <w:r>
            <w:t>12</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"_Toc68703842" </w:instrText>
          </w:r>
          <w:r>
            <w:fldChar w:fldCharType="separate"/>
          </w:r>
          <w:r>
            <w:rPr>
              <w:rStyle w:val="15"/>
              <w:rFonts w:ascii="宋体" w:hAnsi="宋体" w:eastAsia="宋体"/>
            </w:rPr>
            <w:t>五、主要经验及做法、存在的问题及原因分析</w:t>
          </w:r>
          <w:r>
            <w:tab/>
          </w:r>
          <w:r>
            <w:fldChar w:fldCharType="begin"/>
          </w:r>
          <w:r>
            <w:instrText xml:space="preserve"> PAGEREF _Toc68703842 \h </w:instrText>
          </w:r>
          <w:r>
            <w:fldChar w:fldCharType="separate"/>
          </w:r>
          <w:r>
            <w:t>12</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"_Toc68703843" </w:instrText>
          </w:r>
          <w:r>
            <w:fldChar w:fldCharType="separate"/>
          </w:r>
          <w:r>
            <w:rPr>
              <w:rStyle w:val="15"/>
              <w:rFonts w:ascii="仿宋_GB2312" w:eastAsia="仿宋_GB2312"/>
            </w:rPr>
            <w:t>（一）主要经验及做法</w:t>
          </w:r>
          <w:r>
            <w:tab/>
          </w:r>
          <w:r>
            <w:fldChar w:fldCharType="begin"/>
          </w:r>
          <w:r>
            <w:instrText xml:space="preserve"> PAGEREF _Toc68703843 \h </w:instrText>
          </w:r>
          <w:r>
            <w:fldChar w:fldCharType="separate"/>
          </w:r>
          <w:r>
            <w:t>12</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"_Toc68703844" </w:instrText>
          </w:r>
          <w:r>
            <w:fldChar w:fldCharType="separate"/>
          </w:r>
          <w:r>
            <w:rPr>
              <w:rStyle w:val="15"/>
              <w:rFonts w:ascii="仿宋_GB2312" w:eastAsia="仿宋_GB2312"/>
            </w:rPr>
            <w:t>（二）存在的问题及原因分析</w:t>
          </w:r>
          <w:r>
            <w:tab/>
          </w:r>
          <w:r>
            <w:fldChar w:fldCharType="begin"/>
          </w:r>
          <w:r>
            <w:instrText xml:space="preserve"> PAGEREF _Toc68703844 \h </w:instrText>
          </w:r>
          <w:r>
            <w:fldChar w:fldCharType="separate"/>
          </w:r>
          <w:r>
            <w:t>13</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"_Toc68703845" </w:instrText>
          </w:r>
          <w:r>
            <w:fldChar w:fldCharType="separate"/>
          </w:r>
          <w:r>
            <w:rPr>
              <w:rStyle w:val="15"/>
              <w:rFonts w:ascii="宋体" w:hAnsi="宋体" w:eastAsia="宋体"/>
            </w:rPr>
            <w:t>六、有关建议</w:t>
          </w:r>
          <w:r>
            <w:tab/>
          </w:r>
          <w:r>
            <w:fldChar w:fldCharType="begin"/>
          </w:r>
          <w:r>
            <w:instrText xml:space="preserve"> PAGEREF _Toc68703845 \h </w:instrText>
          </w:r>
          <w:r>
            <w:fldChar w:fldCharType="separate"/>
          </w:r>
          <w:r>
            <w:t>13</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"_Toc68703846" </w:instrText>
          </w:r>
          <w:r>
            <w:fldChar w:fldCharType="separate"/>
          </w:r>
          <w:r>
            <w:rPr>
              <w:rStyle w:val="15"/>
              <w:rFonts w:ascii="宋体" w:hAnsi="宋体" w:eastAsia="宋体"/>
            </w:rPr>
            <w:t>七、其他需要说明的问题</w:t>
          </w:r>
          <w:r>
            <w:tab/>
          </w:r>
          <w:r>
            <w:fldChar w:fldCharType="begin"/>
          </w:r>
          <w:r>
            <w:instrText xml:space="preserve"> PAGEREF _Toc68703846 \h </w:instrText>
          </w:r>
          <w:r>
            <w:fldChar w:fldCharType="separate"/>
          </w:r>
          <w:r>
            <w:t>14</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pStyle w:val="3"/>
        <w:spacing w:before="0" w:after="0" w:line="24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before="0" w:after="0" w:line="24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pPr>
        <w:numPr>
          <w:ilvl w:val="0"/>
          <w:numId w:val="1"/>
        </w:numPr>
        <w:spacing w:line="360" w:lineRule="auto"/>
        <w:ind w:firstLine="600" w:firstLineChars="200"/>
        <w:rPr>
          <w:rFonts w:hint="eastAsia"/>
        </w:rPr>
      </w:pPr>
      <w:r>
        <w:rPr>
          <w:rFonts w:hint="eastAsia" w:ascii="仿宋_GB2312"/>
        </w:rPr>
        <w:t>项目背景</w:t>
      </w:r>
    </w:p>
    <w:p>
      <w:pPr>
        <w:pStyle w:val="11"/>
        <w:keepNext w:val="0"/>
        <w:keepLines w:val="0"/>
        <w:pageBreakBefore w:val="0"/>
        <w:widowControl/>
        <w:kinsoku/>
        <w:wordWrap/>
        <w:overflowPunct/>
        <w:topLinePunct w:val="0"/>
        <w:autoSpaceDE/>
        <w:autoSpaceDN/>
        <w:bidi w:val="0"/>
        <w:adjustRightInd/>
        <w:snapToGrid/>
        <w:spacing w:before="0" w:after="0" w:line="360" w:lineRule="auto"/>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城镇老旧小区改造是重大民生工程和发展工程，对满足人民群众美好生活需要、推动惠民生扩内需、推进城市更新和开发建设方式转型、促进经济高质量发展具有十分重要的意义。随着社会的进步和生活水平的不断提升，居民对居住环境的要求越来越高，在满足居住功能的同时，也迫切需要配备完善的基础设施和公共服务设施来满足居民的生产生活需求。焉耆县部分小区由于建设年代久远，建设期间建设要求不高等制约因素，造成小区基础设施和公共服务配套设施使用功能单一、技术落后、难以满足现阶段居民的切实需求以及人民日益增长的物质与精神文化需求。</w:t>
      </w:r>
    </w:p>
    <w:p>
      <w:pPr>
        <w:spacing w:line="24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360" w:lineRule="auto"/>
        <w:ind w:firstLine="600" w:firstLineChars="200"/>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主要内容：为满足居民对基本生活服务设施的需求，对县城3个老旧小区共7栋楼、276户，面积共3.16万平方米进行改造。</w:t>
      </w:r>
    </w:p>
    <w:p>
      <w:pPr>
        <w:spacing w:line="360" w:lineRule="auto"/>
        <w:ind w:firstLine="600" w:firstLineChars="200"/>
        <w:rPr>
          <w:rFonts w:hint="eastAsia" w:ascii="仿宋_GB2312" w:eastAsia="仿宋_GB2312"/>
          <w:color w:val="auto"/>
          <w:lang w:eastAsia="zh-CN"/>
        </w:rPr>
      </w:pPr>
      <w:r>
        <w:rPr>
          <w:rFonts w:hint="eastAsia" w:ascii="Times New Roman" w:hAnsi="Times New Roman" w:eastAsia="仿宋_GB2312" w:cs="Times New Roman"/>
          <w:b w:val="0"/>
          <w:bCs w:val="0"/>
          <w:color w:val="auto"/>
          <w:kern w:val="2"/>
          <w:sz w:val="30"/>
          <w:szCs w:val="24"/>
          <w:lang w:val="en-US" w:eastAsia="zh-CN" w:bidi="ar-SA"/>
        </w:rPr>
        <w:t>实施情况：根据《巴财综【2022】17号关于提前下达2023年中央财政城镇保障性安居工程补助资金的通知》下达文件的要求，由焉耆县住建局公管办负责老旧小区项目实施工作，完成对县城3个</w:t>
      </w:r>
      <w:r>
        <w:rPr>
          <w:rFonts w:hint="eastAsia" w:ascii="仿宋_GB2312"/>
          <w:color w:val="auto"/>
          <w:lang w:eastAsia="zh-CN"/>
        </w:rPr>
        <w:t>老旧小区共7栋楼、276户，面积共3.16万平方米进行改造。</w:t>
      </w:r>
    </w:p>
    <w:p>
      <w:pPr>
        <w:spacing w:line="360" w:lineRule="auto"/>
        <w:ind w:firstLine="600" w:firstLineChars="200"/>
        <w:rPr>
          <w:rFonts w:ascii="仿宋_GB2312"/>
          <w:color w:val="auto"/>
        </w:rPr>
      </w:pPr>
      <w:r>
        <w:rPr>
          <w:rFonts w:ascii="仿宋_GB2312"/>
        </w:rPr>
        <w:t>4</w:t>
      </w:r>
      <w:r>
        <w:rPr>
          <w:rFonts w:hint="eastAsia" w:ascii="仿宋_GB2312"/>
        </w:rPr>
        <w:t>、资金投入和</w:t>
      </w:r>
      <w:r>
        <w:rPr>
          <w:rFonts w:hint="eastAsia" w:ascii="仿宋_GB2312"/>
          <w:color w:val="auto"/>
        </w:rPr>
        <w:t>使用情况</w:t>
      </w:r>
    </w:p>
    <w:p>
      <w:pPr>
        <w:spacing w:line="360" w:lineRule="auto"/>
        <w:ind w:firstLine="600" w:firstLineChars="200"/>
        <w:rPr>
          <w:color w:val="auto"/>
        </w:rPr>
      </w:pPr>
      <w:r>
        <w:rPr>
          <w:rFonts w:hint="eastAsia"/>
          <w:color w:val="auto"/>
        </w:rPr>
        <w:t>资金投入情况：该项目年初预算数</w:t>
      </w:r>
      <w:r>
        <w:rPr>
          <w:rFonts w:hint="eastAsia"/>
          <w:color w:val="auto"/>
          <w:lang w:val="en-US" w:eastAsia="zh-CN"/>
        </w:rPr>
        <w:t>530</w:t>
      </w:r>
      <w:r>
        <w:rPr>
          <w:rFonts w:hint="eastAsia"/>
          <w:color w:val="auto"/>
        </w:rPr>
        <w:t>万元，全年预算数</w:t>
      </w:r>
      <w:r>
        <w:rPr>
          <w:rFonts w:hint="eastAsia"/>
          <w:color w:val="auto"/>
          <w:lang w:val="en-US" w:eastAsia="zh-CN"/>
        </w:rPr>
        <w:t>530</w:t>
      </w:r>
      <w:r>
        <w:rPr>
          <w:rFonts w:hint="eastAsia"/>
          <w:color w:val="auto"/>
        </w:rPr>
        <w:t>万元，实际总投入</w:t>
      </w:r>
      <w:r>
        <w:rPr>
          <w:rFonts w:hint="eastAsia"/>
          <w:color w:val="auto"/>
          <w:lang w:val="en-US" w:eastAsia="zh-CN"/>
        </w:rPr>
        <w:t>530</w:t>
      </w:r>
      <w:r>
        <w:rPr>
          <w:rFonts w:hint="eastAsia"/>
          <w:color w:val="auto"/>
        </w:rPr>
        <w:t>万元，该项目资金已全部落实到位，资金来源为</w:t>
      </w:r>
      <w:r>
        <w:rPr>
          <w:rFonts w:hint="eastAsia"/>
          <w:color w:val="auto"/>
          <w:lang w:eastAsia="zh-CN"/>
        </w:rPr>
        <w:t>上级转移支付资金</w:t>
      </w:r>
      <w:r>
        <w:rPr>
          <w:color w:val="auto"/>
        </w:rPr>
        <w:t xml:space="preserve"> </w:t>
      </w:r>
      <w:r>
        <w:rPr>
          <w:rFonts w:hint="eastAsia"/>
          <w:color w:val="auto"/>
        </w:rPr>
        <w:t>。</w:t>
      </w:r>
    </w:p>
    <w:p>
      <w:pPr>
        <w:spacing w:line="360" w:lineRule="auto"/>
        <w:ind w:firstLine="600" w:firstLineChars="200"/>
        <w:rPr>
          <w:color w:val="FF0000"/>
        </w:rPr>
      </w:pPr>
      <w:r>
        <w:rPr>
          <w:rFonts w:hint="eastAsia"/>
        </w:rPr>
        <w:t>资</w:t>
      </w:r>
      <w:r>
        <w:rPr>
          <w:rFonts w:hint="eastAsia"/>
          <w:color w:val="auto"/>
        </w:rPr>
        <w:t>金使用情况：该项目年初预算数</w:t>
      </w:r>
      <w:r>
        <w:rPr>
          <w:rFonts w:hint="eastAsia"/>
          <w:color w:val="auto"/>
          <w:lang w:val="en-US" w:eastAsia="zh-CN"/>
        </w:rPr>
        <w:t>530</w:t>
      </w:r>
      <w:r>
        <w:rPr>
          <w:rFonts w:hint="eastAsia"/>
          <w:color w:val="auto"/>
        </w:rPr>
        <w:t>万元，全年预算数</w:t>
      </w:r>
      <w:r>
        <w:rPr>
          <w:rFonts w:hint="eastAsia"/>
          <w:color w:val="auto"/>
          <w:lang w:val="en-US" w:eastAsia="zh-CN"/>
        </w:rPr>
        <w:t>530</w:t>
      </w:r>
      <w:r>
        <w:rPr>
          <w:rFonts w:hint="eastAsia"/>
          <w:color w:val="auto"/>
        </w:rPr>
        <w:t>万元，全年执行数</w:t>
      </w:r>
      <w:r>
        <w:rPr>
          <w:rFonts w:hint="eastAsia"/>
          <w:color w:val="auto"/>
          <w:lang w:val="en-US" w:eastAsia="zh-CN"/>
        </w:rPr>
        <w:t>530</w:t>
      </w:r>
      <w:r>
        <w:rPr>
          <w:rFonts w:hint="eastAsia"/>
          <w:color w:val="auto"/>
        </w:rPr>
        <w:t>万元，预算执行率为</w:t>
      </w:r>
      <w:r>
        <w:rPr>
          <w:rFonts w:hint="eastAsia"/>
          <w:color w:val="auto"/>
          <w:lang w:val="en-US" w:eastAsia="zh-CN"/>
        </w:rPr>
        <w:t>100</w:t>
      </w:r>
      <w:r>
        <w:rPr>
          <w:rFonts w:hint="eastAsia"/>
          <w:color w:val="auto"/>
        </w:rPr>
        <w:t>%，用于：</w:t>
      </w:r>
      <w:r>
        <w:rPr>
          <w:rFonts w:hint="eastAsia"/>
          <w:color w:val="auto"/>
          <w:lang w:val="en-US" w:eastAsia="zh-CN"/>
        </w:rPr>
        <w:t>2023年</w:t>
      </w:r>
      <w:r>
        <w:rPr>
          <w:rFonts w:hint="eastAsia"/>
          <w:color w:val="auto"/>
          <w:lang w:eastAsia="zh-CN"/>
        </w:rPr>
        <w:t>老旧小区改造资金</w:t>
      </w:r>
      <w:r>
        <w:rPr>
          <w:rFonts w:hint="eastAsia"/>
          <w:color w:val="auto"/>
          <w:lang w:val="en-US" w:eastAsia="zh-CN"/>
        </w:rPr>
        <w:t>530</w:t>
      </w:r>
      <w:r>
        <w:rPr>
          <w:rFonts w:hint="eastAsia"/>
          <w:color w:val="auto"/>
        </w:rPr>
        <w:t>万元。</w:t>
      </w:r>
    </w:p>
    <w:p>
      <w:pPr>
        <w:pStyle w:val="4"/>
        <w:spacing w:before="0" w:after="0" w:line="240" w:lineRule="auto"/>
        <w:ind w:firstLine="0" w:firstLineChars="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color w:val="FF0000"/>
        </w:rPr>
      </w:pPr>
      <w:r>
        <w:rPr>
          <w:rFonts w:hint="eastAsia"/>
        </w:rPr>
        <w:t>1、总体目标：</w:t>
      </w:r>
      <w:r>
        <w:rPr>
          <w:rFonts w:hint="eastAsia"/>
          <w:color w:val="auto"/>
        </w:rPr>
        <w:t>通过对焉耆县老旧小区内给水管网、排水管网、绿化管网、供热管网等基础设施的改造提升，变成水电气供应管道通畅、老人和残疾人适老适残改造到位、出行方便、公共服务设施完善、服务到位的新型社区，提高居民居住质量，属于改善民生范畴。项目的实施将深入排查水、电、燃气等管网存在的老化、穿孔等问题，采用现代化、信息化的手段进行改造提升，确保基础设施的安全可靠，提高人民的生活质量，提高当地基础设施的整体水平，创造良好的交通环境、投资环境，促进本地经济的发展。</w:t>
      </w:r>
    </w:p>
    <w:p>
      <w:pPr>
        <w:spacing w:line="360" w:lineRule="auto"/>
        <w:ind w:firstLine="600" w:firstLineChars="200"/>
      </w:pPr>
      <w:r>
        <w:t>2</w:t>
      </w:r>
      <w:r>
        <w:rPr>
          <w:rFonts w:hint="eastAsia"/>
        </w:rPr>
        <w:t>、阶段性目标：</w:t>
      </w:r>
      <w:r>
        <w:rPr>
          <w:rFonts w:hint="eastAsia" w:ascii="仿宋_GB2312"/>
          <w:color w:val="auto"/>
          <w:lang w:eastAsia="zh-CN"/>
        </w:rPr>
        <w:t>根据《</w:t>
      </w:r>
      <w:r>
        <w:rPr>
          <w:rFonts w:hint="eastAsia" w:ascii="仿宋_GB2312"/>
          <w:color w:val="auto"/>
        </w:rPr>
        <w:t>巴财综【2022】17号关于提前下达2023年中央财政城镇保障性安居工程补助资金</w:t>
      </w:r>
      <w:r>
        <w:rPr>
          <w:rFonts w:hint="eastAsia" w:ascii="仿宋_GB2312"/>
          <w:color w:val="auto"/>
          <w:lang w:eastAsia="zh-CN"/>
        </w:rPr>
        <w:t>的通知》下达文件的要求，由焉耆县住建局公管办负责</w:t>
      </w:r>
      <w:r>
        <w:rPr>
          <w:rFonts w:hint="eastAsia" w:ascii="仿宋_GB2312"/>
          <w:color w:val="auto"/>
          <w:lang w:val="en-US" w:eastAsia="zh-CN"/>
        </w:rPr>
        <w:t>老旧小区项目实施工作，完成</w:t>
      </w:r>
      <w:r>
        <w:rPr>
          <w:rFonts w:hint="eastAsia" w:ascii="仿宋_GB2312"/>
          <w:color w:val="auto"/>
          <w:lang w:eastAsia="zh-CN"/>
        </w:rPr>
        <w:t>对县城3个老旧小区共7栋楼、276户，面积共3.16万平方米进行改造。</w:t>
      </w:r>
    </w:p>
    <w:p>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ind w:firstLine="300" w:firstLineChars="100"/>
      </w:pPr>
      <w:r>
        <w:rPr>
          <w:rFonts w:hint="eastAsia"/>
        </w:rPr>
        <w:t>1、绩效评价目的：</w:t>
      </w:r>
    </w:p>
    <w:p>
      <w:pPr>
        <w:spacing w:line="360" w:lineRule="auto"/>
        <w:ind w:firstLine="600" w:firstLineChars="200"/>
        <w:rPr>
          <w:rFonts w:hint="eastAsia" w:ascii="仿宋_GB2312"/>
          <w:color w:val="auto"/>
          <w:lang w:eastAsia="zh-CN"/>
        </w:rPr>
      </w:pPr>
      <w:r>
        <w:rPr>
          <w:rFonts w:hint="eastAsia" w:ascii="仿宋_GB2312"/>
          <w:color w:val="auto"/>
          <w:lang w:eastAsia="zh-CN"/>
        </w:rPr>
        <w:t>通过绩效评价，客观地评判项目的管理绩效，了解和掌握中央财政城镇保障性安居工程老旧小区改造项目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pPr>
      <w:r>
        <w:rPr>
          <w:rFonts w:hint="eastAsia"/>
        </w:rPr>
        <w:t>2、绩效评价对象：</w:t>
      </w:r>
    </w:p>
    <w:p>
      <w:pPr>
        <w:spacing w:line="360" w:lineRule="auto"/>
        <w:ind w:firstLine="600" w:firstLineChars="200"/>
        <w:rPr>
          <w:rFonts w:hint="eastAsia" w:ascii="仿宋_GB2312"/>
          <w:color w:val="auto"/>
          <w:lang w:eastAsia="zh-CN"/>
        </w:rPr>
      </w:pPr>
      <w:r>
        <w:rPr>
          <w:rFonts w:hint="eastAsia" w:ascii="仿宋_GB2312"/>
          <w:color w:val="auto"/>
          <w:lang w:eastAsia="zh-CN"/>
        </w:rPr>
        <w:t>中央财政城镇保障性安居工程老旧小区改造项目</w:t>
      </w:r>
    </w:p>
    <w:p>
      <w:pPr>
        <w:spacing w:line="360" w:lineRule="auto"/>
        <w:ind w:firstLine="600" w:firstLineChars="200"/>
      </w:pPr>
      <w:r>
        <w:rPr>
          <w:rFonts w:hint="eastAsia"/>
        </w:rPr>
        <w:t>3、绩效评价范围：</w:t>
      </w:r>
    </w:p>
    <w:p>
      <w:pPr>
        <w:spacing w:line="360" w:lineRule="auto"/>
        <w:ind w:firstLine="600" w:firstLineChars="200"/>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中央财政城镇保障性安居工程老旧小区改造项目评价，评价核心为专项资金的支出完成情况和效果。</w:t>
      </w:r>
    </w:p>
    <w:p>
      <w:pPr>
        <w:pStyle w:val="4"/>
        <w:spacing w:before="0" w:after="0" w:line="24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ind w:firstLine="600" w:firstLineChars="200"/>
      </w:pPr>
      <w:r>
        <w:rPr>
          <w:rFonts w:hint="eastAsia"/>
        </w:rPr>
        <w:t>1、绩效评价原则</w:t>
      </w:r>
    </w:p>
    <w:p>
      <w:pPr>
        <w:spacing w:line="600" w:lineRule="exact"/>
        <w:ind w:firstLine="640"/>
        <w:rPr>
          <w:rFonts w:ascii="仿宋_GB2312"/>
          <w:bCs/>
          <w:color w:val="FF0000"/>
          <w:sz w:val="32"/>
          <w:szCs w:val="32"/>
        </w:rPr>
      </w:pPr>
      <w:r>
        <w:rPr>
          <w:rFonts w:hint="eastAsia" w:ascii="仿宋_GB2312"/>
          <w:bCs/>
          <w:color w:val="auto"/>
          <w:sz w:val="32"/>
          <w:szCs w:val="32"/>
        </w:rPr>
        <w:t>（</w:t>
      </w:r>
      <w:r>
        <w:rPr>
          <w:rFonts w:hint="eastAsia"/>
        </w:rPr>
        <w:t>一）科学公正。本次自评采用专业审查与随机抽查相结合的方式，按照前期准备、组织实施、分析评价的程序进行，采取绩效评价小组自评和部门互评相结合，通过材料核查、座谈询问、问卷调查、现场勘查等方式，综合运用对比分析、各部门技术负责人评议等方式进行评价，确保评价过程及结果客观、公正。</w:t>
      </w:r>
    </w:p>
    <w:p>
      <w:pPr>
        <w:spacing w:line="600" w:lineRule="exact"/>
        <w:ind w:firstLine="640" w:firstLineChars="200"/>
        <w:jc w:val="left"/>
        <w:rPr>
          <w:rFonts w:hint="eastAsia"/>
        </w:rPr>
      </w:pPr>
      <w:r>
        <w:rPr>
          <w:rFonts w:hint="eastAsia" w:ascii="仿宋_GB2312"/>
          <w:bCs/>
          <w:color w:val="auto"/>
          <w:sz w:val="32"/>
          <w:szCs w:val="32"/>
        </w:rPr>
        <w:t>（</w:t>
      </w:r>
      <w:r>
        <w:rPr>
          <w:rFonts w:hint="eastAsia"/>
        </w:rPr>
        <w:t>二）统筹兼顾。焉耆县住建局组织项目主管人员及项目执行单位召开专题会议，根据规范程序布置工作任务，统一自评标准，制定了工作方案，确保绩效评价工作扎实、开展。依据工作方案，综合业务股、环卫</w:t>
      </w:r>
      <w:r>
        <w:rPr>
          <w:rFonts w:hint="eastAsia"/>
          <w:lang w:eastAsia="zh-CN"/>
        </w:rPr>
        <w:t>处</w:t>
      </w:r>
      <w:r>
        <w:rPr>
          <w:rFonts w:hint="eastAsia"/>
        </w:rPr>
        <w:t>、财务室、分工按照绩效目标进行评价，根据综合意见形成自评报告。</w:t>
      </w:r>
    </w:p>
    <w:p>
      <w:pPr>
        <w:spacing w:line="600" w:lineRule="exact"/>
        <w:ind w:firstLine="600" w:firstLineChars="200"/>
        <w:jc w:val="left"/>
        <w:rPr>
          <w:rFonts w:hint="eastAsia"/>
        </w:rPr>
      </w:pPr>
      <w:r>
        <w:rPr>
          <w:rFonts w:hint="eastAsia"/>
        </w:rPr>
        <w:t>（三）激励约束。绩效评价结果应与资金分配挂钩，建立健全评价结果与与财政预算资金分配挂钩，并作为改进管理、完善政策的重要依据，向上一年度绩效评价考核优秀的部门倾斜。</w:t>
      </w:r>
    </w:p>
    <w:p>
      <w:pPr>
        <w:spacing w:line="600" w:lineRule="exact"/>
        <w:ind w:firstLine="600" w:firstLineChars="200"/>
        <w:jc w:val="left"/>
        <w:rPr>
          <w:rFonts w:hint="eastAsia"/>
        </w:rPr>
      </w:pPr>
      <w:r>
        <w:rPr>
          <w:rFonts w:hint="eastAsia"/>
        </w:rPr>
        <w:t>（四）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600" w:lineRule="exact"/>
        <w:ind w:firstLine="600" w:firstLineChars="200"/>
        <w:jc w:val="left"/>
        <w:rPr>
          <w:rFonts w:hint="eastAsia"/>
        </w:rPr>
      </w:pPr>
      <w:r>
        <w:rPr>
          <w:rFonts w:hint="eastAsia"/>
          <w:lang w:val="en-US" w:eastAsia="zh-CN"/>
        </w:rPr>
        <w:t>2</w:t>
      </w:r>
      <w:r>
        <w:rPr>
          <w:rFonts w:hint="eastAsia"/>
        </w:rPr>
        <w:t>、评价方法</w:t>
      </w:r>
    </w:p>
    <w:p>
      <w:pPr>
        <w:spacing w:line="600" w:lineRule="exact"/>
        <w:ind w:firstLine="600" w:firstLineChars="200"/>
        <w:jc w:val="left"/>
        <w:rPr>
          <w:rFonts w:hint="eastAsia" w:eastAsia="仿宋_GB2312"/>
          <w:bCs/>
          <w:color w:val="auto"/>
          <w:sz w:val="32"/>
          <w:szCs w:val="32"/>
        </w:rPr>
      </w:pPr>
      <w:r>
        <w:rPr>
          <w:rFonts w:hint="eastAsia"/>
        </w:rPr>
        <w:t>本次项目支出绩效自评采用比较法和因素分析方法，原因是：本次项目自</w:t>
      </w:r>
      <w:r>
        <w:rPr>
          <w:rFonts w:hint="eastAsia" w:eastAsia="仿宋_GB2312"/>
          <w:bCs/>
          <w:color w:val="auto"/>
          <w:sz w:val="32"/>
          <w:szCs w:val="32"/>
        </w:rPr>
        <w:t>评需要通过将实施情况与绩效目标、历史情况、不同部门和地区同类支出情况进行比较，对年初设置的三级指标内容与完成情况进行时对比，可以清楚明了体现出项目实施情况，在此基础上进行评价考虑各种内外因素产生的影响及量化社会效益进行分析评价，以在可供选择的支出项目之间进行抉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bCs/>
          <w:color w:val="auto"/>
          <w:sz w:val="32"/>
          <w:szCs w:val="32"/>
        </w:rPr>
      </w:pPr>
      <w:r>
        <w:rPr>
          <w:rFonts w:hint="eastAsia"/>
          <w:bCs/>
          <w:color w:val="auto"/>
          <w:sz w:val="32"/>
          <w:szCs w:val="32"/>
          <w:lang w:val="en-US" w:eastAsia="zh-CN"/>
        </w:rPr>
        <w:t>3</w:t>
      </w:r>
      <w:r>
        <w:rPr>
          <w:rFonts w:hint="eastAsia" w:eastAsia="仿宋_GB2312"/>
          <w:bCs/>
          <w:color w:val="auto"/>
          <w:sz w:val="32"/>
          <w:szCs w:val="32"/>
        </w:rPr>
        <w:t>、评价标准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color w:val="auto"/>
          <w:sz w:val="32"/>
          <w:szCs w:val="32"/>
        </w:rPr>
      </w:pPr>
      <w:r>
        <w:rPr>
          <w:rFonts w:hint="eastAsia" w:eastAsia="仿宋_GB2312"/>
          <w:bCs/>
          <w:color w:val="auto"/>
          <w:sz w:val="32"/>
          <w:szCs w:val="32"/>
        </w:rPr>
        <w:t>本次项目支出绩效自评采用计划标准和行业标准，原因是：本项目通过项目实施方案及住建行业指标数据确定三级指标进行自评，使评价结果更加科学真实。</w:t>
      </w:r>
    </w:p>
    <w:p>
      <w:pPr>
        <w:pStyle w:val="4"/>
        <w:pageBreakBefore w:val="0"/>
        <w:kinsoku/>
        <w:wordWrap/>
        <w:overflowPunct/>
        <w:topLinePunct w:val="0"/>
        <w:autoSpaceDE/>
        <w:autoSpaceDN/>
        <w:bidi w:val="0"/>
        <w:adjustRightInd/>
        <w:snapToGrid/>
        <w:spacing w:before="0" w:after="0" w:line="560" w:lineRule="exact"/>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9"/>
      </w:pPr>
    </w:p>
    <w:p>
      <w:pPr>
        <w:pStyle w:val="3"/>
        <w:spacing w:before="0" w:after="0" w:line="24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before="0" w:after="0" w:line="24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color w:val="auto"/>
          <w:sz w:val="32"/>
          <w:szCs w:val="32"/>
        </w:rPr>
      </w:pPr>
      <w:r>
        <w:rPr>
          <w:rFonts w:hint="eastAsia" w:eastAsia="仿宋_GB2312"/>
          <w:bCs/>
          <w:color w:val="auto"/>
          <w:sz w:val="32"/>
          <w:szCs w:val="32"/>
        </w:rPr>
        <w:t>本项目严格按照科学公正</w:t>
      </w:r>
      <w:r>
        <w:rPr>
          <w:rFonts w:hint="eastAsia" w:eastAsia="仿宋_GB2312"/>
          <w:bCs/>
          <w:color w:val="auto"/>
          <w:sz w:val="32"/>
          <w:szCs w:val="32"/>
          <w:lang w:eastAsia="zh-CN"/>
        </w:rPr>
        <w:t>、</w:t>
      </w:r>
      <w:r>
        <w:rPr>
          <w:rFonts w:hint="eastAsia" w:eastAsia="仿宋_GB2312"/>
          <w:bCs/>
          <w:color w:val="auto"/>
          <w:sz w:val="32"/>
          <w:szCs w:val="32"/>
        </w:rPr>
        <w:t>统筹兼顾</w:t>
      </w:r>
      <w:r>
        <w:rPr>
          <w:rFonts w:hint="eastAsia" w:eastAsia="仿宋_GB2312"/>
          <w:bCs/>
          <w:color w:val="auto"/>
          <w:sz w:val="32"/>
          <w:szCs w:val="32"/>
          <w:lang w:eastAsia="zh-CN"/>
        </w:rPr>
        <w:t>、</w:t>
      </w:r>
      <w:r>
        <w:rPr>
          <w:rFonts w:hint="eastAsia" w:eastAsia="仿宋_GB2312"/>
          <w:bCs/>
          <w:color w:val="auto"/>
          <w:sz w:val="32"/>
          <w:szCs w:val="32"/>
        </w:rPr>
        <w:t>激励约束</w:t>
      </w:r>
      <w:r>
        <w:rPr>
          <w:rFonts w:hint="eastAsia" w:eastAsia="仿宋_GB2312"/>
          <w:bCs/>
          <w:color w:val="auto"/>
          <w:sz w:val="32"/>
          <w:szCs w:val="32"/>
          <w:lang w:eastAsia="zh-CN"/>
        </w:rPr>
        <w:t>、</w:t>
      </w:r>
      <w:r>
        <w:rPr>
          <w:rFonts w:hint="eastAsia" w:eastAsia="仿宋_GB2312"/>
          <w:bCs/>
          <w:color w:val="auto"/>
          <w:sz w:val="32"/>
          <w:szCs w:val="32"/>
        </w:rPr>
        <w:t>公开透明绩效评价原则，采用比较法和因素分析评价方法，坚持计划标准和行业标准绩效评价标准对本项目的立项、项绩效目标、资金投入、资金管理、组织实施、产出数量、产出质量、产出时效、产出成本、项目效益进行了综合评价。</w:t>
      </w:r>
    </w:p>
    <w:p>
      <w:pPr>
        <w:spacing w:line="360" w:lineRule="auto"/>
        <w:ind w:firstLine="600" w:firstLineChars="200"/>
        <w:jc w:val="center"/>
        <w:rPr>
          <w:color w:val="auto"/>
        </w:rPr>
      </w:pPr>
      <w:r>
        <w:rPr>
          <w:rFonts w:hint="eastAsia"/>
          <w:color w:val="auto"/>
        </w:rPr>
        <w:t>中央财政城镇保障性安居工程老旧小区改造项目评价得分情况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color w:val="000000"/>
                <w:kern w:val="2"/>
                <w:sz w:val="22"/>
                <w:szCs w:val="24"/>
                <w:lang w:val="en-US" w:eastAsia="zh-CN" w:bidi="ar-SA"/>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color w:val="000000"/>
                <w:kern w:val="2"/>
                <w:sz w:val="22"/>
                <w:szCs w:val="24"/>
                <w:lang w:val="en-US" w:eastAsia="zh-CN" w:bidi="ar-SA"/>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color w:val="000000"/>
                <w:kern w:val="2"/>
                <w:sz w:val="22"/>
                <w:szCs w:val="24"/>
                <w:lang w:val="en-US" w:eastAsia="zh-CN" w:bidi="ar-SA"/>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color w:val="000000"/>
                <w:kern w:val="2"/>
                <w:sz w:val="22"/>
                <w:szCs w:val="24"/>
                <w:lang w:val="en-US" w:eastAsia="zh-CN" w:bidi="ar-SA"/>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color w:val="000000"/>
                <w:kern w:val="2"/>
                <w:sz w:val="22"/>
                <w:szCs w:val="24"/>
                <w:lang w:val="en-US" w:eastAsia="zh-CN" w:bidi="ar-SA"/>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color w:val="000000"/>
                <w:kern w:val="2"/>
                <w:sz w:val="22"/>
                <w:szCs w:val="24"/>
                <w:lang w:val="en-US" w:eastAsia="zh-CN" w:bidi="ar-SA"/>
              </w:rPr>
            </w:pPr>
            <w:r>
              <w:rPr>
                <w:rFonts w:hint="eastAsia"/>
                <w:color w:val="000000"/>
                <w:sz w:val="22"/>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color w:val="000000"/>
                <w:kern w:val="2"/>
                <w:sz w:val="22"/>
                <w:szCs w:val="24"/>
                <w:lang w:val="en-US" w:eastAsia="zh-CN" w:bidi="ar-SA"/>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color w:val="000000"/>
                <w:kern w:val="2"/>
                <w:sz w:val="22"/>
                <w:szCs w:val="24"/>
                <w:lang w:val="en-US" w:eastAsia="zh-CN" w:bidi="ar-SA"/>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100</w:t>
            </w:r>
          </w:p>
        </w:tc>
      </w:tr>
    </w:tbl>
    <w:p>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spacing w:line="360" w:lineRule="auto"/>
        <w:ind w:firstLine="600" w:firstLineChars="200"/>
        <w:rPr>
          <w:color w:val="auto"/>
        </w:rPr>
      </w:pPr>
      <w:r>
        <w:rPr>
          <w:rFonts w:hint="eastAsia"/>
          <w:color w:val="auto"/>
        </w:rPr>
        <w:t>本项目的项目决策、项目过程、项目产出、项目效益均达到了预期要求，最终得分为100分，项目达成年度指标。</w:t>
      </w:r>
    </w:p>
    <w:p>
      <w:pPr>
        <w:spacing w:line="360" w:lineRule="auto"/>
        <w:ind w:firstLine="600" w:firstLineChars="200"/>
        <w:rPr>
          <w:color w:val="FF0000"/>
        </w:rPr>
      </w:pPr>
    </w:p>
    <w:p>
      <w:pPr>
        <w:pStyle w:val="3"/>
        <w:pageBreakBefore w:val="0"/>
        <w:widowControl w:val="0"/>
        <w:kinsoku/>
        <w:wordWrap/>
        <w:overflowPunct/>
        <w:topLinePunct w:val="0"/>
        <w:autoSpaceDE/>
        <w:autoSpaceDN/>
        <w:bidi w:val="0"/>
        <w:adjustRightInd/>
        <w:snapToGrid/>
        <w:spacing w:before="0" w:after="0" w:line="240" w:lineRule="auto"/>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widowControl w:val="0"/>
        <w:kinsoku/>
        <w:wordWrap/>
        <w:overflowPunct/>
        <w:topLinePunct w:val="0"/>
        <w:autoSpaceDE/>
        <w:autoSpaceDN/>
        <w:bidi w:val="0"/>
        <w:adjustRightInd/>
        <w:snapToGrid/>
        <w:spacing w:before="0" w:after="0" w:line="240" w:lineRule="auto"/>
        <w:textAlignment w:val="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widowControl w:val="0"/>
        <w:kinsoku/>
        <w:wordWrap/>
        <w:overflowPunct/>
        <w:topLinePunct w:val="0"/>
        <w:autoSpaceDE/>
        <w:autoSpaceDN/>
        <w:bidi w:val="0"/>
        <w:adjustRightInd/>
        <w:snapToGrid/>
        <w:spacing w:line="360" w:lineRule="auto"/>
        <w:ind w:firstLine="300" w:firstLineChars="100"/>
        <w:textAlignment w:val="auto"/>
      </w:pPr>
      <w:r>
        <w:rPr>
          <w:rFonts w:hint="eastAsia"/>
        </w:rPr>
        <w:t>1、立项依据充分性</w:t>
      </w:r>
    </w:p>
    <w:p>
      <w:pPr>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中央财政城镇保障性安居工程老旧小区改造项目立项依据</w:t>
      </w:r>
      <w:r>
        <w:rPr>
          <w:rFonts w:hint="eastAsia"/>
          <w:color w:val="000000" w:themeColor="text1"/>
          <w:lang w:eastAsia="zh-CN"/>
          <w14:textFill>
            <w14:solidFill>
              <w14:schemeClr w14:val="tx1"/>
            </w14:solidFill>
          </w14:textFill>
        </w:rPr>
        <w:t>为</w:t>
      </w:r>
      <w:r>
        <w:rPr>
          <w:rFonts w:hint="eastAsia"/>
          <w:color w:val="000000" w:themeColor="text1"/>
          <w14:textFill>
            <w14:solidFill>
              <w14:schemeClr w14:val="tx1"/>
            </w14:solidFill>
          </w14:textFill>
        </w:rPr>
        <w:t>《巴财综【2022】17号关于提前下达2023年中央财政城镇保障性安居工程补助资金</w:t>
      </w:r>
      <w:r>
        <w:rPr>
          <w:rFonts w:hint="eastAsia"/>
          <w:color w:val="000000" w:themeColor="text1"/>
          <w:lang w:eastAsia="zh-CN"/>
          <w14:textFill>
            <w14:solidFill>
              <w14:schemeClr w14:val="tx1"/>
            </w14:solidFill>
          </w14:textFill>
        </w:rPr>
        <w:t>的通知</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下达文件，</w:t>
      </w:r>
      <w:r>
        <w:rPr>
          <w:rFonts w:hint="eastAsia"/>
          <w:color w:val="000000" w:themeColor="text1"/>
          <w14:textFill>
            <w14:solidFill>
              <w14:schemeClr w14:val="tx1"/>
            </w14:solidFill>
          </w14:textFill>
        </w:rPr>
        <w:t>符合国家法律法规、国民经济发展规划和相关政策；符合行业发展规划和政策要求</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与部门职责范围相符，属于部门履职所需</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属于公共财政支持范围，是否符合中央、地方事权支出责任划分原则</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与相关部门同类项目或部门内部相关项目</w:t>
      </w:r>
      <w:r>
        <w:rPr>
          <w:rFonts w:hint="eastAsia"/>
          <w:color w:val="000000" w:themeColor="text1"/>
          <w:lang w:eastAsia="zh-CN"/>
          <w14:textFill>
            <w14:solidFill>
              <w14:schemeClr w14:val="tx1"/>
            </w14:solidFill>
          </w14:textFill>
        </w:rPr>
        <w:t>没有</w:t>
      </w:r>
      <w:r>
        <w:rPr>
          <w:rFonts w:hint="eastAsia"/>
          <w:color w:val="000000" w:themeColor="text1"/>
          <w14:textFill>
            <w14:solidFill>
              <w14:schemeClr w14:val="tx1"/>
            </w14:solidFill>
          </w14:textFill>
        </w:rPr>
        <w:t>重复</w:t>
      </w:r>
    </w:p>
    <w:p>
      <w:pPr>
        <w:pageBreakBefore w:val="0"/>
        <w:widowControl w:val="0"/>
        <w:kinsoku/>
        <w:wordWrap/>
        <w:overflowPunct/>
        <w:topLinePunct w:val="0"/>
        <w:autoSpaceDE/>
        <w:autoSpaceDN/>
        <w:bidi w:val="0"/>
        <w:adjustRightInd/>
        <w:snapToGrid/>
        <w:spacing w:line="360" w:lineRule="auto"/>
        <w:ind w:firstLine="600" w:firstLineChars="200"/>
        <w:textAlignment w:val="auto"/>
      </w:pPr>
      <w:r>
        <w:rPr>
          <w:rFonts w:hint="eastAsia"/>
        </w:rPr>
        <w:t>2、立项程序规范性</w:t>
      </w:r>
    </w:p>
    <w:p>
      <w:pPr>
        <w:pageBreakBefore w:val="0"/>
        <w:widowControl w:val="0"/>
        <w:kinsoku/>
        <w:wordWrap/>
        <w:overflowPunct/>
        <w:topLinePunct w:val="0"/>
        <w:autoSpaceDE/>
        <w:autoSpaceDN/>
        <w:bidi w:val="0"/>
        <w:adjustRightInd/>
        <w:snapToGrid/>
        <w:spacing w:line="360" w:lineRule="auto"/>
        <w:ind w:firstLine="600" w:firstLineChars="20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中央财政城镇保障性安居工程老旧小区改造项目按照规定的程序申请设立</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审批文件、材料符合相关要求</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事前已经过必要的可行性研究、专家论证、风险评估、绩效评估、集体决策。</w:t>
      </w:r>
    </w:p>
    <w:p>
      <w:pPr>
        <w:pageBreakBefore w:val="0"/>
        <w:widowControl w:val="0"/>
        <w:kinsoku/>
        <w:wordWrap/>
        <w:overflowPunct/>
        <w:topLinePunct w:val="0"/>
        <w:autoSpaceDE/>
        <w:autoSpaceDN/>
        <w:bidi w:val="0"/>
        <w:adjustRightInd/>
        <w:snapToGrid/>
        <w:spacing w:line="360" w:lineRule="auto"/>
        <w:ind w:firstLine="600" w:firstLineChars="200"/>
        <w:textAlignment w:val="auto"/>
      </w:pPr>
      <w:r>
        <w:rPr>
          <w:rFonts w:hint="eastAsia"/>
        </w:rPr>
        <w:t>3、绩效目标合理性</w:t>
      </w:r>
    </w:p>
    <w:p>
      <w:pPr>
        <w:pageBreakBefore w:val="0"/>
        <w:widowControl w:val="0"/>
        <w:kinsoku/>
        <w:wordWrap/>
        <w:overflowPunct/>
        <w:topLinePunct w:val="0"/>
        <w:autoSpaceDE/>
        <w:autoSpaceDN/>
        <w:bidi w:val="0"/>
        <w:adjustRightInd/>
        <w:snapToGrid/>
        <w:spacing w:line="360" w:lineRule="auto"/>
        <w:ind w:firstLine="600" w:firstLineChars="20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2</w:t>
      </w:r>
      <w:r>
        <w:rPr>
          <w:color w:val="000000" w:themeColor="text1"/>
          <w14:textFill>
            <w14:solidFill>
              <w14:schemeClr w14:val="tx1"/>
            </w14:solidFill>
          </w14:textFill>
        </w:rPr>
        <w:t>02</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项目设立了项目绩效目标，与对县城3个老旧小区共7栋楼、276户，面积共3.16万平方米进行改造具有相关性，项目的预期产出效益和效果也均能符合正常的业绩水平，并且与预算确定的项目投资额或资金量相匹配。</w:t>
      </w:r>
    </w:p>
    <w:p>
      <w:pPr>
        <w:pageBreakBefore w:val="0"/>
        <w:widowControl w:val="0"/>
        <w:kinsoku/>
        <w:wordWrap/>
        <w:overflowPunct/>
        <w:topLinePunct w:val="0"/>
        <w:autoSpaceDE/>
        <w:autoSpaceDN/>
        <w:bidi w:val="0"/>
        <w:adjustRightInd/>
        <w:snapToGrid/>
        <w:spacing w:line="360" w:lineRule="auto"/>
        <w:ind w:firstLine="600" w:firstLineChars="200"/>
        <w:textAlignment w:val="auto"/>
      </w:pPr>
      <w:r>
        <w:rPr>
          <w:rFonts w:hint="eastAsia"/>
        </w:rPr>
        <w:t>4、绩效指标明确性</w:t>
      </w:r>
    </w:p>
    <w:p>
      <w:pPr>
        <w:pageBreakBefore w:val="0"/>
        <w:widowControl w:val="0"/>
        <w:kinsoku/>
        <w:wordWrap/>
        <w:overflowPunct/>
        <w:topLinePunct w:val="0"/>
        <w:autoSpaceDE/>
        <w:autoSpaceDN/>
        <w:bidi w:val="0"/>
        <w:adjustRightInd/>
        <w:snapToGrid/>
        <w:spacing w:line="360" w:lineRule="auto"/>
        <w:ind w:firstLine="600" w:firstLineChars="200"/>
        <w:textAlignment w:val="auto"/>
        <w:rPr>
          <w:color w:val="auto"/>
        </w:rPr>
      </w:pPr>
      <w:bookmarkStart w:id="12" w:name="_Hlk68699917"/>
      <w:r>
        <w:rPr>
          <w:rFonts w:hint="eastAsia"/>
          <w:color w:val="auto"/>
        </w:rPr>
        <w:t>2</w:t>
      </w:r>
      <w:r>
        <w:rPr>
          <w:color w:val="auto"/>
        </w:rPr>
        <w:t>02</w:t>
      </w:r>
      <w:r>
        <w:rPr>
          <w:rFonts w:hint="eastAsia"/>
          <w:color w:val="auto"/>
          <w:lang w:val="en-US" w:eastAsia="zh-CN"/>
        </w:rPr>
        <w:t>3</w:t>
      </w:r>
      <w:r>
        <w:rPr>
          <w:rFonts w:hint="eastAsia"/>
          <w:color w:val="auto"/>
        </w:rPr>
        <w:t>年项目将项目绩效目标细化分解为具体的绩效指标，一级指标共</w:t>
      </w:r>
      <w:r>
        <w:rPr>
          <w:color w:val="auto"/>
        </w:rPr>
        <w:t>3</w:t>
      </w:r>
      <w:r>
        <w:rPr>
          <w:rFonts w:hint="eastAsia"/>
          <w:color w:val="auto"/>
        </w:rPr>
        <w:t>条，二级指标共</w:t>
      </w:r>
      <w:r>
        <w:rPr>
          <w:rFonts w:hint="eastAsia"/>
          <w:color w:val="auto"/>
          <w:lang w:val="en-US" w:eastAsia="zh-CN"/>
        </w:rPr>
        <w:t>6</w:t>
      </w:r>
      <w:r>
        <w:rPr>
          <w:rFonts w:hint="eastAsia"/>
          <w:color w:val="auto"/>
        </w:rPr>
        <w:t>条，三级指标共</w:t>
      </w:r>
      <w:r>
        <w:rPr>
          <w:rFonts w:hint="eastAsia"/>
          <w:color w:val="auto"/>
          <w:lang w:val="en-US" w:eastAsia="zh-CN"/>
        </w:rPr>
        <w:t>9</w:t>
      </w:r>
      <w:r>
        <w:rPr>
          <w:rFonts w:hint="eastAsia"/>
          <w:color w:val="auto"/>
        </w:rPr>
        <w:t>条，其中量化指标条数共</w:t>
      </w:r>
      <w:r>
        <w:rPr>
          <w:rFonts w:hint="eastAsia"/>
          <w:color w:val="auto"/>
          <w:lang w:val="en-US" w:eastAsia="zh-CN"/>
        </w:rPr>
        <w:t>3</w:t>
      </w:r>
      <w:r>
        <w:rPr>
          <w:rFonts w:hint="eastAsia"/>
          <w:color w:val="auto"/>
        </w:rPr>
        <w:t>条，所有绩效指标均通过清晰、可衡量的指标值予以体现，并且做到了与项目目标任务数或计划数相对应。</w:t>
      </w:r>
      <w:bookmarkEnd w:id="12"/>
    </w:p>
    <w:p>
      <w:pPr>
        <w:pageBreakBefore w:val="0"/>
        <w:widowControl w:val="0"/>
        <w:kinsoku/>
        <w:wordWrap/>
        <w:overflowPunct/>
        <w:topLinePunct w:val="0"/>
        <w:autoSpaceDE/>
        <w:autoSpaceDN/>
        <w:bidi w:val="0"/>
        <w:adjustRightInd/>
        <w:snapToGrid/>
        <w:spacing w:line="360" w:lineRule="auto"/>
        <w:ind w:firstLine="600" w:firstLineChars="200"/>
        <w:textAlignment w:val="auto"/>
      </w:pPr>
      <w:r>
        <w:rPr>
          <w:rFonts w:hint="eastAsia"/>
        </w:rPr>
        <w:t>5、预算编制科学性</w:t>
      </w:r>
    </w:p>
    <w:p>
      <w:pPr>
        <w:pageBreakBefore w:val="0"/>
        <w:widowControl w:val="0"/>
        <w:kinsoku/>
        <w:wordWrap/>
        <w:overflowPunct/>
        <w:topLinePunct w:val="0"/>
        <w:autoSpaceDE/>
        <w:autoSpaceDN/>
        <w:bidi w:val="0"/>
        <w:adjustRightInd/>
        <w:snapToGrid/>
        <w:spacing w:line="360" w:lineRule="auto"/>
        <w:ind w:firstLine="600" w:firstLineChars="200"/>
        <w:textAlignment w:val="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2023年项目</w:t>
      </w:r>
      <w:r>
        <w:rPr>
          <w:rFonts w:hint="eastAsia"/>
          <w:color w:val="000000" w:themeColor="text1"/>
          <w14:textFill>
            <w14:solidFill>
              <w14:schemeClr w14:val="tx1"/>
            </w14:solidFill>
          </w14:textFill>
        </w:rPr>
        <w:t>预算编制经过科学论证</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预算内容与项目内容匹配</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预算额度测算依据充分，按照标准编制；预算确定的项目投资额或资金量与工作任务相匹配。</w:t>
      </w:r>
    </w:p>
    <w:p>
      <w:pPr>
        <w:pageBreakBefore w:val="0"/>
        <w:widowControl w:val="0"/>
        <w:kinsoku/>
        <w:wordWrap/>
        <w:overflowPunct/>
        <w:topLinePunct w:val="0"/>
        <w:autoSpaceDE/>
        <w:autoSpaceDN/>
        <w:bidi w:val="0"/>
        <w:adjustRightInd/>
        <w:snapToGrid/>
        <w:spacing w:line="360" w:lineRule="auto"/>
        <w:ind w:firstLine="600" w:firstLineChars="200"/>
        <w:textAlignment w:val="auto"/>
      </w:pPr>
      <w:r>
        <w:rPr>
          <w:rFonts w:hint="eastAsia"/>
        </w:rPr>
        <w:t>6、资金分配合理性</w:t>
      </w:r>
    </w:p>
    <w:p>
      <w:pPr>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color w:val="000000" w:themeColor="text1"/>
          <w14:textFill>
            <w14:solidFill>
              <w14:schemeClr w14:val="tx1"/>
            </w14:solidFill>
          </w14:textFill>
        </w:rPr>
      </w:pPr>
      <w:bookmarkStart w:id="13" w:name="_Toc68703839"/>
      <w:r>
        <w:rPr>
          <w:rFonts w:hint="eastAsia"/>
          <w:color w:val="000000" w:themeColor="text1"/>
          <w:lang w:val="en-US" w:eastAsia="zh-CN"/>
          <w14:textFill>
            <w14:solidFill>
              <w14:schemeClr w14:val="tx1"/>
            </w14:solidFill>
          </w14:textFill>
        </w:rPr>
        <w:t>2023年项目</w:t>
      </w:r>
      <w:r>
        <w:rPr>
          <w:rFonts w:hint="eastAsia"/>
          <w:color w:val="000000" w:themeColor="text1"/>
          <w14:textFill>
            <w14:solidFill>
              <w14:schemeClr w14:val="tx1"/>
            </w14:solidFill>
          </w14:textFill>
        </w:rPr>
        <w:t>预算资金分配依据充分</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资金分配额度合理，与项目相适应。</w:t>
      </w:r>
    </w:p>
    <w:p>
      <w:pPr>
        <w:pStyle w:val="4"/>
        <w:pageBreakBefore w:val="0"/>
        <w:widowControl w:val="0"/>
        <w:kinsoku/>
        <w:wordWrap/>
        <w:overflowPunct/>
        <w:topLinePunct w:val="0"/>
        <w:autoSpaceDE/>
        <w:autoSpaceDN/>
        <w:bidi w:val="0"/>
        <w:adjustRightInd/>
        <w:snapToGrid/>
        <w:spacing w:before="0" w:after="0" w:line="240" w:lineRule="auto"/>
        <w:textAlignment w:val="auto"/>
        <w:rPr>
          <w:rFonts w:ascii="仿宋_GB2312" w:eastAsia="仿宋_GB2312"/>
          <w:b w:val="0"/>
          <w:bCs w:val="0"/>
        </w:rPr>
      </w:pPr>
      <w:r>
        <w:rPr>
          <w:rFonts w:hint="eastAsia" w:ascii="仿宋_GB2312" w:eastAsia="仿宋_GB2312"/>
          <w:b w:val="0"/>
          <w:bCs w:val="0"/>
        </w:rPr>
        <w:t>（二）项目过程情况。</w:t>
      </w:r>
      <w:bookmarkEnd w:id="13"/>
    </w:p>
    <w:p>
      <w:pPr>
        <w:pageBreakBefore w:val="0"/>
        <w:widowControl w:val="0"/>
        <w:kinsoku/>
        <w:wordWrap/>
        <w:overflowPunct/>
        <w:topLinePunct w:val="0"/>
        <w:autoSpaceDE/>
        <w:autoSpaceDN/>
        <w:bidi w:val="0"/>
        <w:adjustRightInd/>
        <w:snapToGrid/>
        <w:spacing w:line="360" w:lineRule="auto"/>
        <w:textAlignment w:val="auto"/>
      </w:pPr>
      <w:r>
        <w:rPr>
          <w:rFonts w:hint="eastAsia"/>
        </w:rPr>
        <w:t>1、资金到位率：</w:t>
      </w:r>
    </w:p>
    <w:p>
      <w:pPr>
        <w:spacing w:line="360" w:lineRule="auto"/>
        <w:ind w:firstLine="600" w:firstLineChars="200"/>
        <w:rPr>
          <w:rFonts w:hint="eastAsia"/>
          <w:lang w:eastAsia="zh-CN"/>
        </w:rPr>
      </w:pPr>
      <w:r>
        <w:rPr>
          <w:rFonts w:hint="eastAsia"/>
        </w:rPr>
        <w:t>实际到位资金</w:t>
      </w:r>
      <w:r>
        <w:t xml:space="preserve"> </w:t>
      </w:r>
      <w:r>
        <w:rPr>
          <w:rFonts w:hint="eastAsia"/>
          <w:lang w:val="en-US" w:eastAsia="zh-CN"/>
        </w:rPr>
        <w:t>530</w:t>
      </w:r>
      <w:r>
        <w:rPr>
          <w:rFonts w:hint="eastAsia"/>
        </w:rPr>
        <w:t>万元，预算资金</w:t>
      </w:r>
      <w:r>
        <w:t xml:space="preserve"> </w:t>
      </w:r>
      <w:r>
        <w:rPr>
          <w:rFonts w:hint="eastAsia"/>
          <w:lang w:val="en-US" w:eastAsia="zh-CN"/>
        </w:rPr>
        <w:t>530</w:t>
      </w:r>
      <w:r>
        <w:rPr>
          <w:rFonts w:hint="eastAsia"/>
        </w:rPr>
        <w:t>万元，资金到位率</w:t>
      </w:r>
      <w:r>
        <w:t>100</w:t>
      </w:r>
      <w:r>
        <w:rPr>
          <w:rFonts w:hint="eastAsia"/>
        </w:rPr>
        <w:t>%</w:t>
      </w:r>
      <w:r>
        <w:rPr>
          <w:rFonts w:hint="eastAsia"/>
          <w:lang w:eastAsia="zh-CN"/>
        </w:rPr>
        <w:t>。</w:t>
      </w:r>
    </w:p>
    <w:p>
      <w:pPr>
        <w:spacing w:line="360" w:lineRule="auto"/>
      </w:pPr>
      <w:r>
        <w:rPr>
          <w:rFonts w:hint="eastAsia"/>
        </w:rPr>
        <w:t>2、预算执行率</w:t>
      </w:r>
    </w:p>
    <w:p>
      <w:pPr>
        <w:spacing w:line="360" w:lineRule="auto"/>
        <w:ind w:firstLine="600" w:firstLineChars="200"/>
        <w:rPr>
          <w:rFonts w:hint="eastAsia"/>
          <w:lang w:eastAsia="zh-CN"/>
        </w:rPr>
      </w:pPr>
      <w:r>
        <w:rPr>
          <w:rFonts w:hint="eastAsia"/>
        </w:rPr>
        <w:t>年初预算数</w:t>
      </w:r>
      <w:r>
        <w:rPr>
          <w:rFonts w:hint="eastAsia"/>
          <w:lang w:val="en-US" w:eastAsia="zh-CN"/>
        </w:rPr>
        <w:t>530</w:t>
      </w:r>
      <w:r>
        <w:rPr>
          <w:rFonts w:hint="eastAsia"/>
        </w:rPr>
        <w:t>万元，全年预算数</w:t>
      </w:r>
      <w:r>
        <w:rPr>
          <w:rFonts w:hint="eastAsia"/>
          <w:lang w:val="en-US" w:eastAsia="zh-CN"/>
        </w:rPr>
        <w:t>530</w:t>
      </w:r>
      <w:r>
        <w:rPr>
          <w:rFonts w:hint="eastAsia"/>
        </w:rPr>
        <w:t xml:space="preserve">万元，全年执行数     </w:t>
      </w:r>
      <w:r>
        <w:rPr>
          <w:rFonts w:hint="eastAsia"/>
          <w:lang w:val="en-US" w:eastAsia="zh-CN"/>
        </w:rPr>
        <w:t>530</w:t>
      </w:r>
      <w:r>
        <w:rPr>
          <w:rFonts w:hint="eastAsia"/>
        </w:rPr>
        <w:t>万元，预算执行率为100%</w:t>
      </w:r>
      <w:r>
        <w:rPr>
          <w:rFonts w:hint="eastAsia"/>
          <w:lang w:eastAsia="zh-CN"/>
        </w:rPr>
        <w:t>。</w:t>
      </w:r>
    </w:p>
    <w:p>
      <w:pPr>
        <w:pageBreakBefore w:val="0"/>
        <w:widowControl w:val="0"/>
        <w:kinsoku/>
        <w:wordWrap/>
        <w:overflowPunct/>
        <w:topLinePunct w:val="0"/>
        <w:autoSpaceDE/>
        <w:autoSpaceDN/>
        <w:bidi w:val="0"/>
        <w:adjustRightInd/>
        <w:snapToGrid/>
        <w:spacing w:line="360" w:lineRule="auto"/>
        <w:textAlignment w:val="auto"/>
      </w:pPr>
      <w:r>
        <w:rPr>
          <w:rFonts w:hint="eastAsia"/>
        </w:rPr>
        <w:t>3、资金使用合规性</w:t>
      </w:r>
    </w:p>
    <w:p>
      <w:pPr>
        <w:pageBreakBefore w:val="0"/>
        <w:widowControl w:val="0"/>
        <w:kinsoku/>
        <w:wordWrap/>
        <w:overflowPunct/>
        <w:topLinePunct w:val="0"/>
        <w:autoSpaceDE/>
        <w:autoSpaceDN/>
        <w:bidi w:val="0"/>
        <w:adjustRightInd/>
        <w:snapToGrid/>
        <w:spacing w:line="360" w:lineRule="auto"/>
        <w:ind w:firstLine="600" w:firstLineChars="200"/>
        <w:textAlignment w:val="auto"/>
        <w:rPr>
          <w:color w:val="FF0000"/>
        </w:rPr>
      </w:pPr>
      <w:r>
        <w:rPr>
          <w:rFonts w:hint="eastAsia"/>
          <w:color w:val="000000" w:themeColor="text1"/>
          <w14:textFill>
            <w14:solidFill>
              <w14:schemeClr w14:val="tx1"/>
            </w14:solidFill>
          </w14:textFill>
        </w:rPr>
        <w:t>项目符合国家财经法规和财务管理制度以及有关专项资金管理办法的规定</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资金的拨付有完整的审批程序和手续</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项目使用符合项目预算批复或合同规定的用途</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不存在截留、挤占、挪用、虚列支出等情况。</w:t>
      </w:r>
    </w:p>
    <w:p>
      <w:pPr>
        <w:pageBreakBefore w:val="0"/>
        <w:widowControl w:val="0"/>
        <w:kinsoku/>
        <w:wordWrap/>
        <w:overflowPunct/>
        <w:topLinePunct w:val="0"/>
        <w:autoSpaceDE/>
        <w:autoSpaceDN/>
        <w:bidi w:val="0"/>
        <w:adjustRightInd/>
        <w:snapToGrid/>
        <w:spacing w:line="360" w:lineRule="auto"/>
        <w:textAlignment w:val="auto"/>
      </w:pPr>
      <w:r>
        <w:rPr>
          <w:rFonts w:hint="eastAsia"/>
        </w:rPr>
        <w:t>4、管理制度健全性</w:t>
      </w:r>
    </w:p>
    <w:p>
      <w:pPr>
        <w:pageBreakBefore w:val="0"/>
        <w:widowControl w:val="0"/>
        <w:kinsoku/>
        <w:wordWrap/>
        <w:overflowPunct/>
        <w:topLinePunct w:val="0"/>
        <w:autoSpaceDE/>
        <w:autoSpaceDN/>
        <w:bidi w:val="0"/>
        <w:adjustRightInd/>
        <w:snapToGrid/>
        <w:spacing w:line="360" w:lineRule="auto"/>
        <w:ind w:firstLine="600" w:firstLineChars="200"/>
        <w:textAlignment w:val="auto"/>
        <w:rPr>
          <w:color w:val="FF0000"/>
        </w:rPr>
      </w:pPr>
      <w:r>
        <w:rPr>
          <w:rFonts w:hint="eastAsia"/>
          <w:color w:val="000000" w:themeColor="text1"/>
          <w14:textFill>
            <w14:solidFill>
              <w14:schemeClr w14:val="tx1"/>
            </w14:solidFill>
          </w14:textFill>
        </w:rPr>
        <w:t>项目实施制定相应的财务和业务管理制度</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财务和业务管理制度合法、合规、完整。</w:t>
      </w:r>
    </w:p>
    <w:p>
      <w:pPr>
        <w:pageBreakBefore w:val="0"/>
        <w:widowControl w:val="0"/>
        <w:kinsoku/>
        <w:wordWrap/>
        <w:overflowPunct/>
        <w:topLinePunct w:val="0"/>
        <w:autoSpaceDE/>
        <w:autoSpaceDN/>
        <w:bidi w:val="0"/>
        <w:adjustRightInd/>
        <w:snapToGrid/>
        <w:spacing w:line="360" w:lineRule="auto"/>
        <w:textAlignment w:val="auto"/>
      </w:pPr>
      <w:r>
        <w:rPr>
          <w:rFonts w:hint="eastAsia"/>
        </w:rPr>
        <w:t>5、制度执行有效性</w:t>
      </w:r>
    </w:p>
    <w:p>
      <w:pPr>
        <w:pageBreakBefore w:val="0"/>
        <w:widowControl w:val="0"/>
        <w:kinsoku/>
        <w:wordWrap/>
        <w:overflowPunct/>
        <w:topLinePunct w:val="0"/>
        <w:autoSpaceDE/>
        <w:autoSpaceDN/>
        <w:bidi w:val="0"/>
        <w:adjustRightInd/>
        <w:snapToGrid/>
        <w:spacing w:line="360" w:lineRule="auto"/>
        <w:ind w:firstLine="600" w:firstLineChars="200"/>
        <w:textAlignment w:val="auto"/>
        <w:rPr>
          <w:color w:val="000000" w:themeColor="text1"/>
          <w14:textFill>
            <w14:solidFill>
              <w14:schemeClr w14:val="tx1"/>
            </w14:solidFill>
          </w14:textFill>
        </w:rPr>
      </w:pPr>
      <w:bookmarkStart w:id="14" w:name="_Toc68703840"/>
      <w:r>
        <w:rPr>
          <w:rFonts w:hint="eastAsia"/>
          <w:color w:val="000000" w:themeColor="text1"/>
          <w14:textFill>
            <w14:solidFill>
              <w14:schemeClr w14:val="tx1"/>
            </w14:solidFill>
          </w14:textFill>
        </w:rPr>
        <w:t>项目实施遵守相关法律法规和相关管理规定</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项目调整及支出调整手续完备</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项目合同书、验收报告、技术鉴定等资料齐全并及时归档</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项目实施的人员条件、场地设备、信息支撑等落实到位。</w:t>
      </w:r>
    </w:p>
    <w:p>
      <w:pPr>
        <w:pStyle w:val="4"/>
        <w:spacing w:before="0" w:after="0" w:line="240" w:lineRule="auto"/>
        <w:rPr>
          <w:rFonts w:ascii="仿宋_GB2312" w:eastAsia="仿宋_GB2312"/>
          <w:b w:val="0"/>
          <w:bCs w:val="0"/>
        </w:rPr>
      </w:pPr>
      <w:r>
        <w:rPr>
          <w:rFonts w:hint="eastAsia" w:ascii="仿宋_GB2312" w:eastAsia="仿宋_GB2312"/>
          <w:b w:val="0"/>
          <w:bCs w:val="0"/>
        </w:rPr>
        <w:t>（三）项目产出情况。</w:t>
      </w:r>
      <w:bookmarkEnd w:id="14"/>
    </w:p>
    <w:p>
      <w:pPr>
        <w:spacing w:line="360" w:lineRule="auto"/>
        <w:ind w:firstLine="600" w:firstLineChars="200"/>
        <w:rPr>
          <w:rFonts w:hint="eastAsia"/>
          <w:color w:val="auto"/>
          <w:lang w:eastAsia="zh-CN"/>
        </w:rPr>
      </w:pPr>
      <w:r>
        <w:rPr>
          <w:rFonts w:hint="eastAsia"/>
          <w:color w:val="auto"/>
        </w:rPr>
        <w:t>1、产出数量指标：指标1：城镇老旧小区改造面积，指标值：&gt;=3.16万平方米，实际完成值</w:t>
      </w:r>
      <w:r>
        <w:rPr>
          <w:rFonts w:hint="eastAsia"/>
          <w:color w:val="auto"/>
          <w:lang w:val="en-US" w:eastAsia="zh-CN"/>
        </w:rPr>
        <w:t>3.16万</w:t>
      </w:r>
      <w:r>
        <w:rPr>
          <w:rFonts w:hint="eastAsia"/>
          <w:color w:val="auto"/>
        </w:rPr>
        <w:t>平方米，指标完成率 100%偏差原因</w:t>
      </w:r>
      <w:r>
        <w:rPr>
          <w:rFonts w:hint="eastAsia"/>
          <w:color w:val="auto"/>
          <w:lang w:eastAsia="zh-CN"/>
        </w:rPr>
        <w:t>：无偏差</w:t>
      </w:r>
      <w:r>
        <w:rPr>
          <w:rFonts w:hint="eastAsia"/>
          <w:color w:val="auto"/>
        </w:rPr>
        <w:t>；指标</w:t>
      </w:r>
      <w:r>
        <w:rPr>
          <w:rFonts w:hint="eastAsia"/>
          <w:color w:val="auto"/>
          <w:lang w:val="en-US" w:eastAsia="zh-CN"/>
        </w:rPr>
        <w:t>2</w:t>
      </w:r>
      <w:r>
        <w:rPr>
          <w:rFonts w:hint="eastAsia"/>
          <w:color w:val="auto"/>
        </w:rPr>
        <w:t>：城镇老旧小区改造楼栋数，指标值：&gt;=7栋，实际完成值</w:t>
      </w:r>
      <w:r>
        <w:rPr>
          <w:rFonts w:hint="eastAsia"/>
          <w:color w:val="auto"/>
          <w:lang w:val="en-US" w:eastAsia="zh-CN"/>
        </w:rPr>
        <w:t>7栋</w:t>
      </w:r>
      <w:r>
        <w:rPr>
          <w:rFonts w:hint="eastAsia"/>
          <w:color w:val="auto"/>
        </w:rPr>
        <w:t>，指标完成率 100%</w:t>
      </w:r>
      <w:r>
        <w:rPr>
          <w:rFonts w:hint="eastAsia"/>
          <w:color w:val="auto"/>
          <w:lang w:eastAsia="zh-CN"/>
        </w:rPr>
        <w:t>，</w:t>
      </w:r>
      <w:r>
        <w:rPr>
          <w:rFonts w:hint="eastAsia"/>
          <w:color w:val="auto"/>
        </w:rPr>
        <w:t>偏差原因</w:t>
      </w:r>
      <w:r>
        <w:rPr>
          <w:rFonts w:hint="eastAsia"/>
          <w:color w:val="auto"/>
          <w:lang w:eastAsia="zh-CN"/>
        </w:rPr>
        <w:t>：无偏差；</w:t>
      </w:r>
      <w:r>
        <w:rPr>
          <w:rFonts w:hint="eastAsia"/>
          <w:color w:val="auto"/>
        </w:rPr>
        <w:t>指标</w:t>
      </w:r>
      <w:r>
        <w:rPr>
          <w:rFonts w:hint="eastAsia"/>
          <w:color w:val="auto"/>
          <w:lang w:val="en-US" w:eastAsia="zh-CN"/>
        </w:rPr>
        <w:t>3：</w:t>
      </w:r>
      <w:r>
        <w:rPr>
          <w:rFonts w:hint="eastAsia"/>
          <w:color w:val="auto"/>
        </w:rPr>
        <w:t>城镇老旧小区改造竣工户数</w:t>
      </w:r>
      <w:r>
        <w:rPr>
          <w:rFonts w:hint="eastAsia"/>
          <w:color w:val="auto"/>
          <w:lang w:eastAsia="zh-CN"/>
        </w:rPr>
        <w:t>，</w:t>
      </w:r>
      <w:r>
        <w:rPr>
          <w:rFonts w:hint="eastAsia"/>
          <w:color w:val="auto"/>
          <w:lang w:val="en-US" w:eastAsia="zh-CN"/>
        </w:rPr>
        <w:t>指标值：276户，</w:t>
      </w:r>
      <w:r>
        <w:rPr>
          <w:rFonts w:hint="eastAsia"/>
          <w:color w:val="auto"/>
        </w:rPr>
        <w:t>实际完成值</w:t>
      </w:r>
      <w:r>
        <w:rPr>
          <w:rFonts w:hint="eastAsia"/>
          <w:color w:val="auto"/>
          <w:lang w:val="en-US" w:eastAsia="zh-CN"/>
        </w:rPr>
        <w:t>276户</w:t>
      </w:r>
      <w:r>
        <w:rPr>
          <w:rFonts w:hint="eastAsia"/>
          <w:color w:val="auto"/>
        </w:rPr>
        <w:t>，指标完成率 100%</w:t>
      </w:r>
      <w:r>
        <w:rPr>
          <w:rFonts w:hint="eastAsia"/>
          <w:color w:val="auto"/>
          <w:lang w:eastAsia="zh-CN"/>
        </w:rPr>
        <w:t>，</w:t>
      </w:r>
      <w:r>
        <w:rPr>
          <w:rFonts w:hint="eastAsia"/>
          <w:color w:val="auto"/>
        </w:rPr>
        <w:t>偏差原因</w:t>
      </w:r>
      <w:r>
        <w:rPr>
          <w:rFonts w:hint="eastAsia"/>
          <w:color w:val="auto"/>
          <w:lang w:eastAsia="zh-CN"/>
        </w:rPr>
        <w:t>：无偏差。</w:t>
      </w:r>
    </w:p>
    <w:p>
      <w:pPr>
        <w:spacing w:line="360" w:lineRule="auto"/>
        <w:ind w:firstLine="600" w:firstLineChars="200"/>
        <w:rPr>
          <w:rFonts w:hint="eastAsia"/>
          <w:color w:val="auto"/>
        </w:rPr>
      </w:pPr>
      <w:r>
        <w:rPr>
          <w:rFonts w:hint="eastAsia"/>
          <w:color w:val="auto"/>
        </w:rPr>
        <w:t>2</w:t>
      </w:r>
      <w:r>
        <w:rPr>
          <w:rFonts w:hint="eastAsia"/>
          <w:color w:val="auto"/>
          <w:lang w:eastAsia="zh-CN"/>
        </w:rPr>
        <w:t>、</w:t>
      </w:r>
      <w:r>
        <w:rPr>
          <w:rFonts w:hint="eastAsia"/>
          <w:color w:val="auto"/>
        </w:rPr>
        <w:t>质量指标：城镇老旧小区改造工程质量达标率，</w:t>
      </w:r>
      <w:bookmarkStart w:id="15" w:name="_Hlk98607777"/>
      <w:r>
        <w:rPr>
          <w:rFonts w:hint="eastAsia"/>
          <w:color w:val="auto"/>
        </w:rPr>
        <w:t>指标值：&gt;=95%，实际完成值</w:t>
      </w:r>
      <w:r>
        <w:rPr>
          <w:rFonts w:hint="eastAsia"/>
          <w:color w:val="auto"/>
          <w:lang w:val="en-US" w:eastAsia="zh-CN"/>
        </w:rPr>
        <w:t>100</w:t>
      </w:r>
      <w:r>
        <w:rPr>
          <w:rFonts w:hint="eastAsia"/>
          <w:color w:val="auto"/>
        </w:rPr>
        <w:t>%，</w:t>
      </w:r>
      <w:bookmarkStart w:id="16" w:name="_Hlk98607678"/>
      <w:r>
        <w:rPr>
          <w:rFonts w:hint="eastAsia"/>
          <w:color w:val="auto"/>
        </w:rPr>
        <w:t>指标完成率</w:t>
      </w:r>
      <w:r>
        <w:rPr>
          <w:rFonts w:hint="eastAsia"/>
          <w:color w:val="auto"/>
          <w:lang w:val="en-US" w:eastAsia="zh-CN"/>
        </w:rPr>
        <w:t>105.26</w:t>
      </w:r>
      <w:r>
        <w:rPr>
          <w:rFonts w:hint="eastAsia"/>
          <w:color w:val="auto"/>
        </w:rPr>
        <w:t>%</w:t>
      </w:r>
      <w:r>
        <w:rPr>
          <w:rFonts w:hint="eastAsia"/>
          <w:color w:val="auto"/>
          <w:lang w:eastAsia="zh-CN"/>
        </w:rPr>
        <w:t>，</w:t>
      </w:r>
      <w:r>
        <w:rPr>
          <w:rFonts w:hint="eastAsia"/>
          <w:color w:val="auto"/>
        </w:rPr>
        <w:t>偏差原因：城镇老旧小区改造工程严格按照合同实施，工程质量达到标准 ；</w:t>
      </w:r>
      <w:bookmarkEnd w:id="15"/>
      <w:bookmarkEnd w:id="16"/>
    </w:p>
    <w:p>
      <w:pPr>
        <w:spacing w:line="360" w:lineRule="auto"/>
        <w:ind w:firstLine="600" w:firstLineChars="200"/>
        <w:rPr>
          <w:rFonts w:hint="eastAsia"/>
          <w:color w:val="auto"/>
          <w:lang w:val="en-US" w:eastAsia="zh-CN"/>
        </w:rPr>
      </w:pPr>
      <w:r>
        <w:rPr>
          <w:rFonts w:hint="eastAsia"/>
          <w:color w:val="auto"/>
        </w:rPr>
        <w:t>3</w:t>
      </w:r>
      <w:r>
        <w:rPr>
          <w:rFonts w:hint="eastAsia"/>
          <w:color w:val="auto"/>
          <w:lang w:eastAsia="zh-CN"/>
        </w:rPr>
        <w:t>、</w:t>
      </w:r>
      <w:r>
        <w:rPr>
          <w:rFonts w:hint="eastAsia"/>
          <w:color w:val="auto"/>
          <w:lang w:val="en-US" w:eastAsia="zh-CN"/>
        </w:rPr>
        <w:t>时效指标：按期开工率，&gt;=98%，完成值：100%，指标完成率 102.04 %，偏差原因：老旧小区项目严格按照合同约定时间开工、完工 ；指标2：按期完工率，&gt;=98%，完成值：100%，指标完成率 102.04 %，偏差原因：老旧小区项目严格按照合同约定时间开工、完工 ；</w:t>
      </w:r>
    </w:p>
    <w:p>
      <w:pPr>
        <w:spacing w:line="360" w:lineRule="auto"/>
        <w:ind w:firstLine="600" w:firstLineChars="200"/>
        <w:rPr>
          <w:rFonts w:hint="eastAsia"/>
          <w:color w:val="000000" w:themeColor="text1"/>
          <w:lang w:val="en-US" w:eastAsia="zh-CN"/>
          <w14:textFill>
            <w14:solidFill>
              <w14:schemeClr w14:val="tx1"/>
            </w14:solidFill>
          </w14:textFill>
        </w:rPr>
      </w:pPr>
      <w:r>
        <w:rPr>
          <w:rFonts w:hint="eastAsia"/>
          <w:color w:val="auto"/>
          <w:lang w:val="en-US" w:eastAsia="zh-CN"/>
        </w:rPr>
        <w:t xml:space="preserve">成本指标：项目预算控制率，指标值：≤98% ，实际完成值100%，指标完成率 102.04%，偏差原因：严格按照年初预算控制成本 。  </w:t>
      </w:r>
      <w:r>
        <w:rPr>
          <w:rFonts w:hint="eastAsia"/>
          <w:color w:val="000000" w:themeColor="text1"/>
          <w:lang w:val="en-US" w:eastAsia="zh-CN"/>
          <w14:textFill>
            <w14:solidFill>
              <w14:schemeClr w14:val="tx1"/>
            </w14:solidFill>
          </w14:textFill>
        </w:rPr>
        <w:t xml:space="preserve"> </w:t>
      </w:r>
    </w:p>
    <w:p>
      <w:pPr>
        <w:pStyle w:val="4"/>
        <w:numPr>
          <w:ilvl w:val="0"/>
          <w:numId w:val="2"/>
        </w:numPr>
        <w:spacing w:before="0" w:after="0" w:line="240" w:lineRule="auto"/>
        <w:rPr>
          <w:rFonts w:hint="eastAsia" w:ascii="仿宋_GB2312" w:eastAsia="仿宋_GB2312"/>
          <w:b w:val="0"/>
          <w:bCs w:val="0"/>
        </w:rPr>
      </w:pPr>
      <w:bookmarkStart w:id="17" w:name="_Toc68703841"/>
      <w:r>
        <w:rPr>
          <w:rFonts w:hint="eastAsia" w:ascii="仿宋_GB2312" w:eastAsia="仿宋_GB2312"/>
          <w:b w:val="0"/>
          <w:bCs w:val="0"/>
        </w:rPr>
        <w:t>项目效益情况。</w:t>
      </w:r>
      <w:bookmarkEnd w:id="17"/>
    </w:p>
    <w:p>
      <w:pPr>
        <w:spacing w:line="360" w:lineRule="auto"/>
        <w:ind w:firstLine="600" w:firstLineChars="200"/>
        <w:rPr>
          <w:rFonts w:hint="eastAsia"/>
          <w:color w:val="auto"/>
        </w:rPr>
      </w:pPr>
      <w:r>
        <w:rPr>
          <w:rFonts w:hint="eastAsia"/>
          <w:color w:val="auto"/>
          <w:lang w:val="en-US" w:eastAsia="zh-CN"/>
        </w:rPr>
        <w:t>1、</w:t>
      </w:r>
      <w:r>
        <w:rPr>
          <w:rFonts w:hint="eastAsia"/>
          <w:color w:val="auto"/>
        </w:rPr>
        <w:t>社会效益指标：改善群众居住条件，指标值：</w:t>
      </w:r>
      <w:r>
        <w:rPr>
          <w:rFonts w:hint="eastAsia"/>
          <w:color w:val="auto"/>
          <w:lang w:eastAsia="zh-CN"/>
        </w:rPr>
        <w:t>有效改善</w:t>
      </w:r>
      <w:r>
        <w:rPr>
          <w:rFonts w:hint="eastAsia"/>
          <w:color w:val="auto"/>
        </w:rPr>
        <w:t>，实际完成值</w:t>
      </w:r>
      <w:r>
        <w:rPr>
          <w:rFonts w:hint="eastAsia"/>
          <w:color w:val="auto"/>
          <w:lang w:eastAsia="zh-CN"/>
        </w:rPr>
        <w:t>：</w:t>
      </w:r>
      <w:r>
        <w:rPr>
          <w:rFonts w:hint="eastAsia"/>
          <w:color w:val="auto"/>
          <w:lang w:val="en-US" w:eastAsia="zh-CN"/>
        </w:rPr>
        <w:t>达成目标</w:t>
      </w:r>
      <w:r>
        <w:rPr>
          <w:rFonts w:hint="eastAsia"/>
          <w:color w:val="auto"/>
        </w:rPr>
        <w:t xml:space="preserve"> ，指标完成率</w:t>
      </w:r>
      <w:r>
        <w:rPr>
          <w:rFonts w:hint="eastAsia"/>
          <w:color w:val="auto"/>
          <w:lang w:val="en-US" w:eastAsia="zh-CN"/>
        </w:rPr>
        <w:t>100</w:t>
      </w:r>
      <w:r>
        <w:rPr>
          <w:rFonts w:hint="eastAsia"/>
          <w:color w:val="auto"/>
        </w:rPr>
        <w:t xml:space="preserve"> %，偏差原因：</w:t>
      </w:r>
      <w:r>
        <w:rPr>
          <w:rFonts w:hint="eastAsia"/>
          <w:color w:val="auto"/>
          <w:lang w:eastAsia="zh-CN"/>
        </w:rPr>
        <w:t>无偏差。</w:t>
      </w:r>
    </w:p>
    <w:p>
      <w:pPr>
        <w:spacing w:line="360" w:lineRule="auto"/>
        <w:ind w:firstLine="600" w:firstLineChars="200"/>
        <w:rPr>
          <w:rFonts w:hint="eastAsia"/>
          <w:color w:val="auto"/>
        </w:rPr>
      </w:pPr>
      <w:r>
        <w:rPr>
          <w:rFonts w:hint="eastAsia"/>
          <w:color w:val="auto"/>
          <w:lang w:val="en-US" w:eastAsia="zh-CN"/>
        </w:rPr>
        <w:t>2、</w:t>
      </w:r>
      <w:r>
        <w:rPr>
          <w:rFonts w:hint="eastAsia"/>
          <w:color w:val="auto"/>
        </w:rPr>
        <w:t>满意度指标：老旧小区居民满意度，指标值≥9</w:t>
      </w:r>
      <w:r>
        <w:rPr>
          <w:rFonts w:hint="eastAsia"/>
          <w:color w:val="auto"/>
          <w:lang w:val="en-US" w:eastAsia="zh-CN"/>
        </w:rPr>
        <w:t>6</w:t>
      </w:r>
      <w:r>
        <w:rPr>
          <w:rFonts w:hint="eastAsia"/>
          <w:color w:val="auto"/>
        </w:rPr>
        <w:t>%，实际完成值100%，指标完成率</w:t>
      </w:r>
      <w:r>
        <w:rPr>
          <w:rFonts w:hint="eastAsia"/>
          <w:color w:val="auto"/>
          <w:lang w:val="en-US" w:eastAsia="zh-CN"/>
        </w:rPr>
        <w:t>104.17</w:t>
      </w:r>
      <w:r>
        <w:rPr>
          <w:rFonts w:hint="eastAsia"/>
          <w:color w:val="auto"/>
        </w:rPr>
        <w:t>%，偏差原因：通过老旧小区项目实施，改善居民居住环境，居民满意度提高</w:t>
      </w:r>
      <w:r>
        <w:rPr>
          <w:rFonts w:hint="eastAsia"/>
          <w:color w:val="auto"/>
          <w:lang w:eastAsia="zh-CN"/>
        </w:rPr>
        <w:t>。</w:t>
      </w:r>
    </w:p>
    <w:p>
      <w:pPr>
        <w:pStyle w:val="3"/>
        <w:spacing w:before="0" w:after="0" w:line="240" w:lineRule="auto"/>
        <w:rPr>
          <w:rFonts w:ascii="宋体" w:hAnsi="宋体" w:eastAsia="宋体"/>
          <w:sz w:val="32"/>
          <w:szCs w:val="32"/>
        </w:rPr>
      </w:pPr>
      <w:bookmarkStart w:id="18" w:name="_Toc68703842"/>
      <w:r>
        <w:rPr>
          <w:rFonts w:hint="eastAsia" w:ascii="宋体" w:hAnsi="宋体" w:eastAsia="宋体"/>
          <w:sz w:val="32"/>
          <w:szCs w:val="32"/>
        </w:rPr>
        <w:t>五、主要经验及做法、存在的问题及原因分析</w:t>
      </w:r>
      <w:bookmarkEnd w:id="18"/>
    </w:p>
    <w:p>
      <w:pPr>
        <w:pStyle w:val="4"/>
        <w:spacing w:before="0" w:after="0" w:line="240" w:lineRule="auto"/>
        <w:rPr>
          <w:rFonts w:hint="eastAsia" w:ascii="仿宋_GB2312" w:eastAsia="仿宋_GB2312"/>
          <w:b w:val="0"/>
          <w:bCs w:val="0"/>
        </w:rPr>
      </w:pPr>
      <w:bookmarkStart w:id="19" w:name="_Toc68703843"/>
      <w:r>
        <w:rPr>
          <w:rFonts w:hint="eastAsia" w:ascii="仿宋_GB2312" w:eastAsia="仿宋_GB2312"/>
          <w:b w:val="0"/>
          <w:bCs w:val="0"/>
        </w:rPr>
        <w:t>（一）主要经验及做法</w:t>
      </w:r>
      <w:bookmarkEnd w:id="19"/>
    </w:p>
    <w:p>
      <w:pPr>
        <w:spacing w:line="560" w:lineRule="exact"/>
        <w:ind w:firstLine="640" w:firstLineChars="200"/>
        <w:jc w:val="left"/>
        <w:rPr>
          <w:rFonts w:hint="eastAsia" w:ascii="仿宋_GB2312" w:hAnsi="仿宋" w:eastAsia="仿宋_GB2312" w:cs="宋体"/>
          <w:color w:val="333333"/>
          <w:sz w:val="32"/>
          <w:szCs w:val="32"/>
        </w:rPr>
      </w:pPr>
      <w:r>
        <w:rPr>
          <w:rFonts w:hint="eastAsia" w:ascii="仿宋_GB2312" w:hAnsi="仿宋" w:eastAsia="仿宋_GB2312" w:cs="宋体"/>
          <w:color w:val="333333"/>
          <w:sz w:val="32"/>
          <w:szCs w:val="32"/>
          <w:lang w:val="en-US" w:eastAsia="zh-CN"/>
        </w:rPr>
        <w:t>1、</w:t>
      </w:r>
      <w:r>
        <w:rPr>
          <w:rFonts w:hint="eastAsia" w:ascii="仿宋_GB2312" w:hAnsi="仿宋" w:eastAsia="仿宋_GB2312" w:cs="宋体"/>
          <w:color w:val="333333"/>
          <w:sz w:val="32"/>
          <w:szCs w:val="32"/>
        </w:rPr>
        <w:t>项目实施过程中，按照年度计划和项目实施方案开展工作，合理安排项目资金。采用先进的管理方法、科学的劳动组织方式，合理协调建设单位内部的各项事务。</w:t>
      </w:r>
    </w:p>
    <w:p>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2、深入开展预算支出项目资金绩效评价工作，对预算项目资金实施绩效自评和项目核查。由住建局组织项目建设单位、质量监督单位、运行管理单位，组织开展工程绩效考评工作。</w:t>
      </w:r>
    </w:p>
    <w:p>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3、强化评价结果应用。通过开展绩效自评，全面分析该项目资金使用、管理和项目实施等情况，规范项目申报、审批、实施、监管、验收及资金发放等程序，对发现的问题及时改进，加强评价结果与项目资金安排的衔接。</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根据项目相关依据《巴财社【2022】121号关于提前下达2023年中央农村危房改造补助资金》下达文件制定明确的验收标准，联合行业部门进行验收，同时完善绩效管理系统，对于项目的实施，根据年度实施项目内容，设置合理的绩效指标，严格按照指向明确、具体细化和合理可行这三个标准，设定项目绩效目标，从而更有利的推动项目实施效果。</w:t>
      </w:r>
    </w:p>
    <w:p>
      <w:pPr>
        <w:pStyle w:val="4"/>
        <w:spacing w:before="0" w:after="0" w:line="240" w:lineRule="auto"/>
        <w:rPr>
          <w:rFonts w:ascii="仿宋_GB2312" w:eastAsia="仿宋_GB2312"/>
          <w:b w:val="0"/>
          <w:bCs w:val="0"/>
        </w:rPr>
      </w:pPr>
      <w:bookmarkStart w:id="20" w:name="_Toc68703844"/>
      <w:r>
        <w:rPr>
          <w:rFonts w:hint="eastAsia" w:ascii="仿宋_GB2312" w:eastAsia="仿宋_GB2312"/>
          <w:b w:val="0"/>
          <w:bCs w:val="0"/>
        </w:rPr>
        <w:t>（二）存在的问题及原因分析</w:t>
      </w:r>
      <w:bookmarkEnd w:id="20"/>
    </w:p>
    <w:p>
      <w:pPr>
        <w:pStyle w:val="21"/>
        <w:numPr>
          <w:ilvl w:val="0"/>
          <w:numId w:val="0"/>
        </w:numPr>
        <w:snapToGrid w:val="0"/>
        <w:spacing w:line="540" w:lineRule="exact"/>
        <w:ind w:firstLine="640" w:firstLineChars="200"/>
        <w:rPr>
          <w:rStyle w:val="14"/>
          <w:rFonts w:ascii="黑体" w:hAnsi="黑体" w:eastAsia="黑体"/>
          <w:b w:val="0"/>
          <w:bCs w:val="0"/>
          <w:spacing w:val="-4"/>
          <w:sz w:val="32"/>
          <w:szCs w:val="32"/>
        </w:rPr>
      </w:pPr>
      <w:bookmarkStart w:id="21" w:name="_Toc68703845"/>
      <w:r>
        <w:rPr>
          <w:rFonts w:hint="eastAsia" w:ascii="仿宋_GB2312" w:hAnsi="仿宋_GB2312" w:eastAsia="仿宋_GB2312" w:cs="仿宋_GB2312"/>
          <w:b w:val="0"/>
          <w:bCs w:val="0"/>
          <w:color w:val="auto"/>
          <w:kern w:val="2"/>
          <w:sz w:val="32"/>
          <w:szCs w:val="32"/>
          <w:highlight w:val="none"/>
          <w:lang w:val="en-US" w:eastAsia="zh-CN" w:bidi="ar-SA"/>
        </w:rPr>
        <w:t>存在的问题：对预算绩效管理</w:t>
      </w:r>
      <w:r>
        <w:rPr>
          <w:rFonts w:hint="eastAsia" w:ascii="仿宋_GB2312" w:hAnsi="仿宋_GB2312" w:eastAsia="仿宋_GB2312" w:cs="仿宋_GB2312"/>
          <w:b w:val="0"/>
          <w:bCs w:val="0"/>
          <w:color w:val="auto"/>
          <w:kern w:val="2"/>
          <w:sz w:val="32"/>
          <w:szCs w:val="32"/>
          <w:highlight w:val="none"/>
          <w:lang w:val="zh-CN" w:eastAsia="zh-CN" w:bidi="ar-SA"/>
        </w:rPr>
        <w:t>、绩效理念尚未真正贯穿于实践工作，</w:t>
      </w:r>
      <w:r>
        <w:rPr>
          <w:rFonts w:hint="eastAsia" w:ascii="仿宋_GB2312" w:hAnsi="仿宋_GB2312" w:eastAsia="仿宋_GB2312" w:cs="仿宋_GB2312"/>
          <w:b w:val="0"/>
          <w:bCs w:val="0"/>
          <w:color w:val="auto"/>
          <w:kern w:val="2"/>
          <w:sz w:val="32"/>
          <w:szCs w:val="32"/>
          <w:highlight w:val="none"/>
          <w:lang w:val="en-US" w:eastAsia="zh-CN" w:bidi="ar-SA"/>
        </w:rPr>
        <w:t>相关工作人员经验不足，绩效管理意识不高。</w:t>
      </w:r>
    </w:p>
    <w:p>
      <w:pPr>
        <w:pageBreakBefore w:val="0"/>
        <w:numPr>
          <w:ilvl w:val="0"/>
          <w:numId w:val="0"/>
        </w:numPr>
        <w:shd w:val="clear" w:color="auto" w:fill="auto"/>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原因分析：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Style w:val="3"/>
        <w:numPr>
          <w:ilvl w:val="0"/>
          <w:numId w:val="3"/>
        </w:numPr>
        <w:spacing w:before="0" w:after="0" w:line="240" w:lineRule="auto"/>
        <w:rPr>
          <w:rFonts w:hint="eastAsia" w:ascii="宋体" w:hAnsi="宋体" w:eastAsia="宋体"/>
          <w:sz w:val="32"/>
          <w:szCs w:val="32"/>
        </w:rPr>
      </w:pPr>
      <w:r>
        <w:rPr>
          <w:rFonts w:hint="eastAsia" w:ascii="宋体" w:hAnsi="宋体" w:eastAsia="宋体"/>
          <w:sz w:val="32"/>
          <w:szCs w:val="32"/>
        </w:rPr>
        <w:t>有关建议</w:t>
      </w:r>
      <w:bookmarkEnd w:id="21"/>
    </w:p>
    <w:p>
      <w:pPr>
        <w:pStyle w:val="5"/>
        <w:rPr>
          <w:rFonts w:hint="eastAsia" w:ascii="仿宋_GB2312" w:hAnsi="仿宋_GB2312" w:eastAsia="仿宋_GB2312" w:cs="仿宋_GB2312"/>
          <w:b w:val="0"/>
          <w:bCs w:val="0"/>
          <w:color w:val="auto"/>
          <w:kern w:val="2"/>
          <w:sz w:val="32"/>
          <w:szCs w:val="32"/>
          <w:highlight w:val="none"/>
          <w:lang w:val="en-US" w:eastAsia="zh-CN" w:bidi="ar-SA"/>
        </w:rPr>
      </w:pPr>
      <w:bookmarkStart w:id="22" w:name="_Toc70450320"/>
      <w:r>
        <w:rPr>
          <w:rFonts w:hint="eastAsia" w:ascii="仿宋_GB2312" w:hAnsi="仿宋_GB2312" w:eastAsia="仿宋_GB2312" w:cs="仿宋_GB2312"/>
          <w:b w:val="0"/>
          <w:bCs w:val="0"/>
          <w:color w:val="auto"/>
          <w:kern w:val="2"/>
          <w:sz w:val="32"/>
          <w:szCs w:val="32"/>
          <w:highlight w:val="none"/>
          <w:lang w:val="en-US" w:eastAsia="zh-CN" w:bidi="ar-SA"/>
        </w:rPr>
        <w:t>1、多进行有关绩效管理工作方面的培训，积极组织第三方开展绩效管理工作培训，进一步夯实业务基础，提高我单位绩效人员水平。</w:t>
      </w:r>
    </w:p>
    <w:p>
      <w:pPr>
        <w:pStyle w:val="5"/>
        <w:rPr>
          <w:rFonts w:hint="default"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2、进一步强化单位各部门绩效管理理念，将被动认识转化为主动实践，完善制度，切实加强组织领导，深入推进评价工作，提升单位整体绩效管理水平。</w:t>
      </w:r>
    </w:p>
    <w:bookmarkEnd w:id="22"/>
    <w:p>
      <w:pPr>
        <w:pStyle w:val="5"/>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cs="仿宋_GB2312"/>
          <w:b w:val="0"/>
          <w:bCs w:val="0"/>
          <w:color w:val="auto"/>
          <w:kern w:val="2"/>
          <w:sz w:val="32"/>
          <w:szCs w:val="32"/>
          <w:highlight w:val="none"/>
          <w:lang w:val="en-US" w:eastAsia="zh-CN" w:bidi="ar-SA"/>
        </w:rPr>
        <w:t>3</w:t>
      </w:r>
      <w:r>
        <w:rPr>
          <w:rFonts w:hint="eastAsia" w:ascii="仿宋_GB2312" w:hAnsi="仿宋_GB2312" w:eastAsia="仿宋_GB2312" w:cs="仿宋_GB2312"/>
          <w:b w:val="0"/>
          <w:bCs w:val="0"/>
          <w:color w:val="auto"/>
          <w:kern w:val="2"/>
          <w:sz w:val="32"/>
          <w:szCs w:val="32"/>
          <w:highlight w:val="none"/>
          <w:lang w:val="en-US" w:eastAsia="zh-CN" w:bidi="ar-SA"/>
        </w:rP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numPr>
          <w:ilvl w:val="0"/>
          <w:numId w:val="0"/>
        </w:numPr>
        <w:rPr>
          <w:rFonts w:hint="default" w:eastAsia="仿宋_GB2312"/>
          <w:lang w:val="en-US" w:eastAsia="zh-CN"/>
        </w:rPr>
      </w:pPr>
    </w:p>
    <w:p>
      <w:pPr>
        <w:pStyle w:val="3"/>
        <w:spacing w:before="0" w:after="0" w:line="240" w:lineRule="auto"/>
        <w:rPr>
          <w:rFonts w:ascii="宋体" w:hAnsi="宋体" w:eastAsia="宋体"/>
          <w:sz w:val="32"/>
          <w:szCs w:val="32"/>
        </w:rPr>
      </w:pPr>
      <w:bookmarkStart w:id="23" w:name="_Toc68703846"/>
      <w:r>
        <w:rPr>
          <w:rFonts w:hint="eastAsia" w:ascii="宋体" w:hAnsi="宋体" w:eastAsia="宋体"/>
          <w:sz w:val="32"/>
          <w:szCs w:val="32"/>
        </w:rPr>
        <w:t>七、其他需要说明的问题</w:t>
      </w:r>
      <w:bookmarkEnd w:id="23"/>
    </w:p>
    <w:p>
      <w:pPr>
        <w:spacing w:line="560" w:lineRule="exact"/>
        <w:ind w:firstLine="640" w:firstLineChars="20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rPr>
        <w:t>本次预算绩效评价所采集的数据因为采集时间、数据来源等诸多因素的影响，可能会出现一定的偏差，进而对评价结果存在影响。</w:t>
      </w:r>
    </w:p>
    <w:p>
      <w:pPr>
        <w:spacing w:line="360" w:lineRule="auto"/>
      </w:pPr>
    </w:p>
    <w:p/>
    <w:p>
      <w:pPr>
        <w:pStyle w:val="2"/>
      </w:pPr>
    </w:p>
    <w:p/>
    <w:p>
      <w:pPr>
        <w:pStyle w:val="2"/>
      </w:pPr>
    </w:p>
    <w:p>
      <w:pPr>
        <w:pStyle w:val="2"/>
      </w:pPr>
    </w:p>
    <w:p/>
    <w:p>
      <w:pPr>
        <w:pStyle w:val="2"/>
      </w:pPr>
    </w:p>
    <w:p/>
    <w:p>
      <w:pPr>
        <w:pStyle w:val="2"/>
      </w:pPr>
    </w:p>
    <w:p/>
    <w:p/>
    <w:p>
      <w:pPr>
        <w:pStyle w:val="2"/>
      </w:pPr>
    </w:p>
    <w:p/>
    <w:p>
      <w:pPr>
        <w:spacing w:line="360" w:lineRule="auto"/>
      </w:pPr>
      <w:r>
        <w:rPr>
          <w:rFonts w:hint="eastAsia"/>
        </w:rPr>
        <w:t>2、评价指标体系（附表说明）</w:t>
      </w:r>
    </w:p>
    <w:p>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中央财政城镇保障性安居工程老旧小区改造项目支出绩效评价指标体系</w:t>
      </w:r>
    </w:p>
    <w:tbl>
      <w:tblPr>
        <w:tblStyle w:val="12"/>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center"/>
          </w:tcPr>
          <w:p>
            <w:pPr>
              <w:widowControl/>
              <w:spacing w:line="0" w:lineRule="atLeast"/>
              <w:jc w:val="center"/>
              <w:rPr>
                <w:rFonts w:hint="eastAsia"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5</w:t>
            </w:r>
          </w:p>
        </w:tc>
        <w:tc>
          <w:tcPr>
            <w:tcW w:w="874" w:type="dxa"/>
            <w:tcBorders>
              <w:bottom w:val="single" w:color="auto" w:sz="4" w:space="0"/>
            </w:tcBorders>
            <w:shd w:val="clear" w:color="auto" w:fill="FFFFFF"/>
            <w:vAlign w:val="center"/>
          </w:tcPr>
          <w:p>
            <w:pPr>
              <w:widowControl/>
              <w:spacing w:line="0" w:lineRule="atLeast"/>
              <w:jc w:val="center"/>
              <w:rPr>
                <w:rFonts w:hint="eastAsia"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center"/>
          </w:tcPr>
          <w:p>
            <w:pPr>
              <w:widowControl/>
              <w:spacing w:line="0" w:lineRule="atLeast"/>
              <w:jc w:val="center"/>
              <w:rPr>
                <w:rFonts w:hint="eastAsia"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5</w:t>
            </w:r>
          </w:p>
        </w:tc>
        <w:tc>
          <w:tcPr>
            <w:tcW w:w="874" w:type="dxa"/>
            <w:shd w:val="clear" w:color="auto" w:fill="FFFFFF"/>
            <w:vAlign w:val="center"/>
          </w:tcPr>
          <w:p>
            <w:pPr>
              <w:widowControl/>
              <w:spacing w:line="0" w:lineRule="atLeast"/>
              <w:jc w:val="center"/>
              <w:rPr>
                <w:rFonts w:hint="eastAsia"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center"/>
          </w:tcPr>
          <w:p>
            <w:pPr>
              <w:widowControl/>
              <w:spacing w:line="0" w:lineRule="atLeast"/>
              <w:jc w:val="center"/>
              <w:rPr>
                <w:rFonts w:hint="default"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2.5</w:t>
            </w:r>
          </w:p>
        </w:tc>
        <w:tc>
          <w:tcPr>
            <w:tcW w:w="874" w:type="dxa"/>
            <w:shd w:val="clear" w:color="000000" w:fill="FFFFFF"/>
            <w:vAlign w:val="center"/>
          </w:tcPr>
          <w:p>
            <w:pPr>
              <w:widowControl/>
              <w:spacing w:line="0" w:lineRule="atLeast"/>
              <w:jc w:val="center"/>
              <w:rPr>
                <w:rFonts w:hint="default"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center"/>
          </w:tcPr>
          <w:p>
            <w:pPr>
              <w:widowControl/>
              <w:spacing w:line="0" w:lineRule="atLeast"/>
              <w:jc w:val="center"/>
              <w:rPr>
                <w:rFonts w:hint="default"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2.5</w:t>
            </w:r>
          </w:p>
        </w:tc>
        <w:tc>
          <w:tcPr>
            <w:tcW w:w="874" w:type="dxa"/>
            <w:tcBorders>
              <w:bottom w:val="single" w:color="auto" w:sz="4" w:space="0"/>
            </w:tcBorders>
            <w:shd w:val="clear" w:color="000000" w:fill="FFFFFF"/>
            <w:vAlign w:val="center"/>
          </w:tcPr>
          <w:p>
            <w:pPr>
              <w:widowControl/>
              <w:spacing w:line="0" w:lineRule="atLeast"/>
              <w:jc w:val="center"/>
              <w:rPr>
                <w:rFonts w:hint="default"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2.5</w:t>
            </w:r>
          </w:p>
        </w:tc>
        <w:tc>
          <w:tcPr>
            <w:tcW w:w="874" w:type="dxa"/>
            <w:tcBorders>
              <w:bottom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2.5</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center"/>
          </w:tcPr>
          <w:p>
            <w:pPr>
              <w:widowControl/>
              <w:spacing w:line="0" w:lineRule="atLeast"/>
              <w:jc w:val="center"/>
              <w:rPr>
                <w:rFonts w:hint="eastAsia"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4</w:t>
            </w:r>
          </w:p>
        </w:tc>
        <w:tc>
          <w:tcPr>
            <w:tcW w:w="874" w:type="dxa"/>
            <w:tcBorders>
              <w:bottom w:val="single" w:color="auto" w:sz="4" w:space="0"/>
            </w:tcBorders>
            <w:shd w:val="clear" w:color="000000" w:fill="FFFFFF"/>
            <w:vAlign w:val="center"/>
          </w:tcPr>
          <w:p>
            <w:pPr>
              <w:widowControl/>
              <w:spacing w:line="0" w:lineRule="atLeast"/>
              <w:jc w:val="center"/>
              <w:rPr>
                <w:rFonts w:hint="eastAsia"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center"/>
          </w:tcPr>
          <w:p>
            <w:pPr>
              <w:widowControl/>
              <w:spacing w:line="0" w:lineRule="atLeast"/>
              <w:jc w:val="center"/>
              <w:rPr>
                <w:rFonts w:hint="eastAsia"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4</w:t>
            </w:r>
          </w:p>
        </w:tc>
        <w:tc>
          <w:tcPr>
            <w:tcW w:w="874" w:type="dxa"/>
            <w:tcBorders>
              <w:bottom w:val="single" w:color="auto" w:sz="4" w:space="0"/>
            </w:tcBorders>
            <w:shd w:val="clear" w:color="auto" w:fill="FFFFFF"/>
            <w:vAlign w:val="center"/>
          </w:tcPr>
          <w:p>
            <w:pPr>
              <w:widowControl/>
              <w:spacing w:line="0" w:lineRule="atLeast"/>
              <w:jc w:val="center"/>
              <w:rPr>
                <w:rFonts w:hint="eastAsia"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center"/>
          </w:tcPr>
          <w:p>
            <w:pPr>
              <w:widowControl/>
              <w:spacing w:line="0" w:lineRule="atLeast"/>
              <w:jc w:val="center"/>
              <w:rPr>
                <w:rFonts w:hint="eastAsia"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4</w:t>
            </w:r>
          </w:p>
        </w:tc>
        <w:tc>
          <w:tcPr>
            <w:tcW w:w="874" w:type="dxa"/>
            <w:tcBorders>
              <w:bottom w:val="single" w:color="auto" w:sz="4" w:space="0"/>
            </w:tcBorders>
            <w:shd w:val="clear" w:color="000000" w:fill="FFFFFF"/>
            <w:vAlign w:val="center"/>
          </w:tcPr>
          <w:p>
            <w:pPr>
              <w:widowControl/>
              <w:spacing w:line="0" w:lineRule="atLeast"/>
              <w:jc w:val="center"/>
              <w:rPr>
                <w:rFonts w:hint="eastAsia"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center"/>
          </w:tcPr>
          <w:p>
            <w:pPr>
              <w:widowControl/>
              <w:spacing w:line="0" w:lineRule="atLeast"/>
              <w:jc w:val="center"/>
              <w:rPr>
                <w:rFonts w:hint="eastAsia"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ascii="宋体" w:hAnsi="宋体" w:cs="宋体"/>
                <w:color w:val="000000"/>
                <w:kern w:val="0"/>
                <w:sz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center"/>
          </w:tcPr>
          <w:p>
            <w:pPr>
              <w:widowControl/>
              <w:spacing w:line="0" w:lineRule="atLeast"/>
              <w:jc w:val="center"/>
              <w:rPr>
                <w:rFonts w:hint="eastAsia"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4</w:t>
            </w:r>
          </w:p>
        </w:tc>
        <w:tc>
          <w:tcPr>
            <w:tcW w:w="874" w:type="dxa"/>
            <w:tcBorders>
              <w:bottom w:val="single" w:color="auto" w:sz="4" w:space="0"/>
            </w:tcBorders>
            <w:shd w:val="clear" w:color="000000" w:fill="FFFFFF"/>
            <w:vAlign w:val="center"/>
          </w:tcPr>
          <w:p>
            <w:pPr>
              <w:widowControl/>
              <w:spacing w:line="0" w:lineRule="atLeast"/>
              <w:jc w:val="center"/>
              <w:rPr>
                <w:rFonts w:hint="eastAsia"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center"/>
          </w:tcPr>
          <w:p>
            <w:pPr>
              <w:widowControl/>
              <w:spacing w:line="0" w:lineRule="atLeast"/>
              <w:jc w:val="center"/>
              <w:rPr>
                <w:rFonts w:hint="default"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10</w:t>
            </w:r>
          </w:p>
        </w:tc>
        <w:tc>
          <w:tcPr>
            <w:tcW w:w="874" w:type="dxa"/>
            <w:shd w:val="clear" w:color="000000" w:fill="FFFFFF"/>
            <w:vAlign w:val="center"/>
          </w:tcPr>
          <w:p>
            <w:pPr>
              <w:widowControl/>
              <w:spacing w:line="0" w:lineRule="atLeast"/>
              <w:jc w:val="center"/>
              <w:rPr>
                <w:rFonts w:hint="default"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center"/>
          </w:tcPr>
          <w:p>
            <w:pPr>
              <w:widowControl/>
              <w:spacing w:line="0" w:lineRule="atLeast"/>
              <w:jc w:val="center"/>
              <w:rPr>
                <w:rFonts w:hint="default"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10</w:t>
            </w:r>
          </w:p>
        </w:tc>
        <w:tc>
          <w:tcPr>
            <w:tcW w:w="874" w:type="dxa"/>
            <w:shd w:val="clear" w:color="000000" w:fill="FFFFFF"/>
            <w:vAlign w:val="center"/>
          </w:tcPr>
          <w:p>
            <w:pPr>
              <w:widowControl/>
              <w:spacing w:line="0" w:lineRule="atLeast"/>
              <w:jc w:val="center"/>
              <w:rPr>
                <w:rFonts w:hint="default"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center"/>
          </w:tcPr>
          <w:p>
            <w:pPr>
              <w:widowControl/>
              <w:spacing w:line="0" w:lineRule="atLeast"/>
              <w:jc w:val="center"/>
              <w:rPr>
                <w:rFonts w:hint="default"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10</w:t>
            </w:r>
          </w:p>
        </w:tc>
        <w:tc>
          <w:tcPr>
            <w:tcW w:w="874" w:type="dxa"/>
            <w:shd w:val="clear" w:color="000000" w:fill="FFFFFF"/>
            <w:vAlign w:val="center"/>
          </w:tcPr>
          <w:p>
            <w:pPr>
              <w:widowControl/>
              <w:spacing w:line="0" w:lineRule="atLeast"/>
              <w:jc w:val="center"/>
              <w:rPr>
                <w:rFonts w:hint="default"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10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15</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center"/>
          </w:tcPr>
          <w:p>
            <w:pPr>
              <w:widowControl/>
              <w:spacing w:line="0" w:lineRule="atLeast"/>
              <w:jc w:val="center"/>
              <w:rPr>
                <w:rFonts w:hint="eastAsia"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5</w:t>
            </w:r>
          </w:p>
        </w:tc>
        <w:tc>
          <w:tcPr>
            <w:tcW w:w="874" w:type="dxa"/>
            <w:shd w:val="clear" w:color="000000" w:fill="FFFFFF"/>
            <w:vAlign w:val="center"/>
          </w:tcPr>
          <w:p>
            <w:pPr>
              <w:widowControl/>
              <w:spacing w:line="0" w:lineRule="atLeast"/>
              <w:jc w:val="center"/>
              <w:rPr>
                <w:rFonts w:hint="eastAsia" w:ascii="宋体" w:hAnsi="宋体" w:eastAsia="仿宋_GB2312" w:cs="宋体"/>
                <w:color w:val="000000"/>
                <w:kern w:val="0"/>
                <w:sz w:val="22"/>
                <w:szCs w:val="24"/>
                <w:lang w:val="en-US" w:eastAsia="zh-CN" w:bidi="ar-SA"/>
              </w:rPr>
            </w:pPr>
            <w:r>
              <w:rPr>
                <w:rFonts w:hint="eastAsia" w:ascii="宋体" w:hAnsi="宋体" w:cs="宋体"/>
                <w:color w:val="000000"/>
                <w:kern w:val="0"/>
                <w:sz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pStyle w:val="2"/>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00B7B0"/>
    <w:multiLevelType w:val="singleLevel"/>
    <w:tmpl w:val="CD00B7B0"/>
    <w:lvl w:ilvl="0" w:tentative="0">
      <w:start w:val="6"/>
      <w:numFmt w:val="chineseCounting"/>
      <w:suff w:val="nothing"/>
      <w:lvlText w:val="%1、"/>
      <w:lvlJc w:val="left"/>
      <w:rPr>
        <w:rFonts w:hint="eastAsia"/>
      </w:rPr>
    </w:lvl>
  </w:abstractNum>
  <w:abstractNum w:abstractNumId="1">
    <w:nsid w:val="5A6A5550"/>
    <w:multiLevelType w:val="singleLevel"/>
    <w:tmpl w:val="5A6A5550"/>
    <w:lvl w:ilvl="0" w:tentative="0">
      <w:start w:val="4"/>
      <w:numFmt w:val="chineseCounting"/>
      <w:suff w:val="nothing"/>
      <w:lvlText w:val="（%1）"/>
      <w:lvlJc w:val="left"/>
      <w:rPr>
        <w:rFonts w:hint="eastAsia"/>
      </w:rPr>
    </w:lvl>
  </w:abstractNum>
  <w:abstractNum w:abstractNumId="2">
    <w:nsid w:val="7DBDAE9B"/>
    <w:multiLevelType w:val="singleLevel"/>
    <w:tmpl w:val="7DBDAE9B"/>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yMzE1ZjY1NjZjNzJiY2VkMjc2ZTRkYWY4ODk3YmQ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47563BF"/>
    <w:rsid w:val="048577E0"/>
    <w:rsid w:val="05832D5D"/>
    <w:rsid w:val="0F24110D"/>
    <w:rsid w:val="0F701C56"/>
    <w:rsid w:val="106317C1"/>
    <w:rsid w:val="15DA37C6"/>
    <w:rsid w:val="19434886"/>
    <w:rsid w:val="1FF1076A"/>
    <w:rsid w:val="203E51B8"/>
    <w:rsid w:val="216B2BCB"/>
    <w:rsid w:val="232C21A2"/>
    <w:rsid w:val="23401DA2"/>
    <w:rsid w:val="2732278A"/>
    <w:rsid w:val="28C359C4"/>
    <w:rsid w:val="28C57065"/>
    <w:rsid w:val="2D426ED6"/>
    <w:rsid w:val="31853836"/>
    <w:rsid w:val="32562ADC"/>
    <w:rsid w:val="384D2BD3"/>
    <w:rsid w:val="3C266978"/>
    <w:rsid w:val="3F3020FF"/>
    <w:rsid w:val="428A04DD"/>
    <w:rsid w:val="46725FCA"/>
    <w:rsid w:val="49EC7A83"/>
    <w:rsid w:val="4D774ACC"/>
    <w:rsid w:val="4F622668"/>
    <w:rsid w:val="512D6CA6"/>
    <w:rsid w:val="53223843"/>
    <w:rsid w:val="56433D12"/>
    <w:rsid w:val="58CD3C9E"/>
    <w:rsid w:val="598C25E6"/>
    <w:rsid w:val="60822B6A"/>
    <w:rsid w:val="622575EA"/>
    <w:rsid w:val="63146DF7"/>
    <w:rsid w:val="667070E2"/>
    <w:rsid w:val="668D04BB"/>
    <w:rsid w:val="6CD97FB6"/>
    <w:rsid w:val="6DC13AA4"/>
    <w:rsid w:val="706978A3"/>
    <w:rsid w:val="744F5002"/>
    <w:rsid w:val="74980757"/>
    <w:rsid w:val="760F3C50"/>
    <w:rsid w:val="76342701"/>
    <w:rsid w:val="77B96808"/>
    <w:rsid w:val="7A561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footer"/>
    <w:basedOn w:val="1"/>
    <w:link w:val="20"/>
    <w:unhideWhenUsed/>
    <w:uiPriority w:val="99"/>
    <w:pPr>
      <w:tabs>
        <w:tab w:val="center" w:pos="4153"/>
        <w:tab w:val="right" w:pos="8306"/>
      </w:tabs>
      <w:snapToGrid w:val="0"/>
      <w:jc w:val="left"/>
    </w:pPr>
    <w:rPr>
      <w:sz w:val="18"/>
      <w:szCs w:val="18"/>
    </w:rPr>
  </w:style>
  <w:style w:type="paragraph" w:styleId="7">
    <w:name w:val="header"/>
    <w:basedOn w:val="1"/>
    <w:link w:val="1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autoRedefine/>
    <w:unhideWhenUsed/>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4">
    <w:name w:val="Strong"/>
    <w:basedOn w:val="13"/>
    <w:qFormat/>
    <w:uiPriority w:val="0"/>
    <w:rPr>
      <w:b/>
      <w:bCs/>
    </w:rPr>
  </w:style>
  <w:style w:type="character" w:styleId="15">
    <w:name w:val="Hyperlink"/>
    <w:basedOn w:val="13"/>
    <w:autoRedefine/>
    <w:unhideWhenUsed/>
    <w:qFormat/>
    <w:uiPriority w:val="99"/>
    <w:rPr>
      <w:color w:val="0563C1" w:themeColor="hyperlink"/>
      <w:u w:val="single"/>
      <w14:textFill>
        <w14:solidFill>
          <w14:schemeClr w14:val="hlink"/>
        </w14:solidFill>
      </w14:textFill>
    </w:rPr>
  </w:style>
  <w:style w:type="character" w:customStyle="1" w:styleId="16">
    <w:name w:val="标题 1 字符"/>
    <w:basedOn w:val="13"/>
    <w:link w:val="3"/>
    <w:autoRedefine/>
    <w:qFormat/>
    <w:uiPriority w:val="9"/>
    <w:rPr>
      <w:rFonts w:ascii="Times New Roman" w:hAnsi="Times New Roman" w:eastAsia="仿宋_GB2312" w:cs="Times New Roman"/>
      <w:b/>
      <w:bCs/>
      <w:kern w:val="44"/>
      <w:sz w:val="44"/>
      <w:szCs w:val="44"/>
    </w:rPr>
  </w:style>
  <w:style w:type="character" w:customStyle="1" w:styleId="17">
    <w:name w:val="标题 2 字符"/>
    <w:basedOn w:val="13"/>
    <w:link w:val="4"/>
    <w:autoRedefine/>
    <w:qFormat/>
    <w:uiPriority w:val="9"/>
    <w:rPr>
      <w:rFonts w:asciiTheme="majorHAnsi" w:hAnsiTheme="majorHAnsi" w:eastAsiaTheme="majorEastAsia" w:cstheme="majorBidi"/>
      <w:b/>
      <w:bCs/>
      <w:sz w:val="32"/>
      <w:szCs w:val="32"/>
    </w:rPr>
  </w:style>
  <w:style w:type="paragraph" w:customStyle="1" w:styleId="18">
    <w:name w:val="TOC Heading"/>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字符"/>
    <w:basedOn w:val="13"/>
    <w:link w:val="7"/>
    <w:autoRedefine/>
    <w:qFormat/>
    <w:uiPriority w:val="99"/>
    <w:rPr>
      <w:rFonts w:ascii="Times New Roman" w:hAnsi="Times New Roman" w:eastAsia="仿宋_GB2312" w:cs="Times New Roman"/>
      <w:sz w:val="18"/>
      <w:szCs w:val="18"/>
    </w:rPr>
  </w:style>
  <w:style w:type="character" w:customStyle="1" w:styleId="20">
    <w:name w:val="页脚 字符"/>
    <w:basedOn w:val="13"/>
    <w:link w:val="6"/>
    <w:autoRedefine/>
    <w:qFormat/>
    <w:uiPriority w:val="99"/>
    <w:rPr>
      <w:rFonts w:ascii="Times New Roman" w:hAnsi="Times New Roman" w:eastAsia="仿宋_GB2312" w:cs="Times New Roman"/>
      <w:sz w:val="18"/>
      <w:szCs w:val="18"/>
    </w:rPr>
  </w:style>
  <w:style w:type="paragraph" w:styleId="21">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0</TotalTime>
  <ScaleCrop>false</ScaleCrop>
  <LinksUpToDate>false</LinksUpToDate>
  <CharactersWithSpaces>7342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如烟い</cp:lastModifiedBy>
  <dcterms:modified xsi:type="dcterms:W3CDTF">2024-05-14T11:48:29Z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C10A60A6D9144BF185A63F71A217C929_12</vt:lpwstr>
  </property>
</Properties>
</file>