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bookmarkStart w:id="22" w:name="_GoBack"/>
      <w:bookmarkEnd w:id="22"/>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新疆人才发展基金第一批重大人才计划项目资金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焉耆回族自治县人民医院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 xml:space="preserve">焉耆县卫生健康委员会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刘翠萍</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color w:val="FF000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pPr>
      <w:r>
        <w:rPr>
          <w:rFonts w:hint="eastAsia" w:ascii="仿宋_GB2312"/>
        </w:rPr>
        <w:t>项目背景</w:t>
      </w:r>
    </w:p>
    <w:p>
      <w:pPr>
        <w:numPr>
          <w:ilvl w:val="0"/>
          <w:numId w:val="0"/>
        </w:numPr>
        <w:spacing w:line="360" w:lineRule="auto"/>
        <w:ind w:firstLine="600" w:firstLineChars="200"/>
        <w:rPr>
          <w:rFonts w:hint="eastAsia" w:ascii="仿宋_GB2312"/>
        </w:rPr>
      </w:pPr>
      <w:r>
        <w:rPr>
          <w:rFonts w:hint="eastAsia" w:ascii="仿宋_GB2312" w:hAnsi="Times New Roman" w:cs="Times New Roman"/>
          <w:lang w:val="en-US" w:eastAsia="zh-CN"/>
        </w:rPr>
        <w:t>根据巴财行〔2023〕5号，安排焉耆县人民医院县级公立医院2023年新疆人才发展基金第一批重大人才计划项目资金补助100万元，该项目资金用于主要用于建设专家（胸痛、胃肠肿瘤筛查）工作站、援疆人才培训、援疆专家下乡坐诊、津贴、生活费、住宿费等、临床教学模型。加快医疗服务与保障能力建设，加快公立医院改革步伐，促进医院全面良性发展。</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FF0000"/>
        </w:rPr>
      </w:pPr>
      <w:r>
        <w:rPr>
          <w:rFonts w:hint="eastAsia" w:ascii="仿宋_GB2312"/>
        </w:rPr>
        <w:t>主要内容：</w:t>
      </w:r>
      <w:r>
        <w:rPr>
          <w:rFonts w:hint="eastAsia" w:eastAsia="仿宋_GB2312" w:cs="宋体" w:asciiTheme="minorHAnsi" w:hAnsiTheme="minorHAnsi"/>
          <w:color w:val="333333"/>
          <w:sz w:val="30"/>
          <w:szCs w:val="30"/>
          <w:lang w:val="en-US" w:eastAsia="zh-CN"/>
        </w:rPr>
        <w:t>有效提升医疗服务质量，促进医务人员积极开展新项目，同时提高医院经济效益和社会效益。</w:t>
      </w:r>
    </w:p>
    <w:p>
      <w:pPr>
        <w:spacing w:line="600" w:lineRule="exact"/>
        <w:ind w:firstLine="600" w:firstLineChars="200"/>
        <w:jc w:val="both"/>
        <w:rPr>
          <w:rFonts w:ascii="仿宋_GB2312"/>
          <w:color w:val="FF0000"/>
        </w:rPr>
      </w:pPr>
      <w:r>
        <w:rPr>
          <w:rFonts w:hint="eastAsia" w:ascii="仿宋_GB2312"/>
        </w:rPr>
        <w:t>实施情况：</w:t>
      </w:r>
      <w:r>
        <w:rPr>
          <w:rFonts w:hint="eastAsia" w:ascii="仿宋_GB2312" w:hAnsi="Times New Roman" w:cs="Times New Roman"/>
          <w:lang w:val="en-US" w:eastAsia="zh-CN"/>
        </w:rPr>
        <w:t>建设专家（胸痛、胃肠肿瘤筛查）工作站、援疆人才培训、援疆专家下乡坐诊、津贴、生活费、住宿费等、临床教学模型。设备全部走政府采购程序，设备质量及设备验收达到合格标准，设备利用率100%，医疗服务水平和人民群众身体健康指数明显提升。</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color w:val="FF0000"/>
        </w:rPr>
      </w:pPr>
      <w:r>
        <w:rPr>
          <w:rFonts w:hint="eastAsia"/>
        </w:rPr>
        <w:t>资金投入情况：</w:t>
      </w:r>
      <w:r>
        <w:rPr>
          <w:rFonts w:hint="eastAsia" w:ascii="仿宋_GB2312" w:hAnsi="Times New Roman" w:cs="Times New Roman"/>
          <w:lang w:val="en-US" w:eastAsia="zh-CN"/>
        </w:rPr>
        <w:t>该项目年初预算数100万元，全年预算数100万元，实际总投入100万元，该项目资金已全部落实到位，资金来源为中央转移支付资金</w:t>
      </w:r>
      <w:r>
        <w:rPr>
          <w:rFonts w:hint="eastAsia"/>
          <w:color w:val="auto"/>
        </w:rPr>
        <w:t>。</w:t>
      </w:r>
    </w:p>
    <w:p>
      <w:pPr>
        <w:spacing w:line="360" w:lineRule="auto"/>
        <w:ind w:firstLine="600" w:firstLineChars="200"/>
        <w:rPr>
          <w:rFonts w:hint="eastAsia" w:ascii="Times New Roman" w:hAnsi="Times New Roman" w:cs="Times New Roman"/>
        </w:rPr>
      </w:pPr>
      <w:r>
        <w:rPr>
          <w:rFonts w:hint="eastAsia"/>
        </w:rPr>
        <w:t>资金使用情况：</w:t>
      </w:r>
      <w:r>
        <w:rPr>
          <w:rFonts w:hint="eastAsia" w:ascii="Times New Roman" w:hAnsi="Times New Roman" w:cs="Times New Roman"/>
        </w:rPr>
        <w:t>该项目年初预算数</w:t>
      </w:r>
      <w:r>
        <w:rPr>
          <w:rFonts w:hint="eastAsia" w:ascii="Times New Roman" w:hAnsi="Times New Roman" w:cs="Times New Roman"/>
          <w:lang w:val="en-US" w:eastAsia="zh-CN"/>
        </w:rPr>
        <w:t>100</w:t>
      </w:r>
      <w:r>
        <w:rPr>
          <w:rFonts w:hint="eastAsia" w:ascii="Times New Roman" w:hAnsi="Times New Roman" w:cs="Times New Roman"/>
        </w:rPr>
        <w:t>万元，全年预算数</w:t>
      </w:r>
      <w:r>
        <w:rPr>
          <w:rFonts w:hint="eastAsia" w:ascii="Times New Roman" w:hAnsi="Times New Roman" w:cs="Times New Roman"/>
          <w:lang w:val="en-US" w:eastAsia="zh-CN"/>
        </w:rPr>
        <w:t>100</w:t>
      </w:r>
      <w:r>
        <w:rPr>
          <w:rFonts w:hint="eastAsia" w:ascii="Times New Roman" w:hAnsi="Times New Roman" w:cs="Times New Roman"/>
        </w:rPr>
        <w:t>万元，全年执行数</w:t>
      </w:r>
      <w:r>
        <w:rPr>
          <w:rFonts w:hint="eastAsia" w:ascii="Times New Roman" w:hAnsi="Times New Roman" w:cs="Times New Roman"/>
          <w:lang w:val="en-US" w:eastAsia="zh-CN"/>
        </w:rPr>
        <w:t>100</w:t>
      </w:r>
      <w:r>
        <w:rPr>
          <w:rFonts w:hint="eastAsia" w:ascii="Times New Roman" w:hAnsi="Times New Roman" w:cs="Times New Roman"/>
        </w:rPr>
        <w:t>万元，预算执行率为</w:t>
      </w:r>
      <w:r>
        <w:rPr>
          <w:rFonts w:hint="eastAsia" w:ascii="Times New Roman" w:hAnsi="Times New Roman" w:cs="Times New Roman"/>
          <w:lang w:val="en-US" w:eastAsia="zh-CN"/>
        </w:rPr>
        <w:t>100</w:t>
      </w:r>
      <w:r>
        <w:rPr>
          <w:rFonts w:hint="eastAsia" w:ascii="Times New Roman" w:hAnsi="Times New Roman" w:cs="Times New Roman"/>
        </w:rPr>
        <w:t>%，用于：</w:t>
      </w:r>
      <w:r>
        <w:rPr>
          <w:rFonts w:hint="eastAsia" w:ascii="Times New Roman" w:hAnsi="Times New Roman" w:cs="Times New Roman"/>
          <w:lang w:val="en-US" w:eastAsia="zh-CN"/>
        </w:rPr>
        <w:t>人才发展基金重大人才计划项目资金执行金额100</w:t>
      </w:r>
      <w:r>
        <w:rPr>
          <w:rFonts w:hint="eastAsia" w:ascii="Times New Roman" w:hAnsi="Times New Roman" w:cs="Times New Roman"/>
        </w:rPr>
        <w:t>万元。</w:t>
      </w:r>
    </w:p>
    <w:p>
      <w:pPr>
        <w:pStyle w:val="4"/>
        <w:spacing w:line="360" w:lineRule="auto"/>
        <w:ind w:firstLine="640" w:firstLineChars="200"/>
        <w:rPr>
          <w:color w:val="FF000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w:t>
      </w:r>
    </w:p>
    <w:p>
      <w:pPr>
        <w:spacing w:line="360" w:lineRule="auto"/>
        <w:ind w:firstLine="600" w:firstLineChars="200"/>
      </w:pPr>
      <w:r>
        <w:rPr>
          <w:rFonts w:hint="eastAsia"/>
          <w:lang w:val="en-US" w:eastAsia="zh-CN"/>
        </w:rPr>
        <w:t>聚焦服务新疆经济社会高质量发展，用好用活对口援疆人才智力资源，拓展“组团式”支援领域，推动医疗人才“组团式”援疆工作提质增效、拓展延伸，整体提升受援地医疗服务水平；在重点领域柔性引进一批“小组团”援疆团队和援疆专家人才，承担重大科研项目、关键核心技术、产业发展难题攻坚任务；选派一批新疆骨干人才赴中央和国家机关、中央企业、援疆省市研修学习，为我县培养一支留得住、素质高、能攻关的人才队伍。</w:t>
      </w:r>
    </w:p>
    <w:p>
      <w:pPr>
        <w:spacing w:line="360" w:lineRule="auto"/>
        <w:ind w:firstLine="600" w:firstLineChars="200"/>
        <w:rPr>
          <w:rFonts w:hint="eastAsia"/>
        </w:rPr>
      </w:pPr>
      <w:r>
        <w:t>2</w:t>
      </w:r>
      <w:r>
        <w:rPr>
          <w:rFonts w:hint="eastAsia"/>
        </w:rPr>
        <w:t>、阶段性目标：</w:t>
      </w:r>
    </w:p>
    <w:p>
      <w:pPr>
        <w:spacing w:line="360" w:lineRule="auto"/>
        <w:ind w:firstLine="600" w:firstLineChars="200"/>
        <w:rPr>
          <w:rFonts w:hint="eastAsia"/>
          <w:highlight w:val="yellow"/>
          <w:lang w:val="en-US" w:eastAsia="zh-CN"/>
        </w:rPr>
      </w:pPr>
      <w:r>
        <w:rPr>
          <w:rFonts w:hint="eastAsia"/>
          <w:highlight w:val="none"/>
          <w:lang w:val="en-US" w:eastAsia="zh-CN"/>
        </w:rPr>
        <w:t>第一阶段：建立专家工作站，用好</w:t>
      </w:r>
      <w:r>
        <w:rPr>
          <w:rFonts w:hint="eastAsia"/>
          <w:lang w:val="en-US" w:eastAsia="zh-CN"/>
        </w:rPr>
        <w:t>用活对口援疆人才智力资源，拓展“组团式”支援领域，推动医疗人才“组团式”援疆工作提质增效、拓展延伸，整体提升受援地医疗服务水平</w:t>
      </w:r>
    </w:p>
    <w:p>
      <w:pPr>
        <w:spacing w:line="360" w:lineRule="auto"/>
        <w:ind w:firstLine="600" w:firstLineChars="200"/>
        <w:rPr>
          <w:rFonts w:hint="eastAsia" w:eastAsia="仿宋_GB2312" w:cs="宋体" w:asciiTheme="minorHAnsi" w:hAnsiTheme="minorHAnsi"/>
          <w:color w:val="333333"/>
          <w:kern w:val="2"/>
          <w:sz w:val="30"/>
          <w:szCs w:val="30"/>
          <w:lang w:val="en-US" w:eastAsia="zh-CN" w:bidi="ar-SA"/>
        </w:rPr>
      </w:pPr>
      <w:r>
        <w:rPr>
          <w:rFonts w:hint="eastAsia"/>
          <w:highlight w:val="none"/>
          <w:lang w:val="en-US" w:eastAsia="zh-CN"/>
        </w:rPr>
        <w:t>第二阶段：发放</w:t>
      </w:r>
      <w:r>
        <w:rPr>
          <w:rFonts w:hint="eastAsia" w:ascii="仿宋_GB2312" w:hAnsi="Times New Roman" w:cs="Times New Roman"/>
          <w:highlight w:val="none"/>
          <w:lang w:val="en-US" w:eastAsia="zh-CN"/>
        </w:rPr>
        <w:t>援疆专家</w:t>
      </w:r>
      <w:r>
        <w:rPr>
          <w:rFonts w:hint="eastAsia" w:ascii="仿宋_GB2312" w:hAnsi="Times New Roman" w:cs="Times New Roman"/>
          <w:lang w:val="en-US" w:eastAsia="zh-CN"/>
        </w:rPr>
        <w:t>下乡坐诊、津贴、生活费、住宿费</w:t>
      </w:r>
      <w:r>
        <w:rPr>
          <w:rFonts w:hint="eastAsia" w:ascii="仿宋_GB2312" w:cs="Times New Roman"/>
          <w:lang w:val="en-US" w:eastAsia="zh-CN"/>
        </w:rPr>
        <w:t>，</w:t>
      </w:r>
      <w:r>
        <w:rPr>
          <w:rFonts w:hint="eastAsia"/>
          <w:lang w:val="en-US" w:eastAsia="zh-CN"/>
        </w:rPr>
        <w:t>在重点领域柔性引进一批“小组团”援疆团队和援疆专家人才，</w:t>
      </w:r>
      <w:r>
        <w:rPr>
          <w:rFonts w:hint="eastAsia" w:eastAsia="仿宋_GB2312" w:cs="宋体" w:asciiTheme="minorHAnsi" w:hAnsiTheme="minorHAnsi"/>
          <w:color w:val="333333"/>
          <w:kern w:val="2"/>
          <w:sz w:val="30"/>
          <w:szCs w:val="30"/>
          <w:lang w:val="en-US" w:eastAsia="zh-CN" w:bidi="ar-SA"/>
        </w:rPr>
        <w:t>最大限度发挥医疗卫生专项资金的使用效率。</w:t>
      </w:r>
    </w:p>
    <w:p>
      <w:pPr>
        <w:spacing w:line="360" w:lineRule="auto"/>
        <w:ind w:firstLine="600" w:firstLineChars="200"/>
        <w:rPr>
          <w:rFonts w:hint="default" w:eastAsia="仿宋_GB2312" w:cs="宋体" w:asciiTheme="minorHAnsi" w:hAnsiTheme="minorHAnsi"/>
          <w:b w:val="0"/>
          <w:bCs w:val="0"/>
          <w:color w:val="333333"/>
          <w:kern w:val="2"/>
          <w:sz w:val="30"/>
          <w:szCs w:val="30"/>
          <w:lang w:val="en-US" w:eastAsia="zh-CN" w:bidi="ar-SA"/>
        </w:rPr>
      </w:pPr>
      <w:r>
        <w:rPr>
          <w:rFonts w:hint="eastAsia" w:eastAsia="仿宋_GB2312" w:cs="宋体" w:asciiTheme="minorHAnsi" w:hAnsiTheme="minorHAnsi"/>
          <w:b w:val="0"/>
          <w:bCs w:val="0"/>
          <w:color w:val="333333"/>
          <w:kern w:val="2"/>
          <w:sz w:val="30"/>
          <w:szCs w:val="30"/>
          <w:lang w:val="en-US" w:eastAsia="zh-CN" w:bidi="ar-SA"/>
        </w:rPr>
        <w:t>第三阶段</w:t>
      </w:r>
      <w:r>
        <w:rPr>
          <w:rFonts w:hint="eastAsia" w:cs="宋体" w:asciiTheme="minorHAnsi" w:hAnsiTheme="minorHAnsi"/>
          <w:b w:val="0"/>
          <w:bCs w:val="0"/>
          <w:color w:val="333333"/>
          <w:kern w:val="2"/>
          <w:sz w:val="30"/>
          <w:szCs w:val="30"/>
          <w:lang w:val="en-US" w:eastAsia="zh-CN" w:bidi="ar-SA"/>
        </w:rPr>
        <w:t>：</w:t>
      </w:r>
      <w:r>
        <w:rPr>
          <w:rFonts w:hint="eastAsia"/>
          <w:lang w:val="en-US" w:eastAsia="zh-CN"/>
        </w:rPr>
        <w:t>选派一批新疆骨干人才赴援疆省市研修学习，为我县培养一支留得住、素质高、能攻关的人才队伍。</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ind w:firstLine="600" w:firstLineChars="200"/>
      </w:pPr>
      <w:r>
        <w:rPr>
          <w:rFonts w:hint="eastAsia"/>
        </w:rPr>
        <w:t>1、绩效评价目的：</w:t>
      </w:r>
    </w:p>
    <w:p>
      <w:pPr>
        <w:pageBreakBefore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eastAsia="仿宋_GB2312" w:cs="宋体" w:asciiTheme="minorHAnsi" w:hAnsiTheme="minorHAnsi"/>
          <w:color w:val="333333"/>
          <w:kern w:val="2"/>
          <w:sz w:val="30"/>
          <w:szCs w:val="30"/>
          <w:lang w:val="en-US" w:eastAsia="zh-CN" w:bidi="ar-SA"/>
        </w:rPr>
      </w:pPr>
      <w:r>
        <w:rPr>
          <w:rFonts w:hint="eastAsia" w:eastAsia="仿宋_GB2312" w:cs="宋体" w:asciiTheme="minorHAnsi" w:hAnsiTheme="minorHAnsi"/>
          <w:color w:val="333333"/>
          <w:kern w:val="2"/>
          <w:sz w:val="30"/>
          <w:szCs w:val="30"/>
          <w:lang w:val="en-US" w:eastAsia="zh-CN" w:bidi="ar-SA"/>
        </w:rPr>
        <w:t>通过绩效评价，客观地评判项目的管理绩效，了解和掌握</w:t>
      </w:r>
      <w:r>
        <w:rPr>
          <w:rFonts w:hint="eastAsia" w:ascii="Times New Roman" w:hAnsi="Times New Roman" w:cs="Times New Roman"/>
          <w:sz w:val="30"/>
          <w:szCs w:val="30"/>
          <w:lang w:val="en-US" w:eastAsia="zh-CN"/>
        </w:rPr>
        <w:t>人才发展基金重大人才计划项目资金</w:t>
      </w:r>
      <w:r>
        <w:rPr>
          <w:rFonts w:hint="eastAsia" w:eastAsia="仿宋_GB2312" w:cs="宋体" w:asciiTheme="minorHAnsi" w:hAnsiTheme="minorHAnsi"/>
          <w:color w:val="333333"/>
          <w:kern w:val="2"/>
          <w:sz w:val="30"/>
          <w:szCs w:val="30"/>
          <w:lang w:val="en-US" w:eastAsia="zh-CN" w:bidi="ar-SA"/>
        </w:rPr>
        <w:t>经费的具体情况，评价该项目资金安排的科学性、合理性、规范性和资金的使用成效，及时总结项目管理经验，完善项目管理办法，提高项目管理水平和资金使用效益。促使我委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color w:val="FF0000"/>
        </w:rPr>
      </w:pPr>
      <w:r>
        <w:rPr>
          <w:rFonts w:hint="eastAsia" w:eastAsia="仿宋_GB2312" w:cs="宋体" w:asciiTheme="minorHAnsi" w:hAnsiTheme="minorHAnsi"/>
          <w:color w:val="333333"/>
          <w:kern w:val="2"/>
          <w:sz w:val="30"/>
          <w:szCs w:val="30"/>
          <w:lang w:val="en-US" w:eastAsia="zh-CN" w:bidi="ar-SA"/>
        </w:rPr>
        <w:t>新疆人才发展基金第一批重大人才计划项目资金</w:t>
      </w:r>
      <w:r>
        <w:rPr>
          <w:rFonts w:hint="eastAsia" w:cs="宋体" w:asciiTheme="minorHAnsi" w:hAnsiTheme="minorHAnsi"/>
          <w:color w:val="333333"/>
          <w:kern w:val="2"/>
          <w:sz w:val="30"/>
          <w:szCs w:val="30"/>
          <w:lang w:val="en-US" w:eastAsia="zh-CN" w:bidi="ar-SA"/>
        </w:rPr>
        <w:t>。</w:t>
      </w:r>
    </w:p>
    <w:p>
      <w:pPr>
        <w:spacing w:line="360" w:lineRule="auto"/>
        <w:ind w:firstLine="600" w:firstLineChars="200"/>
      </w:pPr>
      <w:r>
        <w:rPr>
          <w:rFonts w:hint="eastAsia"/>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eastAsia="仿宋_GB2312" w:cs="宋体" w:asciiTheme="minorHAnsi" w:hAnsiTheme="minorHAnsi"/>
          <w:color w:val="auto"/>
          <w:kern w:val="2"/>
          <w:sz w:val="30"/>
          <w:szCs w:val="30"/>
          <w:lang w:val="en-US" w:eastAsia="zh-CN" w:bidi="ar-SA"/>
        </w:rPr>
        <w:t>新疆人才发展基金第一批重大人才计划项目资金</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rPr>
      </w:pPr>
      <w:r>
        <w:rPr>
          <w:rFonts w:hint="eastAsia" w:ascii="仿宋_GB2312"/>
          <w:bCs/>
          <w:color w:val="auto"/>
          <w:sz w:val="32"/>
          <w:szCs w:val="32"/>
        </w:rPr>
        <w:t>（一）科学公正。</w:t>
      </w:r>
      <w:r>
        <w:rPr>
          <w:rFonts w:hint="eastAsia" w:ascii="仿宋_GB2312"/>
          <w:bCs/>
          <w:color w:val="auto"/>
          <w:sz w:val="32"/>
          <w:szCs w:val="32"/>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新疆人才发展基金第一批重大人才计划项目资金实施情况评价，确保评价过程及结果客观、公正。</w:t>
      </w:r>
    </w:p>
    <w:p>
      <w:pPr>
        <w:spacing w:line="600" w:lineRule="exact"/>
        <w:ind w:firstLine="640"/>
        <w:rPr>
          <w:rFonts w:hint="eastAsia" w:ascii="仿宋_GB2312"/>
          <w:bCs/>
          <w:color w:val="auto"/>
          <w:sz w:val="32"/>
          <w:szCs w:val="32"/>
          <w:lang w:val="en-US" w:eastAsia="zh-CN"/>
        </w:rPr>
      </w:pPr>
      <w:r>
        <w:rPr>
          <w:rFonts w:hint="eastAsia" w:ascii="仿宋_GB2312"/>
          <w:bCs/>
          <w:color w:val="auto"/>
          <w:sz w:val="32"/>
          <w:szCs w:val="32"/>
          <w:lang w:val="en-US" w:eastAsia="zh-CN"/>
        </w:rPr>
        <w:t>（二）统筹兼顾。我单位组织评价小组，对新疆人才发展基金第一批重大人才计划项目资金实施情况评价，部门评价和财政评价在单位自评的基础上开展，职责明确，各有侧重，相互衔接。</w:t>
      </w:r>
    </w:p>
    <w:p>
      <w:pPr>
        <w:spacing w:line="600" w:lineRule="exact"/>
        <w:ind w:firstLine="640"/>
        <w:rPr>
          <w:rFonts w:hint="eastAsia" w:ascii="仿宋_GB2312"/>
          <w:bCs/>
          <w:color w:val="auto"/>
          <w:sz w:val="32"/>
          <w:szCs w:val="32"/>
          <w:lang w:val="en-US" w:eastAsia="zh-CN"/>
        </w:rPr>
      </w:pPr>
      <w:r>
        <w:rPr>
          <w:rFonts w:hint="eastAsia" w:ascii="仿宋_GB2312"/>
          <w:bCs/>
          <w:color w:val="auto"/>
          <w:sz w:val="32"/>
          <w:szCs w:val="32"/>
          <w:lang w:val="en-US" w:eastAsia="zh-CN"/>
        </w:rP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w:t>
      </w:r>
    </w:p>
    <w:p>
      <w:pPr>
        <w:spacing w:line="600" w:lineRule="exact"/>
        <w:ind w:firstLine="640"/>
      </w:pPr>
      <w:r>
        <w:rPr>
          <w:rFonts w:hint="eastAsia" w:ascii="仿宋_GB2312"/>
          <w:bCs/>
          <w:color w:val="auto"/>
          <w:sz w:val="32"/>
          <w:szCs w:val="32"/>
          <w:lang w:val="en-US" w:eastAsia="zh-C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numPr>
          <w:ilvl w:val="0"/>
          <w:numId w:val="1"/>
        </w:numPr>
        <w:spacing w:line="360" w:lineRule="auto"/>
        <w:ind w:left="0" w:leftChars="0" w:firstLine="640" w:firstLineChars="200"/>
        <w:rPr>
          <w:rFonts w:hint="eastAsia"/>
          <w:sz w:val="32"/>
          <w:szCs w:val="32"/>
        </w:rPr>
      </w:pPr>
      <w:r>
        <w:rPr>
          <w:rFonts w:hint="eastAsia"/>
          <w:sz w:val="32"/>
          <w:szCs w:val="32"/>
        </w:rPr>
        <w:t>评价指标体系（附表说明）</w:t>
      </w:r>
    </w:p>
    <w:p>
      <w:pPr>
        <w:spacing w:line="560" w:lineRule="exact"/>
        <w:ind w:firstLine="640" w:firstLineChars="200"/>
        <w:jc w:val="left"/>
        <w:rPr>
          <w:rFonts w:hint="eastAsia" w:ascii="Times New Roman" w:hAnsi="Times New Roman" w:cs="Times New Roman"/>
          <w:color w:val="auto"/>
          <w:lang w:val="en-US" w:eastAsia="zh-CN"/>
        </w:rPr>
      </w:pPr>
      <w:r>
        <w:rPr>
          <w:rFonts w:hint="eastAsia" w:ascii="Times New Roman" w:hAnsi="Times New Roman" w:cs="Times New Roman"/>
          <w:color w:val="auto"/>
          <w:sz w:val="32"/>
          <w:szCs w:val="32"/>
          <w:lang w:val="en-US" w:eastAsia="zh-CN"/>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8"/>
        <w:numPr>
          <w:ilvl w:val="0"/>
          <w:numId w:val="0"/>
        </w:numPr>
        <w:ind w:leftChars="200"/>
      </w:pPr>
    </w:p>
    <w:p>
      <w:pPr>
        <w:pStyle w:val="4"/>
        <w:spacing w:before="0" w:after="0" w:line="240" w:lineRule="auto"/>
        <w:jc w:val="both"/>
        <w:rPr>
          <w:rFonts w:hint="eastAsia" w:ascii="Times New Roman" w:hAnsi="Times New Roman" w:eastAsia="仿宋_GB2312" w:cs="Times New Roman"/>
          <w:b w:val="0"/>
          <w:bCs w:val="0"/>
          <w:sz w:val="30"/>
          <w:szCs w:val="24"/>
          <w:lang w:val="en-US" w:eastAsia="zh-CN"/>
        </w:rPr>
      </w:pPr>
    </w:p>
    <w:p>
      <w:pPr>
        <w:pStyle w:val="4"/>
        <w:spacing w:before="0" w:after="0" w:line="240" w:lineRule="auto"/>
        <w:jc w:val="center"/>
        <w:rPr>
          <w:rFonts w:hint="eastAsia" w:ascii="Times New Roman" w:hAnsi="Times New Roman" w:eastAsia="仿宋_GB2312" w:cs="Times New Roman"/>
          <w:b w:val="0"/>
          <w:bCs w:val="0"/>
          <w:sz w:val="30"/>
          <w:szCs w:val="24"/>
          <w:lang w:val="en-US" w:eastAsia="zh-CN"/>
        </w:rPr>
      </w:pP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新疆人才发展基金第一批重大人才计划</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ind w:firstLine="240" w:firstLineChars="100"/>
              <w:jc w:val="both"/>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tabs>
                <w:tab w:val="left" w:pos="517"/>
              </w:tabs>
              <w:kinsoku/>
              <w:wordWrap/>
              <w:overflowPunct/>
              <w:topLinePunct w:val="0"/>
              <w:autoSpaceDE/>
              <w:autoSpaceDN/>
              <w:bidi w:val="0"/>
              <w:adjustRightInd/>
              <w:snapToGrid/>
              <w:spacing w:line="580" w:lineRule="exact"/>
              <w:ind w:firstLine="240" w:firstLineChars="1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4"/>
                <w:szCs w:val="24"/>
                <w:lang w:val="en-US" w:eastAsia="zh-CN"/>
              </w:rPr>
            </w:pPr>
            <w:r>
              <w:rPr>
                <w:rFonts w:hint="eastAsia" w:ascii="宋体" w:hAnsi="宋体" w:cs="宋体"/>
                <w:color w:val="000000"/>
                <w:kern w:val="0"/>
                <w:sz w:val="24"/>
                <w:szCs w:val="24"/>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4"/>
                <w:szCs w:val="24"/>
                <w:lang w:val="en-US" w:eastAsia="zh-CN"/>
              </w:rPr>
            </w:pPr>
            <w:r>
              <w:rPr>
                <w:rFonts w:hint="eastAsia" w:ascii="宋体" w:hAnsi="宋体" w:cs="宋体"/>
                <w:color w:val="000000"/>
                <w:kern w:val="0"/>
                <w:sz w:val="24"/>
                <w:szCs w:val="24"/>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sz w:val="32"/>
          <w:szCs w:val="32"/>
        </w:rPr>
      </w:pPr>
      <w:r>
        <w:rPr>
          <w:rFonts w:hint="eastAsia"/>
          <w:sz w:val="32"/>
          <w:szCs w:val="32"/>
        </w:rPr>
        <w:t>3、评价方法</w:t>
      </w:r>
    </w:p>
    <w:p>
      <w:pPr>
        <w:spacing w:line="560" w:lineRule="exact"/>
        <w:ind w:firstLine="640" w:firstLineChars="200"/>
        <w:jc w:val="left"/>
        <w:rPr>
          <w:sz w:val="32"/>
          <w:szCs w:val="32"/>
        </w:rPr>
      </w:pPr>
      <w:r>
        <w:rPr>
          <w:rFonts w:hint="eastAsia" w:eastAsia="仿宋_GB2312" w:cs="宋体" w:asciiTheme="minorHAnsi" w:hAnsiTheme="minorHAnsi"/>
          <w:color w:val="333333"/>
          <w:kern w:val="2"/>
          <w:sz w:val="32"/>
          <w:szCs w:val="32"/>
          <w:lang w:val="en-US" w:eastAsia="zh-CN" w:bidi="ar-SA"/>
        </w:rPr>
        <w:t>本次项目支出绩效自评采用因素分析法，原因是：本项目需要考虑内外部因素产生的影响及量化社会效益进行分析评价，因此选择因素分析法能更好的对该项目的资金进行评价。</w:t>
      </w:r>
    </w:p>
    <w:p>
      <w:pPr>
        <w:spacing w:line="360" w:lineRule="auto"/>
        <w:rPr>
          <w:sz w:val="32"/>
          <w:szCs w:val="32"/>
        </w:rPr>
      </w:pPr>
      <w:r>
        <w:rPr>
          <w:rFonts w:hint="eastAsia"/>
          <w:sz w:val="32"/>
          <w:szCs w:val="32"/>
        </w:rPr>
        <w:t>4、评价标准</w:t>
      </w:r>
    </w:p>
    <w:p>
      <w:pPr>
        <w:spacing w:line="560" w:lineRule="exact"/>
        <w:ind w:firstLine="640" w:firstLineChars="200"/>
        <w:jc w:val="left"/>
        <w:rPr>
          <w:rFonts w:hint="eastAsia" w:eastAsia="仿宋_GB2312" w:cs="宋体" w:asciiTheme="minorHAnsi" w:hAnsiTheme="minorHAnsi"/>
          <w:color w:val="333333"/>
          <w:kern w:val="2"/>
          <w:sz w:val="32"/>
          <w:szCs w:val="32"/>
          <w:lang w:val="en-US" w:eastAsia="zh-CN" w:bidi="ar-SA"/>
        </w:rPr>
      </w:pPr>
      <w:bookmarkStart w:id="6" w:name="_Toc68703833"/>
      <w:r>
        <w:rPr>
          <w:rFonts w:hint="eastAsia" w:eastAsia="仿宋_GB2312" w:cs="宋体" w:asciiTheme="minorHAnsi" w:hAnsiTheme="minorHAnsi"/>
          <w:color w:val="333333"/>
          <w:kern w:val="2"/>
          <w:sz w:val="32"/>
          <w:szCs w:val="32"/>
          <w:lang w:val="en-US" w:eastAsia="zh-CN" w:bidi="ar-SA"/>
        </w:rPr>
        <w:t>本次评价主要采用了计划标准。该项目设置年初绩效目标申报表时参照了国家公布的行业指标数据制定的标准。采用行业标准，可提高预算编制和预算额度测算准确率，使评价结果更加科学真实。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highlight w:val="none"/>
        </w:rPr>
      </w:pPr>
      <w:r>
        <w:rPr>
          <w:rFonts w:hint="eastAsia" w:ascii="仿宋_GB2312" w:eastAsia="仿宋_GB2312"/>
          <w:b w:val="0"/>
          <w:bCs w:val="0"/>
          <w:sz w:val="32"/>
          <w:szCs w:val="32"/>
          <w:highlight w:val="none"/>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FF0000"/>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eastAsia="仿宋_GB2312" w:cs="宋体" w:asciiTheme="minorHAnsi" w:hAnsiTheme="minorHAnsi"/>
          <w:color w:val="333333"/>
          <w:kern w:val="2"/>
          <w:sz w:val="32"/>
          <w:szCs w:val="32"/>
          <w:lang w:val="en-US" w:eastAsia="zh-CN" w:bidi="ar-SA"/>
        </w:rPr>
        <w:t>2023年12月15日，</w:t>
      </w:r>
      <w:r>
        <w:rPr>
          <w:rFonts w:hint="eastAsia" w:eastAsia="仿宋_GB2312" w:cs="宋体" w:asciiTheme="minorHAnsi" w:hAnsiTheme="minorHAnsi"/>
          <w:color w:val="333333"/>
          <w:kern w:val="2"/>
          <w:sz w:val="32"/>
          <w:szCs w:val="32"/>
          <w:lang w:val="zh-CN" w:eastAsia="zh-CN" w:bidi="ar-SA"/>
        </w:rPr>
        <w:t>开始前期准备工作，评价组通过前期调研</w:t>
      </w:r>
      <w:r>
        <w:rPr>
          <w:rFonts w:hint="eastAsia" w:eastAsia="仿宋_GB2312" w:cs="宋体" w:asciiTheme="minorHAnsi" w:hAnsiTheme="minorHAnsi"/>
          <w:color w:val="333333"/>
          <w:kern w:val="2"/>
          <w:sz w:val="32"/>
          <w:szCs w:val="32"/>
          <w:lang w:val="en-US" w:eastAsia="zh-CN" w:bidi="ar-SA"/>
        </w:rPr>
        <w:t>确定绩效评价对象和范围，</w:t>
      </w:r>
      <w:r>
        <w:rPr>
          <w:rFonts w:hint="eastAsia" w:eastAsia="仿宋_GB2312" w:cs="宋体" w:asciiTheme="minorHAnsi" w:hAnsiTheme="minorHAnsi"/>
          <w:color w:val="333333"/>
          <w:kern w:val="2"/>
          <w:sz w:val="32"/>
          <w:szCs w:val="32"/>
          <w:lang w:val="zh-CN" w:eastAsia="zh-CN" w:bidi="ar-SA"/>
        </w:rPr>
        <w:t>确定了评价的目的、方法以及评价的原则，根据项目的内容和特征制定了评价指标体系及评价标准以及评价实施方案，修正并确定所需资料清单，最终确定</w:t>
      </w:r>
      <w:r>
        <w:rPr>
          <w:rFonts w:hint="eastAsia" w:eastAsia="仿宋_GB2312" w:cs="宋体" w:asciiTheme="minorHAnsi" w:hAnsiTheme="minorHAnsi"/>
          <w:color w:val="333333"/>
          <w:kern w:val="2"/>
          <w:sz w:val="32"/>
          <w:szCs w:val="32"/>
          <w:lang w:val="en-US" w:eastAsia="zh-CN" w:bidi="ar-SA"/>
        </w:rPr>
        <w:t>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FF0000"/>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eastAsia" w:eastAsia="仿宋_GB2312" w:cs="宋体" w:asciiTheme="minorHAnsi" w:hAnsiTheme="minorHAnsi"/>
          <w:color w:val="333333"/>
          <w:kern w:val="2"/>
          <w:sz w:val="32"/>
          <w:szCs w:val="32"/>
          <w:lang w:val="zh-CN" w:eastAsia="zh-CN" w:bidi="ar-SA"/>
        </w:rPr>
        <w:t>202</w:t>
      </w:r>
      <w:r>
        <w:rPr>
          <w:rFonts w:hint="eastAsia" w:cs="宋体" w:asciiTheme="minorHAnsi" w:hAnsiTheme="minorHAnsi"/>
          <w:color w:val="333333"/>
          <w:kern w:val="2"/>
          <w:sz w:val="32"/>
          <w:szCs w:val="32"/>
          <w:lang w:val="en-US" w:eastAsia="zh-CN" w:bidi="ar-SA"/>
        </w:rPr>
        <w:t>4</w:t>
      </w:r>
      <w:r>
        <w:rPr>
          <w:rFonts w:hint="eastAsia" w:eastAsia="仿宋_GB2312" w:cs="宋体" w:asciiTheme="minorHAnsi" w:hAnsiTheme="minorHAnsi"/>
          <w:color w:val="333333"/>
          <w:kern w:val="2"/>
          <w:sz w:val="32"/>
          <w:szCs w:val="32"/>
          <w:lang w:val="zh-CN" w:eastAsia="zh-CN" w:bidi="ar-SA"/>
        </w:rPr>
        <w:t xml:space="preserve">年1月1日-1月15日，评价工作进入实施阶段，评价组收集绩效评价相关数据资料，进行现场调研、座谈；并与项目实施负责人沟通，了解资金的内容、操作流程、管理机制、资金使用方向等情况，分析形成初步结论。 </w:t>
      </w:r>
    </w:p>
    <w:p>
      <w:pPr>
        <w:pageBreakBefore w:val="0"/>
        <w:kinsoku/>
        <w:wordWrap/>
        <w:overflowPunct/>
        <w:topLinePunct w:val="0"/>
        <w:autoSpaceDE/>
        <w:autoSpaceDN/>
        <w:bidi w:val="0"/>
        <w:adjustRightInd/>
        <w:snapToGrid/>
        <w:spacing w:line="580" w:lineRule="exact"/>
        <w:ind w:firstLine="640" w:firstLineChars="200"/>
        <w:textAlignment w:val="auto"/>
        <w:rPr>
          <w:color w:val="FF0000"/>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eastAsia" w:eastAsia="仿宋_GB2312" w:cs="宋体" w:asciiTheme="minorHAnsi" w:hAnsiTheme="minorHAnsi"/>
          <w:color w:val="333333"/>
          <w:kern w:val="2"/>
          <w:sz w:val="32"/>
          <w:szCs w:val="32"/>
          <w:lang w:val="zh-CN" w:eastAsia="zh-CN" w:bidi="ar-SA"/>
        </w:rPr>
        <w:t>202</w:t>
      </w:r>
      <w:r>
        <w:rPr>
          <w:rFonts w:hint="eastAsia" w:eastAsia="仿宋_GB2312" w:cs="宋体" w:asciiTheme="minorHAnsi" w:hAnsiTheme="minorHAnsi"/>
          <w:color w:val="333333"/>
          <w:kern w:val="2"/>
          <w:sz w:val="32"/>
          <w:szCs w:val="32"/>
          <w:lang w:val="en-US" w:eastAsia="zh-CN" w:bidi="ar-SA"/>
        </w:rPr>
        <w:t>4</w:t>
      </w:r>
      <w:r>
        <w:rPr>
          <w:rFonts w:hint="eastAsia" w:eastAsia="仿宋_GB2312" w:cs="宋体" w:asciiTheme="minorHAnsi" w:hAnsiTheme="minorHAnsi"/>
          <w:color w:val="333333"/>
          <w:kern w:val="2"/>
          <w:sz w:val="32"/>
          <w:szCs w:val="32"/>
          <w:lang w:val="zh-CN" w:eastAsia="zh-CN" w:bidi="ar-SA"/>
        </w:rPr>
        <w:t>年</w:t>
      </w:r>
      <w:r>
        <w:rPr>
          <w:rFonts w:hint="eastAsia" w:eastAsia="仿宋_GB2312" w:cs="宋体" w:asciiTheme="minorHAnsi" w:hAnsiTheme="minorHAnsi"/>
          <w:color w:val="333333"/>
          <w:kern w:val="2"/>
          <w:sz w:val="32"/>
          <w:szCs w:val="32"/>
          <w:lang w:val="en-US" w:eastAsia="zh-CN" w:bidi="ar-SA"/>
        </w:rPr>
        <w:t>3</w:t>
      </w:r>
      <w:r>
        <w:rPr>
          <w:rFonts w:hint="eastAsia" w:eastAsia="仿宋_GB2312" w:cs="宋体" w:asciiTheme="minorHAnsi" w:hAnsiTheme="minorHAnsi"/>
          <w:color w:val="333333"/>
          <w:kern w:val="2"/>
          <w:sz w:val="32"/>
          <w:szCs w:val="32"/>
          <w:lang w:val="zh-CN" w:eastAsia="zh-CN" w:bidi="ar-SA"/>
        </w:rPr>
        <w:t>月1日-</w:t>
      </w:r>
      <w:r>
        <w:rPr>
          <w:rFonts w:hint="eastAsia" w:eastAsia="仿宋_GB2312" w:cs="宋体" w:asciiTheme="minorHAnsi" w:hAnsiTheme="minorHAnsi"/>
          <w:color w:val="333333"/>
          <w:kern w:val="2"/>
          <w:sz w:val="32"/>
          <w:szCs w:val="32"/>
          <w:lang w:val="en-US" w:eastAsia="zh-CN" w:bidi="ar-SA"/>
        </w:rPr>
        <w:t>3</w:t>
      </w:r>
      <w:r>
        <w:rPr>
          <w:rFonts w:hint="eastAsia" w:eastAsia="仿宋_GB2312" w:cs="宋体" w:asciiTheme="minorHAnsi" w:hAnsiTheme="minorHAnsi"/>
          <w:color w:val="333333"/>
          <w:kern w:val="2"/>
          <w:sz w:val="32"/>
          <w:szCs w:val="32"/>
          <w:lang w:val="zh-CN" w:eastAsia="zh-CN" w:bidi="ar-SA"/>
        </w:rPr>
        <w:t>月1</w:t>
      </w:r>
      <w:r>
        <w:rPr>
          <w:rFonts w:hint="eastAsia" w:eastAsia="仿宋_GB2312" w:cs="宋体" w:asciiTheme="minorHAnsi" w:hAnsiTheme="minorHAnsi"/>
          <w:color w:val="333333"/>
          <w:kern w:val="2"/>
          <w:sz w:val="32"/>
          <w:szCs w:val="32"/>
          <w:lang w:val="en-US" w:eastAsia="zh-CN" w:bidi="ar-SA"/>
        </w:rPr>
        <w:t>0</w:t>
      </w:r>
      <w:r>
        <w:rPr>
          <w:rFonts w:hint="eastAsia" w:eastAsia="仿宋_GB2312" w:cs="宋体" w:asciiTheme="minorHAnsi" w:hAnsiTheme="minorHAnsi"/>
          <w:color w:val="333333"/>
          <w:kern w:val="2"/>
          <w:sz w:val="32"/>
          <w:szCs w:val="32"/>
          <w:lang w:val="zh-CN" w:eastAsia="zh-CN" w:bidi="ar-SA"/>
        </w:rPr>
        <w:t>日，评价组按照绩效评价的原则和规范，对取得的资料进行审查核实，对采集的数据进行分析，按照绩效评价指标评分表逐项进行打分、分析，汇总各方评价结果，综合分析并形成评价结论。</w:t>
      </w:r>
    </w:p>
    <w:p>
      <w:pPr>
        <w:pStyle w:val="8"/>
        <w:rPr>
          <w:sz w:val="32"/>
          <w:szCs w:val="32"/>
        </w:rPr>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hint="eastAsia" w:ascii="仿宋_GB2312" w:eastAsia="仿宋_GB2312"/>
          <w:b w:val="0"/>
          <w:bCs w:val="0"/>
          <w:sz w:val="32"/>
          <w:szCs w:val="32"/>
        </w:rPr>
      </w:pPr>
      <w:bookmarkStart w:id="8" w:name="_Toc68703835"/>
      <w:r>
        <w:rPr>
          <w:rFonts w:hint="eastAsia" w:ascii="仿宋_GB2312" w:eastAsia="仿宋_GB2312"/>
          <w:b w:val="0"/>
          <w:bCs w:val="0"/>
          <w:sz w:val="32"/>
          <w:szCs w:val="32"/>
        </w:rPr>
        <w:t>（一）综合评价情况</w:t>
      </w:r>
      <w:bookmarkEnd w:id="8"/>
    </w:p>
    <w:p>
      <w:pPr>
        <w:pStyle w:val="4"/>
        <w:spacing w:line="360" w:lineRule="auto"/>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本项目严格按照</w:t>
      </w:r>
      <w:r>
        <w:rPr>
          <w:rFonts w:hint="eastAsia" w:ascii="仿宋_GB2312" w:eastAsia="仿宋_GB2312"/>
          <w:b w:val="0"/>
          <w:bCs w:val="0"/>
          <w:sz w:val="32"/>
          <w:szCs w:val="32"/>
          <w:lang w:val="en-US" w:eastAsia="zh-CN"/>
        </w:rPr>
        <w:t>计划标准科学公正、统筹兼顾、激励约束、公开透明</w:t>
      </w:r>
      <w:r>
        <w:rPr>
          <w:rFonts w:hint="eastAsia" w:ascii="仿宋_GB2312" w:eastAsia="仿宋_GB2312"/>
          <w:b w:val="0"/>
          <w:bCs w:val="0"/>
          <w:sz w:val="32"/>
          <w:szCs w:val="32"/>
        </w:rPr>
        <w:t>绩效评价原则，采用</w:t>
      </w:r>
      <w:r>
        <w:rPr>
          <w:rFonts w:hint="eastAsia" w:ascii="仿宋_GB2312" w:eastAsia="仿宋_GB2312"/>
          <w:b w:val="0"/>
          <w:bCs w:val="0"/>
          <w:sz w:val="32"/>
          <w:szCs w:val="32"/>
          <w:lang w:val="en-US" w:eastAsia="zh-CN"/>
        </w:rPr>
        <w:t>因素分析法</w:t>
      </w:r>
      <w:r>
        <w:rPr>
          <w:rFonts w:hint="eastAsia" w:ascii="仿宋_GB2312" w:eastAsia="仿宋_GB2312"/>
          <w:b w:val="0"/>
          <w:bCs w:val="0"/>
          <w:sz w:val="32"/>
          <w:szCs w:val="32"/>
        </w:rPr>
        <w:t>，坚持</w:t>
      </w:r>
      <w:r>
        <w:rPr>
          <w:rFonts w:hint="eastAsia" w:ascii="仿宋_GB2312" w:eastAsia="仿宋_GB2312"/>
          <w:b w:val="0"/>
          <w:bCs w:val="0"/>
          <w:sz w:val="32"/>
          <w:szCs w:val="32"/>
          <w:lang w:val="en-US" w:eastAsia="zh-CN"/>
        </w:rPr>
        <w:t>计划标准</w:t>
      </w:r>
      <w:r>
        <w:rPr>
          <w:rFonts w:hint="eastAsia" w:ascii="仿宋_GB2312" w:eastAsia="仿宋_GB2312"/>
          <w:b w:val="0"/>
          <w:bCs w:val="0"/>
          <w:sz w:val="32"/>
          <w:szCs w:val="32"/>
        </w:rPr>
        <w:t>对本项目的立项、项绩效目标、资金投入、资金管理、组织实施、产出数量、产出质量、产出时效、产出成本、项目效益进行了综合评价。</w:t>
      </w:r>
    </w:p>
    <w:p>
      <w:pPr>
        <w:pStyle w:val="4"/>
        <w:spacing w:line="360" w:lineRule="auto"/>
        <w:ind w:firstLine="600" w:firstLineChars="200"/>
        <w:rPr>
          <w:color w:val="auto"/>
        </w:rPr>
      </w:pPr>
      <w:r>
        <w:rPr>
          <w:rFonts w:hint="eastAsia" w:ascii="Times New Roman" w:hAnsi="Times New Roman" w:eastAsia="仿宋_GB2312" w:cs="Times New Roman"/>
          <w:b w:val="0"/>
          <w:bCs w:val="0"/>
          <w:color w:val="auto"/>
          <w:sz w:val="30"/>
          <w:szCs w:val="24"/>
          <w:lang w:val="en-US" w:eastAsia="zh-CN"/>
        </w:rPr>
        <w:t>新疆人才发展基金第一批重大人才计划</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numPr>
          <w:ilvl w:val="0"/>
          <w:numId w:val="2"/>
        </w:numPr>
        <w:spacing w:line="240" w:lineRule="auto"/>
        <w:ind w:left="600" w:leftChars="0" w:firstLineChars="0"/>
        <w:rPr>
          <w:rFonts w:hint="eastAsia" w:ascii="仿宋_GB2312" w:hAnsi="仿宋" w:eastAsia="仿宋_GB2312" w:cs="宋体"/>
          <w:color w:val="333333"/>
          <w:sz w:val="30"/>
          <w:szCs w:val="30"/>
          <w:lang w:eastAsia="zh-CN"/>
        </w:rPr>
      </w:pPr>
      <w:bookmarkStart w:id="9" w:name="_Toc68703836"/>
      <w:r>
        <w:rPr>
          <w:rFonts w:hint="eastAsia" w:ascii="仿宋_GB2312" w:eastAsia="仿宋_GB2312"/>
          <w:b w:val="0"/>
          <w:bCs w:val="0"/>
          <w:sz w:val="30"/>
          <w:szCs w:val="30"/>
        </w:rPr>
        <w:t>评价结论</w:t>
      </w:r>
      <w:bookmarkEnd w:id="9"/>
    </w:p>
    <w:p>
      <w:pPr>
        <w:spacing w:line="360" w:lineRule="auto"/>
        <w:ind w:firstLine="640" w:firstLineChars="200"/>
        <w:rPr>
          <w:color w:val="FF0000"/>
        </w:rPr>
      </w:pPr>
      <w:r>
        <w:rPr>
          <w:rFonts w:hint="eastAsia"/>
          <w:color w:val="auto"/>
          <w:sz w:val="32"/>
          <w:szCs w:val="32"/>
        </w:rPr>
        <w:t>本项目的项目决策、项目过程、项目产出、项目效益均达到了预期要求，最终得分为100分，项目达成年度指标。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auto"/>
        </w:rPr>
      </w:pPr>
      <w:r>
        <w:rPr>
          <w:rFonts w:hint="eastAsia"/>
          <w:color w:val="auto"/>
        </w:rPr>
        <w:t>项目立项符合国家法律法规、国民经济发展规划和相关政策；</w:t>
      </w:r>
    </w:p>
    <w:p>
      <w:pPr>
        <w:spacing w:line="360" w:lineRule="auto"/>
        <w:rPr>
          <w:color w:val="auto"/>
        </w:rPr>
      </w:pPr>
      <w:r>
        <w:rPr>
          <w:rFonts w:hint="eastAsia"/>
          <w:color w:val="auto"/>
        </w:rPr>
        <w:t>项目立项符合行业发展规划和政策要求；项目立项</w:t>
      </w:r>
      <w:r>
        <w:rPr>
          <w:rFonts w:hint="eastAsia"/>
          <w:color w:val="auto"/>
          <w:lang w:val="en-US" w:eastAsia="zh-CN"/>
        </w:rPr>
        <w:t>已</w:t>
      </w:r>
      <w:r>
        <w:rPr>
          <w:rFonts w:hint="eastAsia"/>
          <w:color w:val="auto"/>
        </w:rPr>
        <w:t>与部门职责范围相符，属于部门履职所需；项目属于公共财政支持范围，符合中央、地方事权支出责任划分原则；项目</w:t>
      </w:r>
      <w:r>
        <w:rPr>
          <w:rFonts w:hint="eastAsia"/>
          <w:color w:val="auto"/>
          <w:lang w:val="en-US" w:eastAsia="zh-CN"/>
        </w:rPr>
        <w:t>已</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color w:val="auto"/>
        </w:rPr>
      </w:pPr>
      <w:r>
        <w:rPr>
          <w:rFonts w:hint="eastAsia"/>
          <w:color w:val="auto"/>
        </w:rPr>
        <w:t>项目按照规定的程序申请设立；</w:t>
      </w:r>
      <w:r>
        <w:rPr>
          <w:rFonts w:hint="eastAsia"/>
          <w:color w:val="auto"/>
          <w:lang w:val="en-US" w:eastAsia="zh-CN"/>
        </w:rPr>
        <w:t>严格按照审批流程准备符合要求的</w:t>
      </w:r>
      <w:r>
        <w:rPr>
          <w:rFonts w:hint="eastAsia"/>
          <w:color w:val="auto"/>
        </w:rPr>
        <w:t>文件、材料；</w:t>
      </w:r>
      <w:r>
        <w:rPr>
          <w:rFonts w:hint="eastAsia"/>
          <w:color w:val="auto"/>
          <w:lang w:val="en-US" w:eastAsia="zh-CN"/>
        </w:rPr>
        <w:t>项目事前经</w:t>
      </w:r>
      <w:r>
        <w:rPr>
          <w:rFonts w:hint="eastAsia"/>
          <w:color w:val="auto"/>
        </w:rPr>
        <w:t>过必要的可行性研究、专家论证、风险评估、绩效评估、集体决策</w:t>
      </w:r>
      <w:r>
        <w:rPr>
          <w:rFonts w:hint="eastAsia"/>
          <w:color w:val="auto"/>
          <w:lang w:eastAsia="zh-CN"/>
        </w:rPr>
        <w:t>，</w:t>
      </w:r>
      <w:r>
        <w:rPr>
          <w:rFonts w:hint="eastAsia"/>
          <w:color w:val="auto"/>
          <w:lang w:val="en-US" w:eastAsia="zh-CN"/>
        </w:rPr>
        <w:t>保障了程序的规范性</w:t>
      </w:r>
      <w:r>
        <w:rPr>
          <w:rFonts w:hint="eastAsia"/>
          <w:color w:val="auto"/>
        </w:rPr>
        <w:t>。</w:t>
      </w:r>
    </w:p>
    <w:p>
      <w:pPr>
        <w:spacing w:line="360" w:lineRule="auto"/>
        <w:ind w:firstLine="600" w:firstLineChars="200"/>
      </w:pPr>
      <w:r>
        <w:rPr>
          <w:rFonts w:hint="eastAsia"/>
        </w:rPr>
        <w:t>3、绩效目标合理性</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项目设立了项目绩效目标，与</w:t>
      </w:r>
      <w:r>
        <w:rPr>
          <w:rFonts w:hint="eastAsia"/>
          <w:color w:val="auto"/>
          <w:lang w:val="en-US" w:eastAsia="zh-CN"/>
        </w:rPr>
        <w:t>人才发展基金第一批重大人才计划项目</w:t>
      </w:r>
      <w:r>
        <w:rPr>
          <w:rFonts w:hint="eastAsia"/>
          <w:color w:val="auto"/>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17</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rPr>
          <w:color w:val="auto"/>
        </w:rPr>
      </w:pPr>
      <w:r>
        <w:rPr>
          <w:rFonts w:hint="eastAsia"/>
        </w:rPr>
        <w:t>6、</w:t>
      </w:r>
      <w:r>
        <w:rPr>
          <w:rFonts w:hint="eastAsia"/>
          <w:color w:val="auto"/>
        </w:rPr>
        <w:t>资金分配合理性</w:t>
      </w:r>
    </w:p>
    <w:p>
      <w:pPr>
        <w:spacing w:line="360" w:lineRule="auto"/>
        <w:ind w:firstLine="600" w:firstLineChars="200"/>
        <w:rPr>
          <w:color w:val="auto"/>
        </w:rPr>
      </w:pPr>
      <w:r>
        <w:rPr>
          <w:rFonts w:hint="eastAsia"/>
          <w:color w:val="auto"/>
        </w:rPr>
        <w:t>预算资金分配依据充分；资金分配额度合理，与项目相适应。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100</w:t>
      </w:r>
      <w:r>
        <w:rPr>
          <w:rFonts w:hint="eastAsia"/>
          <w:color w:val="auto"/>
        </w:rPr>
        <w:t>万元，预算资金</w:t>
      </w:r>
      <w:r>
        <w:rPr>
          <w:rFonts w:hint="eastAsia"/>
          <w:color w:val="auto"/>
          <w:lang w:val="en-US" w:eastAsia="zh-CN"/>
        </w:rPr>
        <w:t>100</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lang w:eastAsia="zh-CN"/>
        </w:rPr>
      </w:pPr>
      <w:r>
        <w:rPr>
          <w:rFonts w:hint="eastAsia"/>
          <w:color w:val="auto"/>
        </w:rPr>
        <w:t>年初预算数</w:t>
      </w:r>
      <w:r>
        <w:rPr>
          <w:rFonts w:hint="eastAsia"/>
          <w:color w:val="auto"/>
          <w:lang w:val="en-US" w:eastAsia="zh-CN"/>
        </w:rPr>
        <w:t>100</w:t>
      </w:r>
      <w:r>
        <w:rPr>
          <w:rFonts w:hint="eastAsia"/>
          <w:color w:val="auto"/>
        </w:rPr>
        <w:t>万元，全年预算数</w:t>
      </w:r>
      <w:r>
        <w:rPr>
          <w:rFonts w:hint="eastAsia"/>
          <w:color w:val="auto"/>
          <w:lang w:val="en-US" w:eastAsia="zh-CN"/>
        </w:rPr>
        <w:t>100</w:t>
      </w:r>
      <w:r>
        <w:rPr>
          <w:rFonts w:hint="eastAsia"/>
          <w:color w:val="auto"/>
        </w:rPr>
        <w:t>万元（有年中追加资金，全年预算数=年初预算数+追加资金），全年执行数</w:t>
      </w:r>
      <w:r>
        <w:rPr>
          <w:rFonts w:hint="eastAsia"/>
          <w:color w:val="auto"/>
          <w:lang w:val="en-US" w:eastAsia="zh-CN"/>
        </w:rPr>
        <w:t>100</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40" w:firstLineChars="200"/>
        <w:rPr>
          <w:color w:val="auto"/>
        </w:rPr>
      </w:pPr>
      <w:r>
        <w:rPr>
          <w:rFonts w:hint="eastAsia"/>
          <w:color w:val="auto"/>
          <w:sz w:val="32"/>
          <w:szCs w:val="32"/>
        </w:rPr>
        <w:t>项目符合国家财经法规和财务管理制度以及有关专项资金管理办法的规定；资金的拨付有完整的审批程序和手续；项目使用符合项目预算批复</w:t>
      </w:r>
      <w:r>
        <w:rPr>
          <w:rFonts w:hint="eastAsia"/>
          <w:color w:val="auto"/>
        </w:rPr>
        <w:t>或合同规定的用途；不存在截留、挤占、挪用、虚列支出等情况。</w:t>
      </w:r>
    </w:p>
    <w:p>
      <w:pPr>
        <w:spacing w:line="360" w:lineRule="auto"/>
      </w:pPr>
      <w:r>
        <w:rPr>
          <w:rFonts w:hint="eastAsia"/>
        </w:rPr>
        <w:t>4、管理制度健全性</w:t>
      </w:r>
    </w:p>
    <w:p>
      <w:pPr>
        <w:spacing w:line="360" w:lineRule="auto"/>
        <w:ind w:firstLine="600" w:firstLineChars="200"/>
        <w:rPr>
          <w:color w:val="auto"/>
        </w:rPr>
      </w:pPr>
      <w:r>
        <w:rPr>
          <w:rFonts w:hint="eastAsia"/>
          <w:color w:val="auto"/>
        </w:rPr>
        <w:t>项目实施制定相应的财务和业务管理制度；财务和业务管理制度合法、合规、完整。</w:t>
      </w:r>
    </w:p>
    <w:p>
      <w:pPr>
        <w:spacing w:line="360" w:lineRule="auto"/>
      </w:pPr>
      <w:r>
        <w:rPr>
          <w:rFonts w:hint="eastAsia"/>
        </w:rPr>
        <w:t>5、制度执行有效性</w:t>
      </w:r>
    </w:p>
    <w:p>
      <w:pPr>
        <w:spacing w:line="360" w:lineRule="auto"/>
        <w:ind w:firstLine="600" w:firstLineChars="200"/>
        <w:rPr>
          <w:color w:val="auto"/>
        </w:rPr>
      </w:pP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pPr>
        <w:pStyle w:val="4"/>
        <w:numPr>
          <w:ilvl w:val="0"/>
          <w:numId w:val="2"/>
        </w:numPr>
        <w:spacing w:line="360" w:lineRule="auto"/>
        <w:ind w:left="600" w:leftChars="0" w:firstLine="0" w:firstLineChars="0"/>
        <w:rPr>
          <w:rFonts w:hint="eastAsia" w:ascii="仿宋_GB2312" w:eastAsia="仿宋_GB2312"/>
          <w:b w:val="0"/>
          <w:bCs w:val="0"/>
        </w:rPr>
      </w:pPr>
      <w:bookmarkStart w:id="14" w:name="_Toc68703840"/>
      <w:r>
        <w:rPr>
          <w:rFonts w:hint="eastAsia" w:ascii="仿宋_GB2312" w:eastAsia="仿宋_GB2312"/>
          <w:b w:val="0"/>
          <w:bCs w:val="0"/>
        </w:rPr>
        <w:t>项目产出情况。</w:t>
      </w:r>
      <w:bookmarkEnd w:id="14"/>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数量指标：</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指标1：专项工作种类，指标值：≥3项，实际完成值3项，指标完成率100%。</w:t>
      </w:r>
    </w:p>
    <w:p>
      <w:pPr>
        <w:numPr>
          <w:ilvl w:val="0"/>
          <w:numId w:val="0"/>
        </w:numPr>
        <w:spacing w:line="360" w:lineRule="auto"/>
        <w:ind w:firstLine="600" w:firstLineChars="200"/>
        <w:rPr>
          <w:rFonts w:hint="eastAsia"/>
          <w:color w:val="auto"/>
        </w:rPr>
      </w:pPr>
      <w:r>
        <w:rPr>
          <w:rFonts w:hint="eastAsia"/>
          <w:color w:val="auto"/>
        </w:rPr>
        <w:t>质量指标：</w:t>
      </w:r>
    </w:p>
    <w:p>
      <w:pPr>
        <w:numPr>
          <w:ilvl w:val="0"/>
          <w:numId w:val="0"/>
        </w:numPr>
        <w:spacing w:line="360" w:lineRule="auto"/>
        <w:ind w:firstLine="600" w:firstLineChars="200"/>
        <w:rPr>
          <w:rFonts w:hint="eastAsia" w:eastAsia="仿宋_GB2312"/>
          <w:color w:val="auto"/>
          <w:lang w:eastAsia="zh-CN"/>
        </w:rPr>
      </w:pPr>
      <w:r>
        <w:rPr>
          <w:rFonts w:hint="eastAsia"/>
          <w:color w:val="auto"/>
          <w:lang w:val="en-US" w:eastAsia="zh-CN"/>
        </w:rPr>
        <w:t>指标1：专项工作完成率</w:t>
      </w:r>
      <w:r>
        <w:rPr>
          <w:rFonts w:hint="eastAsia"/>
          <w:color w:val="auto"/>
        </w:rPr>
        <w:t>，</w:t>
      </w:r>
      <w:bookmarkStart w:id="15" w:name="_Hlk98607777"/>
      <w:r>
        <w:rPr>
          <w:rFonts w:hint="eastAsia"/>
          <w:color w:val="auto"/>
        </w:rPr>
        <w:t xml:space="preserve">指标值： </w:t>
      </w:r>
      <w:r>
        <w:rPr>
          <w:rFonts w:hint="eastAsia"/>
          <w:color w:val="auto"/>
          <w:lang w:val="en-US" w:eastAsia="zh-CN"/>
        </w:rPr>
        <w:t>≥98%</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r>
        <w:rPr>
          <w:rFonts w:hint="eastAsia"/>
          <w:color w:val="auto"/>
          <w:lang w:eastAsia="zh-CN"/>
        </w:rPr>
        <w:t>。</w:t>
      </w:r>
    </w:p>
    <w:p>
      <w:pPr>
        <w:numPr>
          <w:ilvl w:val="0"/>
          <w:numId w:val="0"/>
        </w:numPr>
        <w:spacing w:line="360" w:lineRule="auto"/>
        <w:ind w:firstLine="600" w:firstLineChars="200"/>
        <w:rPr>
          <w:rFonts w:hint="eastAsia"/>
          <w:color w:val="auto"/>
        </w:rPr>
      </w:pPr>
      <w:r>
        <w:rPr>
          <w:rFonts w:hint="eastAsia"/>
          <w:color w:val="auto"/>
        </w:rPr>
        <w:t>时效指标：</w:t>
      </w:r>
    </w:p>
    <w:p>
      <w:pPr>
        <w:numPr>
          <w:ilvl w:val="0"/>
          <w:numId w:val="0"/>
        </w:numPr>
        <w:spacing w:line="360" w:lineRule="auto"/>
        <w:ind w:firstLine="600" w:firstLineChars="200"/>
        <w:rPr>
          <w:rFonts w:hint="eastAsia" w:ascii="仿宋_GB2312" w:eastAsia="仿宋_GB2312"/>
          <w:b w:val="0"/>
          <w:bCs w:val="0"/>
          <w:lang w:eastAsia="zh-CN"/>
        </w:rPr>
      </w:pPr>
      <w:r>
        <w:rPr>
          <w:rFonts w:hint="eastAsia"/>
          <w:color w:val="auto"/>
          <w:lang w:val="en-US" w:eastAsia="zh-CN"/>
        </w:rPr>
        <w:t>指标1：专项工作经费支付及时率</w:t>
      </w:r>
      <w:r>
        <w:rPr>
          <w:rFonts w:hint="eastAsia"/>
          <w:color w:val="auto"/>
        </w:rPr>
        <w:t>：指标值</w:t>
      </w:r>
      <w:r>
        <w:rPr>
          <w:rFonts w:hint="eastAsia"/>
          <w:color w:val="auto"/>
          <w:lang w:val="en-US" w:eastAsia="zh-CN"/>
        </w:rPr>
        <w:t>≥95%</w:t>
      </w:r>
      <w:r>
        <w:rPr>
          <w:rFonts w:hint="eastAsia"/>
          <w:color w:val="auto"/>
        </w:rPr>
        <w:t>，完成值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bookmarkStart w:id="17" w:name="_Toc68703841"/>
      <w:r>
        <w:rPr>
          <w:rFonts w:hint="eastAsia"/>
          <w:color w:val="auto"/>
          <w:lang w:eastAsia="zh-CN"/>
        </w:rPr>
        <w:t>。</w:t>
      </w:r>
    </w:p>
    <w:p>
      <w:pPr>
        <w:numPr>
          <w:ilvl w:val="0"/>
          <w:numId w:val="0"/>
        </w:numPr>
        <w:spacing w:line="360" w:lineRule="auto"/>
        <w:ind w:firstLine="600" w:firstLineChars="200"/>
        <w:rPr>
          <w:rFonts w:ascii="仿宋_GB2312" w:eastAsia="仿宋_GB2312"/>
          <w:b w:val="0"/>
          <w:bCs w:val="0"/>
        </w:rPr>
      </w:pPr>
      <w:r>
        <w:rPr>
          <w:rFonts w:hint="eastAsia" w:ascii="仿宋_GB2312" w:eastAsia="仿宋_GB2312"/>
          <w:b w:val="0"/>
          <w:bCs w:val="0"/>
        </w:rPr>
        <w:t>（四）项目效益情况。</w:t>
      </w:r>
      <w:bookmarkEnd w:id="17"/>
    </w:p>
    <w:p>
      <w:pPr>
        <w:spacing w:line="360" w:lineRule="auto"/>
        <w:ind w:firstLine="600" w:firstLineChars="200"/>
        <w:rPr>
          <w:rFonts w:hint="eastAsia"/>
          <w:color w:val="auto"/>
          <w:lang w:val="en-US" w:eastAsia="zh-CN"/>
        </w:rPr>
      </w:pPr>
      <w:r>
        <w:rPr>
          <w:rFonts w:hint="eastAsia"/>
          <w:color w:val="auto"/>
          <w:lang w:val="en-US" w:eastAsia="zh-CN"/>
        </w:rPr>
        <w:t>社会效益指标：</w:t>
      </w:r>
    </w:p>
    <w:p>
      <w:pPr>
        <w:spacing w:line="360" w:lineRule="auto"/>
        <w:ind w:firstLine="600" w:firstLineChars="200"/>
        <w:rPr>
          <w:rFonts w:hint="eastAsia" w:eastAsia="仿宋_GB2312"/>
          <w:color w:val="auto"/>
          <w:lang w:eastAsia="zh-CN"/>
        </w:rPr>
      </w:pPr>
      <w:r>
        <w:rPr>
          <w:rFonts w:hint="eastAsia"/>
          <w:color w:val="auto"/>
        </w:rPr>
        <w:t>指标1：</w:t>
      </w:r>
      <w:r>
        <w:rPr>
          <w:rFonts w:hint="eastAsia"/>
          <w:color w:val="auto"/>
          <w:lang w:val="en-US" w:eastAsia="zh-CN"/>
        </w:rPr>
        <w:t>提升医疗服务水平</w:t>
      </w:r>
      <w:r>
        <w:rPr>
          <w:rFonts w:hint="eastAsia"/>
          <w:color w:val="auto"/>
        </w:rPr>
        <w:t>，指标值：</w:t>
      </w:r>
      <w:r>
        <w:rPr>
          <w:rFonts w:hint="eastAsia"/>
          <w:color w:val="auto"/>
          <w:lang w:val="en-US" w:eastAsia="zh-CN"/>
        </w:rPr>
        <w:t>有所提高</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100</w:t>
      </w:r>
      <w:r>
        <w:rPr>
          <w:rFonts w:hint="eastAsia"/>
          <w:color w:val="auto"/>
        </w:rPr>
        <w:t>%</w:t>
      </w:r>
      <w:r>
        <w:rPr>
          <w:rFonts w:hint="eastAsia"/>
          <w:color w:val="auto"/>
          <w:lang w:eastAsia="zh-CN"/>
        </w:rPr>
        <w:t>。</w:t>
      </w:r>
    </w:p>
    <w:p>
      <w:pPr>
        <w:spacing w:line="360" w:lineRule="auto"/>
        <w:ind w:firstLine="600" w:firstLineChars="200"/>
        <w:rPr>
          <w:rFonts w:hint="eastAsia" w:eastAsia="仿宋_GB2312"/>
          <w:color w:val="auto"/>
          <w:lang w:val="en-US" w:eastAsia="zh-CN"/>
        </w:rPr>
      </w:pPr>
      <w:r>
        <w:rPr>
          <w:rFonts w:hint="eastAsia"/>
          <w:color w:val="auto"/>
          <w:lang w:val="en-US" w:eastAsia="zh-CN"/>
        </w:rPr>
        <w:t>指标2：提升医院医疗环境</w:t>
      </w:r>
      <w:r>
        <w:rPr>
          <w:rFonts w:hint="eastAsia"/>
          <w:color w:val="auto"/>
        </w:rPr>
        <w:t>，指标值：</w:t>
      </w:r>
      <w:r>
        <w:rPr>
          <w:rFonts w:hint="eastAsia"/>
          <w:color w:val="auto"/>
          <w:lang w:val="en-US" w:eastAsia="zh-CN"/>
        </w:rPr>
        <w:t>有所提高</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100</w:t>
      </w:r>
      <w:r>
        <w:rPr>
          <w:rFonts w:hint="eastAsia"/>
          <w:color w:val="auto"/>
        </w:rPr>
        <w:t>%</w:t>
      </w:r>
      <w:r>
        <w:rPr>
          <w:rFonts w:hint="eastAsia"/>
          <w:color w:val="auto"/>
          <w:lang w:eastAsia="zh-CN"/>
        </w:rPr>
        <w:t>。</w:t>
      </w:r>
    </w:p>
    <w:p>
      <w:pPr>
        <w:pStyle w:val="3"/>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pageBreakBefore w:val="0"/>
        <w:kinsoku/>
        <w:wordWrap/>
        <w:overflowPunct/>
        <w:topLinePunct w:val="0"/>
        <w:autoSpaceDE/>
        <w:autoSpaceDN/>
        <w:bidi w:val="0"/>
        <w:adjustRightInd/>
        <w:snapToGrid/>
        <w:spacing w:line="560" w:lineRule="exact"/>
        <w:ind w:firstLine="300" w:firstLineChars="1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pageBreakBefore w:val="0"/>
        <w:kinsoku/>
        <w:wordWrap/>
        <w:overflowPunct/>
        <w:topLinePunct w:val="0"/>
        <w:autoSpaceDE/>
        <w:autoSpaceDN/>
        <w:bidi w:val="0"/>
        <w:adjustRightInd/>
        <w:snapToGrid/>
        <w:spacing w:before="0" w:after="0" w:line="560" w:lineRule="exact"/>
        <w:ind w:firstLine="600" w:firstLineChars="200"/>
        <w:jc w:val="left"/>
        <w:textAlignment w:val="auto"/>
        <w:rPr>
          <w:color w:val="FF0000"/>
        </w:rPr>
      </w:pPr>
      <w:r>
        <w:rPr>
          <w:rFonts w:hint="eastAsia" w:ascii="仿宋_GB2312" w:hAnsi="仿宋" w:eastAsia="仿宋_GB2312" w:cs="宋体"/>
          <w:b w:val="0"/>
          <w:bCs w:val="0"/>
          <w:color w:val="333333"/>
          <w:kern w:val="2"/>
          <w:sz w:val="30"/>
          <w:szCs w:val="30"/>
          <w:lang w:val="en-US" w:eastAsia="zh-CN" w:bidi="ar-SA"/>
        </w:rP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w:t>
      </w:r>
    </w:p>
    <w:p>
      <w:pPr>
        <w:pageBreakBefore w:val="0"/>
        <w:numPr>
          <w:ilvl w:val="0"/>
          <w:numId w:val="0"/>
        </w:numPr>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eastAsia="仿宋_GB2312"/>
          <w:b w:val="0"/>
          <w:bCs w:val="0"/>
        </w:rPr>
      </w:pPr>
      <w:bookmarkStart w:id="20" w:name="_Toc68703844"/>
      <w:r>
        <w:rPr>
          <w:rFonts w:hint="eastAsia" w:ascii="仿宋_GB2312"/>
          <w:b w:val="0"/>
          <w:bCs w:val="0"/>
          <w:lang w:eastAsia="zh-CN"/>
        </w:rPr>
        <w:t>（</w:t>
      </w:r>
      <w:r>
        <w:rPr>
          <w:rFonts w:hint="eastAsia" w:ascii="仿宋_GB2312"/>
          <w:b w:val="0"/>
          <w:bCs w:val="0"/>
          <w:lang w:val="en-US" w:eastAsia="zh-CN"/>
        </w:rPr>
        <w:t>二</w:t>
      </w:r>
      <w:r>
        <w:rPr>
          <w:rFonts w:hint="eastAsia" w:ascii="仿宋_GB2312"/>
          <w:b w:val="0"/>
          <w:bCs w:val="0"/>
          <w:lang w:eastAsia="zh-CN"/>
        </w:rPr>
        <w:t>）</w:t>
      </w:r>
      <w:r>
        <w:rPr>
          <w:rFonts w:hint="eastAsia" w:ascii="仿宋_GB2312" w:eastAsia="仿宋_GB2312"/>
          <w:b w:val="0"/>
          <w:bCs w:val="0"/>
        </w:rPr>
        <w:t>存在的问题及原因分析</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2"/>
        <w:numPr>
          <w:ilvl w:val="0"/>
          <w:numId w:val="3"/>
        </w:numPr>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有关建议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numPr>
          <w:ilvl w:val="0"/>
          <w:numId w:val="0"/>
        </w:numPr>
        <w:rPr>
          <w:rFonts w:hint="default"/>
          <w:lang w:val="en-US" w:eastAsia="zh-CN"/>
        </w:rPr>
      </w:pPr>
    </w:p>
    <w:p>
      <w:pPr>
        <w:pStyle w:val="3"/>
        <w:numPr>
          <w:ilvl w:val="0"/>
          <w:numId w:val="4"/>
        </w:numPr>
        <w:spacing w:line="360" w:lineRule="auto"/>
        <w:rPr>
          <w:rFonts w:hint="eastAsia" w:ascii="宋体" w:hAnsi="宋体" w:eastAsia="宋体"/>
          <w:sz w:val="32"/>
          <w:szCs w:val="32"/>
        </w:rPr>
      </w:pPr>
      <w:bookmarkStart w:id="21" w:name="_Toc68703846"/>
      <w:r>
        <w:rPr>
          <w:rFonts w:hint="eastAsia" w:ascii="宋体" w:hAnsi="宋体" w:eastAsia="宋体"/>
          <w:sz w:val="32"/>
          <w:szCs w:val="32"/>
        </w:rPr>
        <w:t>其他需要说明的问题</w:t>
      </w:r>
      <w:bookmarkEnd w:id="21"/>
    </w:p>
    <w:p>
      <w:pPr>
        <w:numPr>
          <w:ilvl w:val="0"/>
          <w:numId w:val="0"/>
        </w:numPr>
        <w:rPr>
          <w:rFonts w:hint="eastAsia"/>
        </w:rPr>
      </w:pPr>
    </w:p>
    <w:p>
      <w:pPr>
        <w:pStyle w:val="3"/>
        <w:spacing w:line="360" w:lineRule="auto"/>
        <w:ind w:firstLine="600" w:firstLineChars="200"/>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7E0D2"/>
    <w:multiLevelType w:val="singleLevel"/>
    <w:tmpl w:val="9887E0D2"/>
    <w:lvl w:ilvl="0" w:tentative="0">
      <w:start w:val="2"/>
      <w:numFmt w:val="chineseCounting"/>
      <w:suff w:val="nothing"/>
      <w:lvlText w:val="（%1）"/>
      <w:lvlJc w:val="left"/>
      <w:pPr>
        <w:ind w:left="600"/>
      </w:pPr>
      <w:rPr>
        <w:rFonts w:hint="eastAsia"/>
      </w:rPr>
    </w:lvl>
  </w:abstractNum>
  <w:abstractNum w:abstractNumId="1">
    <w:nsid w:val="C1507A04"/>
    <w:multiLevelType w:val="singleLevel"/>
    <w:tmpl w:val="C1507A04"/>
    <w:lvl w:ilvl="0" w:tentative="0">
      <w:start w:val="6"/>
      <w:numFmt w:val="chineseCounting"/>
      <w:suff w:val="nothing"/>
      <w:lvlText w:val="%1、"/>
      <w:lvlJc w:val="left"/>
      <w:rPr>
        <w:rFonts w:hint="eastAsia"/>
      </w:rPr>
    </w:lvl>
  </w:abstractNum>
  <w:abstractNum w:abstractNumId="2">
    <w:nsid w:val="07A685E8"/>
    <w:multiLevelType w:val="singleLevel"/>
    <w:tmpl w:val="07A685E8"/>
    <w:lvl w:ilvl="0" w:tentative="0">
      <w:start w:val="7"/>
      <w:numFmt w:val="chineseCounting"/>
      <w:suff w:val="nothing"/>
      <w:lvlText w:val="%1、"/>
      <w:lvlJc w:val="left"/>
      <w:rPr>
        <w:rFonts w:hint="eastAsia"/>
      </w:rPr>
    </w:lvl>
  </w:abstractNum>
  <w:abstractNum w:abstractNumId="3">
    <w:nsid w:val="2B67AE01"/>
    <w:multiLevelType w:val="singleLevel"/>
    <w:tmpl w:val="2B67AE01"/>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4ODkyOTFjMDVmYTEwZTRmNzBiNDBmMDQ0YjE5OD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AB37FC4"/>
    <w:rsid w:val="15DA37C6"/>
    <w:rsid w:val="26AC3A6A"/>
    <w:rsid w:val="2732278A"/>
    <w:rsid w:val="2AFC27D9"/>
    <w:rsid w:val="333B61DF"/>
    <w:rsid w:val="361A5A0E"/>
    <w:rsid w:val="38B41D39"/>
    <w:rsid w:val="39616936"/>
    <w:rsid w:val="3E7C7D6E"/>
    <w:rsid w:val="3F3020FF"/>
    <w:rsid w:val="43321DFC"/>
    <w:rsid w:val="47556684"/>
    <w:rsid w:val="511E07AD"/>
    <w:rsid w:val="51C9255E"/>
    <w:rsid w:val="5239420B"/>
    <w:rsid w:val="534518BD"/>
    <w:rsid w:val="58EB7B3D"/>
    <w:rsid w:val="58FF0373"/>
    <w:rsid w:val="5B877052"/>
    <w:rsid w:val="5F3F6522"/>
    <w:rsid w:val="622575EA"/>
    <w:rsid w:val="65240694"/>
    <w:rsid w:val="67BE540A"/>
    <w:rsid w:val="67E759A9"/>
    <w:rsid w:val="6BE5151E"/>
    <w:rsid w:val="789268F2"/>
    <w:rsid w:val="7BD87765"/>
    <w:rsid w:val="7DB01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qFormat/>
    <w:uiPriority w:val="99"/>
    <w:rPr>
      <w:rFonts w:ascii="Times New Roman" w:hAnsi="Times New Roman" w:eastAsia="仿宋_GB2312" w:cs="Times New Roman"/>
      <w:sz w:val="18"/>
      <w:szCs w:val="18"/>
    </w:rPr>
  </w:style>
  <w:style w:type="character" w:customStyle="1" w:styleId="18">
    <w:name w:val="页脚 字符"/>
    <w:basedOn w:val="12"/>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1097</Words>
  <Characters>6259</Characters>
  <Lines>52</Lines>
  <Paragraphs>14</Paragraphs>
  <TotalTime>12</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2024-05-17T10:19:55Z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