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1F55E8">
      <w:pPr>
        <w:jc w:val="center"/>
        <w:rPr>
          <w:rFonts w:ascii="宋体" w:hAnsi="宋体" w:eastAsia="宋体" w:cs="Arial"/>
          <w:b/>
          <w:bCs/>
          <w:sz w:val="48"/>
          <w:szCs w:val="48"/>
        </w:rPr>
      </w:pPr>
    </w:p>
    <w:p w14:paraId="45FAB18A">
      <w:pPr>
        <w:jc w:val="center"/>
        <w:rPr>
          <w:rFonts w:ascii="宋体" w:hAnsi="宋体" w:eastAsia="宋体" w:cs="Arial"/>
          <w:b/>
          <w:bCs/>
          <w:sz w:val="48"/>
          <w:szCs w:val="48"/>
        </w:rPr>
      </w:pPr>
    </w:p>
    <w:p w14:paraId="33E45391">
      <w:pPr>
        <w:jc w:val="center"/>
        <w:rPr>
          <w:rFonts w:ascii="宋体" w:hAnsi="宋体" w:eastAsia="宋体" w:cs="Arial"/>
          <w:b/>
          <w:bCs/>
          <w:sz w:val="48"/>
          <w:szCs w:val="48"/>
        </w:rPr>
      </w:pPr>
    </w:p>
    <w:p w14:paraId="5730D28A">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1CEB5A1F">
      <w:pPr>
        <w:jc w:val="center"/>
        <w:rPr>
          <w:rFonts w:ascii="宋体" w:hAnsi="宋体" w:eastAsia="宋体" w:cs="Arial"/>
          <w:b/>
          <w:bCs/>
          <w:sz w:val="48"/>
          <w:szCs w:val="48"/>
        </w:rPr>
      </w:pPr>
    </w:p>
    <w:p w14:paraId="43DF5C02">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14:paraId="48E96221">
      <w:pPr>
        <w:spacing w:line="480" w:lineRule="auto"/>
        <w:jc w:val="center"/>
        <w:rPr>
          <w:rFonts w:ascii="仿宋_GB2312" w:hAnsi="仿宋_GB2312" w:cs="仿宋_GB2312"/>
          <w:b/>
          <w:kern w:val="0"/>
          <w:sz w:val="50"/>
          <w:szCs w:val="50"/>
          <w:lang w:bidi="en-US"/>
        </w:rPr>
      </w:pPr>
    </w:p>
    <w:p w14:paraId="2A04A749">
      <w:pPr>
        <w:spacing w:line="480" w:lineRule="auto"/>
        <w:jc w:val="center"/>
        <w:rPr>
          <w:rFonts w:ascii="仿宋_GB2312" w:hAnsi="仿宋_GB2312" w:cs="仿宋_GB2312"/>
          <w:b/>
          <w:kern w:val="0"/>
          <w:sz w:val="50"/>
          <w:szCs w:val="50"/>
          <w:lang w:bidi="en-US"/>
        </w:rPr>
      </w:pPr>
    </w:p>
    <w:p w14:paraId="45F85555">
      <w:pPr>
        <w:spacing w:line="480" w:lineRule="auto"/>
        <w:jc w:val="center"/>
        <w:rPr>
          <w:rFonts w:ascii="仿宋_GB2312" w:hAnsi="仿宋_GB2312" w:cs="仿宋_GB2312"/>
          <w:b/>
          <w:kern w:val="0"/>
          <w:sz w:val="50"/>
          <w:szCs w:val="50"/>
          <w:lang w:bidi="en-US"/>
        </w:rPr>
      </w:pPr>
    </w:p>
    <w:p w14:paraId="14B5E73D">
      <w:pPr>
        <w:spacing w:line="480" w:lineRule="auto"/>
        <w:jc w:val="center"/>
        <w:rPr>
          <w:rFonts w:ascii="仿宋_GB2312" w:hAnsi="仿宋_GB2312" w:cs="仿宋_GB2312"/>
          <w:b/>
          <w:kern w:val="0"/>
          <w:sz w:val="50"/>
          <w:szCs w:val="50"/>
          <w:lang w:bidi="en-US"/>
        </w:rPr>
      </w:pPr>
    </w:p>
    <w:p w14:paraId="61A20139">
      <w:pPr>
        <w:spacing w:line="480" w:lineRule="auto"/>
        <w:jc w:val="center"/>
        <w:rPr>
          <w:rFonts w:ascii="仿宋_GB2312" w:hAnsi="仿宋_GB2312" w:cs="仿宋_GB2312"/>
          <w:b/>
          <w:kern w:val="0"/>
          <w:sz w:val="50"/>
          <w:szCs w:val="50"/>
          <w:lang w:bidi="en-US"/>
        </w:rPr>
      </w:pPr>
    </w:p>
    <w:p w14:paraId="0191BEC7">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项目名称：</w:t>
      </w:r>
      <w:r>
        <w:rPr>
          <w:rFonts w:ascii="宋体" w:hAnsi="宋体" w:eastAsia="宋体" w:cs="宋体"/>
          <w:kern w:val="0"/>
          <w:sz w:val="32"/>
          <w:szCs w:val="32"/>
        </w:rPr>
        <w:t xml:space="preserve"> </w:t>
      </w:r>
      <w:r>
        <w:rPr>
          <w:rFonts w:hint="eastAsia" w:ascii="宋体" w:hAnsi="宋体" w:eastAsia="宋体" w:cs="宋体"/>
          <w:kern w:val="0"/>
          <w:sz w:val="32"/>
          <w:szCs w:val="32"/>
          <w:lang w:val="en-US" w:eastAsia="zh-CN"/>
        </w:rPr>
        <w:t>五号渠乡2023年村干部、组干部、三老及离任村干部生活补助</w:t>
      </w:r>
    </w:p>
    <w:p w14:paraId="667CC911">
      <w:pPr>
        <w:spacing w:line="560" w:lineRule="exact"/>
        <w:ind w:firstLine="321" w:firstLineChars="100"/>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ascii="宋体" w:hAnsi="宋体" w:eastAsia="宋体" w:cs="宋体"/>
          <w:kern w:val="0"/>
          <w:sz w:val="32"/>
          <w:szCs w:val="32"/>
        </w:rPr>
        <w:t xml:space="preserve"> </w:t>
      </w:r>
      <w:r>
        <w:rPr>
          <w:rFonts w:hint="eastAsia" w:ascii="宋体" w:hAnsi="宋体" w:eastAsia="宋体" w:cs="宋体"/>
          <w:kern w:val="0"/>
          <w:sz w:val="32"/>
          <w:szCs w:val="32"/>
          <w:lang w:val="en-US" w:eastAsia="zh-CN"/>
        </w:rPr>
        <w:t>焉耆县五号渠乡人民政府</w:t>
      </w:r>
    </w:p>
    <w:p w14:paraId="6ADD1796">
      <w:pPr>
        <w:spacing w:line="560" w:lineRule="exact"/>
        <w:ind w:firstLine="321" w:firstLineChars="100"/>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eastAsia="宋体" w:cs="宋体"/>
          <w:kern w:val="0"/>
          <w:sz w:val="32"/>
          <w:szCs w:val="32"/>
          <w:lang w:val="en-US" w:eastAsia="zh-CN"/>
        </w:rPr>
        <w:t>焉耆县人民政府</w:t>
      </w:r>
    </w:p>
    <w:p w14:paraId="4B4D44C6">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val="en-US" w:eastAsia="zh-CN"/>
        </w:rPr>
        <w:t>顾金花</w:t>
      </w:r>
    </w:p>
    <w:p w14:paraId="706C1CB5">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14:paraId="1EB81BEC">
      <w:pPr>
        <w:jc w:val="center"/>
        <w:rPr>
          <w:rFonts w:ascii="宋体" w:hAnsi="宋体" w:eastAsia="宋体" w:cs="Arial"/>
          <w:b/>
          <w:bCs/>
          <w:sz w:val="36"/>
          <w:szCs w:val="36"/>
        </w:rPr>
      </w:pPr>
    </w:p>
    <w:p w14:paraId="2065F704">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58856129">
          <w:pPr>
            <w:pStyle w:val="16"/>
            <w:jc w:val="center"/>
            <w:rPr>
              <w:rFonts w:ascii="宋体" w:hAnsi="宋体" w:eastAsia="宋体"/>
              <w:b/>
              <w:bCs/>
              <w:color w:val="auto"/>
              <w:lang w:val="zh-CN"/>
            </w:rPr>
          </w:pPr>
          <w:r>
            <w:rPr>
              <w:rFonts w:ascii="宋体" w:hAnsi="宋体" w:eastAsia="宋体"/>
              <w:b/>
              <w:bCs/>
              <w:color w:val="auto"/>
              <w:lang w:val="zh-CN"/>
            </w:rPr>
            <w:t>目录</w:t>
          </w:r>
        </w:p>
        <w:p w14:paraId="40196947">
          <w:pPr>
            <w:pStyle w:val="7"/>
            <w:tabs>
              <w:tab w:val="right" w:leader="dot" w:pos="8834"/>
            </w:tabs>
            <w:rPr>
              <w:rFonts w:cstheme="minorBidi"/>
              <w:color w:val="auto"/>
              <w:kern w:val="2"/>
              <w:sz w:val="21"/>
            </w:rPr>
          </w:pPr>
          <w:r>
            <w:rPr>
              <w:color w:val="auto"/>
            </w:rPr>
            <w:fldChar w:fldCharType="begin"/>
          </w:r>
          <w:r>
            <w:rPr>
              <w:color w:val="auto"/>
            </w:rPr>
            <w:instrText xml:space="preserve"> TOC \o "1-3" \h \z \u </w:instrText>
          </w:r>
          <w:r>
            <w:rPr>
              <w:color w:val="auto"/>
            </w:rPr>
            <w:fldChar w:fldCharType="separate"/>
          </w:r>
          <w:r>
            <w:rPr>
              <w:color w:val="auto"/>
            </w:rPr>
            <w:fldChar w:fldCharType="begin"/>
          </w:r>
          <w:r>
            <w:rPr>
              <w:color w:val="auto"/>
            </w:rPr>
            <w:instrText xml:space="preserve"> HYPERLINK \l "_Toc68703827" </w:instrText>
          </w:r>
          <w:r>
            <w:rPr>
              <w:color w:val="auto"/>
            </w:rPr>
            <w:fldChar w:fldCharType="separate"/>
          </w:r>
          <w:r>
            <w:rPr>
              <w:rStyle w:val="13"/>
              <w:rFonts w:ascii="宋体" w:hAnsi="宋体" w:eastAsia="宋体"/>
              <w:color w:val="auto"/>
            </w:rPr>
            <w:t>一、基本情况</w:t>
          </w:r>
          <w:r>
            <w:rPr>
              <w:color w:val="auto"/>
            </w:rPr>
            <w:tab/>
          </w:r>
          <w:r>
            <w:rPr>
              <w:color w:val="auto"/>
            </w:rPr>
            <w:fldChar w:fldCharType="begin"/>
          </w:r>
          <w:r>
            <w:rPr>
              <w:color w:val="auto"/>
            </w:rPr>
            <w:instrText xml:space="preserve"> PAGEREF _Toc68703827 \h </w:instrText>
          </w:r>
          <w:r>
            <w:rPr>
              <w:color w:val="auto"/>
            </w:rPr>
            <w:fldChar w:fldCharType="separate"/>
          </w:r>
          <w:r>
            <w:rPr>
              <w:color w:val="auto"/>
            </w:rPr>
            <w:t>3</w:t>
          </w:r>
          <w:r>
            <w:rPr>
              <w:color w:val="auto"/>
            </w:rPr>
            <w:fldChar w:fldCharType="end"/>
          </w:r>
          <w:r>
            <w:rPr>
              <w:color w:val="auto"/>
            </w:rPr>
            <w:fldChar w:fldCharType="end"/>
          </w:r>
        </w:p>
        <w:p w14:paraId="05D4375C">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"_Toc68703828" </w:instrText>
          </w:r>
          <w:r>
            <w:rPr>
              <w:color w:val="auto"/>
            </w:rPr>
            <w:fldChar w:fldCharType="separate"/>
          </w:r>
          <w:r>
            <w:rPr>
              <w:rStyle w:val="13"/>
              <w:rFonts w:ascii="仿宋_GB2312" w:eastAsia="仿宋_GB2312"/>
              <w:color w:val="auto"/>
            </w:rPr>
            <w:t>（一）项目概况。</w:t>
          </w:r>
          <w:r>
            <w:rPr>
              <w:color w:val="auto"/>
            </w:rPr>
            <w:tab/>
          </w:r>
          <w:r>
            <w:rPr>
              <w:color w:val="auto"/>
            </w:rPr>
            <w:fldChar w:fldCharType="begin"/>
          </w:r>
          <w:r>
            <w:rPr>
              <w:color w:val="auto"/>
            </w:rPr>
            <w:instrText xml:space="preserve"> PAGEREF _Toc68703828 \h </w:instrText>
          </w:r>
          <w:r>
            <w:rPr>
              <w:color w:val="auto"/>
            </w:rPr>
            <w:fldChar w:fldCharType="separate"/>
          </w:r>
          <w:r>
            <w:rPr>
              <w:color w:val="auto"/>
            </w:rPr>
            <w:t>3</w:t>
          </w:r>
          <w:r>
            <w:rPr>
              <w:color w:val="auto"/>
            </w:rPr>
            <w:fldChar w:fldCharType="end"/>
          </w:r>
          <w:r>
            <w:rPr>
              <w:color w:val="auto"/>
            </w:rPr>
            <w:fldChar w:fldCharType="end"/>
          </w:r>
        </w:p>
        <w:p w14:paraId="529B691E">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"_Toc68703829" </w:instrText>
          </w:r>
          <w:r>
            <w:rPr>
              <w:color w:val="auto"/>
            </w:rPr>
            <w:fldChar w:fldCharType="separate"/>
          </w:r>
          <w:r>
            <w:rPr>
              <w:rStyle w:val="13"/>
              <w:rFonts w:ascii="仿宋_GB2312" w:eastAsia="仿宋_GB2312"/>
              <w:color w:val="auto"/>
            </w:rPr>
            <w:t>（二）项目绩效目标。</w:t>
          </w:r>
          <w:r>
            <w:rPr>
              <w:color w:val="auto"/>
            </w:rPr>
            <w:tab/>
          </w:r>
          <w:r>
            <w:rPr>
              <w:color w:val="auto"/>
            </w:rPr>
            <w:fldChar w:fldCharType="begin"/>
          </w:r>
          <w:r>
            <w:rPr>
              <w:color w:val="auto"/>
            </w:rPr>
            <w:instrText xml:space="preserve"> PAGEREF _Toc68703829 \h </w:instrText>
          </w:r>
          <w:r>
            <w:rPr>
              <w:color w:val="auto"/>
            </w:rPr>
            <w:fldChar w:fldCharType="separate"/>
          </w:r>
          <w:r>
            <w:rPr>
              <w:color w:val="auto"/>
            </w:rPr>
            <w:t>4</w:t>
          </w:r>
          <w:r>
            <w:rPr>
              <w:color w:val="auto"/>
            </w:rPr>
            <w:fldChar w:fldCharType="end"/>
          </w:r>
          <w:r>
            <w:rPr>
              <w:color w:val="auto"/>
            </w:rPr>
            <w:fldChar w:fldCharType="end"/>
          </w:r>
        </w:p>
        <w:p w14:paraId="55FBCA7C">
          <w:pPr>
            <w:pStyle w:val="7"/>
            <w:tabs>
              <w:tab w:val="right" w:leader="dot" w:pos="8834"/>
            </w:tabs>
            <w:rPr>
              <w:rFonts w:cstheme="minorBidi"/>
              <w:color w:val="auto"/>
              <w:kern w:val="2"/>
              <w:sz w:val="21"/>
            </w:rPr>
          </w:pPr>
          <w:r>
            <w:rPr>
              <w:color w:val="auto"/>
            </w:rPr>
            <w:fldChar w:fldCharType="begin"/>
          </w:r>
          <w:r>
            <w:rPr>
              <w:color w:val="auto"/>
            </w:rPr>
            <w:instrText xml:space="preserve"> HYPERLINK \l "_Toc68703830" </w:instrText>
          </w:r>
          <w:r>
            <w:rPr>
              <w:color w:val="auto"/>
            </w:rPr>
            <w:fldChar w:fldCharType="separate"/>
          </w:r>
          <w:r>
            <w:rPr>
              <w:rStyle w:val="13"/>
              <w:rFonts w:ascii="宋体" w:hAnsi="宋体" w:eastAsia="宋体"/>
              <w:color w:val="auto"/>
            </w:rPr>
            <w:t>二、绩效评价工作开展情况</w:t>
          </w:r>
          <w:r>
            <w:rPr>
              <w:color w:val="auto"/>
            </w:rPr>
            <w:tab/>
          </w:r>
          <w:r>
            <w:rPr>
              <w:color w:val="auto"/>
            </w:rPr>
            <w:fldChar w:fldCharType="begin"/>
          </w:r>
          <w:r>
            <w:rPr>
              <w:color w:val="auto"/>
            </w:rPr>
            <w:instrText xml:space="preserve"> PAGEREF _Toc68703830 \h </w:instrText>
          </w:r>
          <w:r>
            <w:rPr>
              <w:color w:val="auto"/>
            </w:rPr>
            <w:fldChar w:fldCharType="separate"/>
          </w:r>
          <w:r>
            <w:rPr>
              <w:color w:val="auto"/>
            </w:rPr>
            <w:t>4</w:t>
          </w:r>
          <w:r>
            <w:rPr>
              <w:color w:val="auto"/>
            </w:rPr>
            <w:fldChar w:fldCharType="end"/>
          </w:r>
          <w:r>
            <w:rPr>
              <w:color w:val="auto"/>
            </w:rPr>
            <w:fldChar w:fldCharType="end"/>
          </w:r>
        </w:p>
        <w:p w14:paraId="4FFC9656">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"_Toc68703831" </w:instrText>
          </w:r>
          <w:r>
            <w:rPr>
              <w:color w:val="auto"/>
            </w:rPr>
            <w:fldChar w:fldCharType="separate"/>
          </w:r>
          <w:r>
            <w:rPr>
              <w:rStyle w:val="13"/>
              <w:rFonts w:ascii="仿宋_GB2312" w:eastAsia="仿宋_GB2312"/>
              <w:color w:val="auto"/>
            </w:rPr>
            <w:t>（一）绩效评价目的、对象和范围。</w:t>
          </w:r>
          <w:r>
            <w:rPr>
              <w:color w:val="auto"/>
            </w:rPr>
            <w:tab/>
          </w:r>
          <w:r>
            <w:rPr>
              <w:color w:val="auto"/>
            </w:rPr>
            <w:fldChar w:fldCharType="begin"/>
          </w:r>
          <w:r>
            <w:rPr>
              <w:color w:val="auto"/>
            </w:rPr>
            <w:instrText xml:space="preserve"> PAGEREF _Toc68703831 \h </w:instrText>
          </w:r>
          <w:r>
            <w:rPr>
              <w:color w:val="auto"/>
            </w:rPr>
            <w:fldChar w:fldCharType="separate"/>
          </w:r>
          <w:r>
            <w:rPr>
              <w:color w:val="auto"/>
            </w:rPr>
            <w:t>4</w:t>
          </w:r>
          <w:r>
            <w:rPr>
              <w:color w:val="auto"/>
            </w:rPr>
            <w:fldChar w:fldCharType="end"/>
          </w:r>
          <w:r>
            <w:rPr>
              <w:color w:val="auto"/>
            </w:rPr>
            <w:fldChar w:fldCharType="end"/>
          </w:r>
        </w:p>
        <w:p w14:paraId="2B9C6AEA">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"_Toc68703832" </w:instrText>
          </w:r>
          <w:r>
            <w:rPr>
              <w:color w:val="auto"/>
            </w:rPr>
            <w:fldChar w:fldCharType="separate"/>
          </w:r>
          <w:r>
            <w:rPr>
              <w:rStyle w:val="13"/>
              <w:rFonts w:ascii="仿宋_GB2312" w:eastAsia="仿宋_GB2312"/>
              <w:color w:val="auto"/>
            </w:rPr>
            <w:t>（二）绩效评价原则、评价指标体系、评价方法、评价标准等。</w:t>
          </w:r>
          <w:r>
            <w:rPr>
              <w:color w:val="auto"/>
            </w:rPr>
            <w:tab/>
          </w:r>
          <w:r>
            <w:rPr>
              <w:color w:val="auto"/>
            </w:rPr>
            <w:fldChar w:fldCharType="begin"/>
          </w:r>
          <w:r>
            <w:rPr>
              <w:color w:val="auto"/>
            </w:rPr>
            <w:instrText xml:space="preserve"> PAGEREF _Toc68703832 \h </w:instrText>
          </w:r>
          <w:r>
            <w:rPr>
              <w:color w:val="auto"/>
            </w:rPr>
            <w:fldChar w:fldCharType="separate"/>
          </w:r>
          <w:r>
            <w:rPr>
              <w:color w:val="auto"/>
            </w:rPr>
            <w:t>5</w:t>
          </w:r>
          <w:r>
            <w:rPr>
              <w:color w:val="auto"/>
            </w:rPr>
            <w:fldChar w:fldCharType="end"/>
          </w:r>
          <w:r>
            <w:rPr>
              <w:color w:val="auto"/>
            </w:rPr>
            <w:fldChar w:fldCharType="end"/>
          </w:r>
        </w:p>
        <w:p w14:paraId="4F363EDC">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"_Toc68703833" </w:instrText>
          </w:r>
          <w:r>
            <w:rPr>
              <w:color w:val="auto"/>
            </w:rPr>
            <w:fldChar w:fldCharType="separate"/>
          </w:r>
          <w:r>
            <w:rPr>
              <w:rStyle w:val="13"/>
              <w:rFonts w:ascii="仿宋_GB2312" w:eastAsia="仿宋_GB2312"/>
              <w:color w:val="auto"/>
            </w:rPr>
            <w:t>（三）绩效评价工作过程。</w:t>
          </w:r>
          <w:r>
            <w:rPr>
              <w:color w:val="auto"/>
            </w:rPr>
            <w:tab/>
          </w:r>
          <w:r>
            <w:rPr>
              <w:color w:val="auto"/>
            </w:rPr>
            <w:fldChar w:fldCharType="begin"/>
          </w:r>
          <w:r>
            <w:rPr>
              <w:color w:val="auto"/>
            </w:rPr>
            <w:instrText xml:space="preserve"> PAGEREF _Toc68703833 \h </w:instrText>
          </w:r>
          <w:r>
            <w:rPr>
              <w:color w:val="auto"/>
            </w:rPr>
            <w:fldChar w:fldCharType="separate"/>
          </w:r>
          <w:r>
            <w:rPr>
              <w:color w:val="auto"/>
            </w:rPr>
            <w:t>9</w:t>
          </w:r>
          <w:r>
            <w:rPr>
              <w:color w:val="auto"/>
            </w:rPr>
            <w:fldChar w:fldCharType="end"/>
          </w:r>
          <w:r>
            <w:rPr>
              <w:color w:val="auto"/>
            </w:rPr>
            <w:fldChar w:fldCharType="end"/>
          </w:r>
        </w:p>
        <w:p w14:paraId="7926FC8E">
          <w:pPr>
            <w:pStyle w:val="7"/>
            <w:tabs>
              <w:tab w:val="right" w:leader="dot" w:pos="8834"/>
            </w:tabs>
            <w:rPr>
              <w:rFonts w:cstheme="minorBidi"/>
              <w:color w:val="auto"/>
              <w:kern w:val="2"/>
              <w:sz w:val="21"/>
            </w:rPr>
          </w:pPr>
          <w:r>
            <w:rPr>
              <w:color w:val="auto"/>
            </w:rPr>
            <w:fldChar w:fldCharType="begin"/>
          </w:r>
          <w:r>
            <w:rPr>
              <w:color w:val="auto"/>
            </w:rPr>
            <w:instrText xml:space="preserve"> HYPERLINK \l "_Toc68703834" </w:instrText>
          </w:r>
          <w:r>
            <w:rPr>
              <w:color w:val="auto"/>
            </w:rPr>
            <w:fldChar w:fldCharType="separate"/>
          </w:r>
          <w:r>
            <w:rPr>
              <w:rStyle w:val="13"/>
              <w:rFonts w:ascii="宋体" w:hAnsi="宋体" w:eastAsia="宋体"/>
              <w:color w:val="auto"/>
            </w:rPr>
            <w:t>三、综合评价情况及评价结论</w:t>
          </w:r>
          <w:r>
            <w:rPr>
              <w:color w:val="auto"/>
            </w:rPr>
            <w:tab/>
          </w:r>
          <w:r>
            <w:rPr>
              <w:color w:val="auto"/>
            </w:rPr>
            <w:fldChar w:fldCharType="begin"/>
          </w:r>
          <w:r>
            <w:rPr>
              <w:color w:val="auto"/>
            </w:rPr>
            <w:instrText xml:space="preserve"> PAGEREF _Toc68703834 \h </w:instrText>
          </w:r>
          <w:r>
            <w:rPr>
              <w:color w:val="auto"/>
            </w:rPr>
            <w:fldChar w:fldCharType="separate"/>
          </w:r>
          <w:r>
            <w:rPr>
              <w:color w:val="auto"/>
            </w:rPr>
            <w:t>10</w:t>
          </w:r>
          <w:r>
            <w:rPr>
              <w:color w:val="auto"/>
            </w:rPr>
            <w:fldChar w:fldCharType="end"/>
          </w:r>
          <w:r>
            <w:rPr>
              <w:color w:val="auto"/>
            </w:rPr>
            <w:fldChar w:fldCharType="end"/>
          </w:r>
        </w:p>
        <w:p w14:paraId="6C24F553">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"_Toc68703835" </w:instrText>
          </w:r>
          <w:r>
            <w:rPr>
              <w:color w:val="auto"/>
            </w:rPr>
            <w:fldChar w:fldCharType="separate"/>
          </w:r>
          <w:r>
            <w:rPr>
              <w:rStyle w:val="13"/>
              <w:rFonts w:ascii="仿宋_GB2312" w:eastAsia="仿宋_GB2312"/>
              <w:color w:val="auto"/>
            </w:rPr>
            <w:t>（一）综合评价情况</w:t>
          </w:r>
          <w:r>
            <w:rPr>
              <w:color w:val="auto"/>
            </w:rPr>
            <w:tab/>
          </w:r>
          <w:r>
            <w:rPr>
              <w:color w:val="auto"/>
            </w:rPr>
            <w:fldChar w:fldCharType="begin"/>
          </w:r>
          <w:r>
            <w:rPr>
              <w:color w:val="auto"/>
            </w:rPr>
            <w:instrText xml:space="preserve"> PAGEREF _Toc68703835 \h </w:instrText>
          </w:r>
          <w:r>
            <w:rPr>
              <w:color w:val="auto"/>
            </w:rPr>
            <w:fldChar w:fldCharType="separate"/>
          </w:r>
          <w:r>
            <w:rPr>
              <w:color w:val="auto"/>
            </w:rPr>
            <w:t>10</w:t>
          </w:r>
          <w:r>
            <w:rPr>
              <w:color w:val="auto"/>
            </w:rPr>
            <w:fldChar w:fldCharType="end"/>
          </w:r>
          <w:r>
            <w:rPr>
              <w:color w:val="auto"/>
            </w:rPr>
            <w:fldChar w:fldCharType="end"/>
          </w:r>
        </w:p>
        <w:p w14:paraId="1DEF5173">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"_Toc68703836" </w:instrText>
          </w:r>
          <w:r>
            <w:rPr>
              <w:color w:val="auto"/>
            </w:rPr>
            <w:fldChar w:fldCharType="separate"/>
          </w:r>
          <w:r>
            <w:rPr>
              <w:rStyle w:val="13"/>
              <w:rFonts w:ascii="仿宋_GB2312" w:eastAsia="仿宋_GB2312"/>
              <w:color w:val="auto"/>
            </w:rPr>
            <w:t>（二）评价结论</w:t>
          </w:r>
          <w:r>
            <w:rPr>
              <w:color w:val="auto"/>
            </w:rPr>
            <w:tab/>
          </w:r>
          <w:r>
            <w:rPr>
              <w:color w:val="auto"/>
            </w:rPr>
            <w:fldChar w:fldCharType="begin"/>
          </w:r>
          <w:r>
            <w:rPr>
              <w:color w:val="auto"/>
            </w:rPr>
            <w:instrText xml:space="preserve"> PAGEREF _Toc68703836 \h </w:instrText>
          </w:r>
          <w:r>
            <w:rPr>
              <w:color w:val="auto"/>
            </w:rPr>
            <w:fldChar w:fldCharType="separate"/>
          </w:r>
          <w:r>
            <w:rPr>
              <w:color w:val="auto"/>
            </w:rPr>
            <w:t>11</w:t>
          </w:r>
          <w:r>
            <w:rPr>
              <w:color w:val="auto"/>
            </w:rPr>
            <w:fldChar w:fldCharType="end"/>
          </w:r>
          <w:r>
            <w:rPr>
              <w:color w:val="auto"/>
            </w:rPr>
            <w:fldChar w:fldCharType="end"/>
          </w:r>
        </w:p>
        <w:p w14:paraId="0F6EBFD4">
          <w:pPr>
            <w:pStyle w:val="7"/>
            <w:tabs>
              <w:tab w:val="right" w:leader="dot" w:pos="8834"/>
            </w:tabs>
            <w:rPr>
              <w:rFonts w:cstheme="minorBidi"/>
              <w:color w:val="auto"/>
              <w:kern w:val="2"/>
              <w:sz w:val="21"/>
            </w:rPr>
          </w:pPr>
          <w:r>
            <w:rPr>
              <w:color w:val="auto"/>
            </w:rPr>
            <w:fldChar w:fldCharType="begin"/>
          </w:r>
          <w:r>
            <w:rPr>
              <w:color w:val="auto"/>
            </w:rPr>
            <w:instrText xml:space="preserve"> HYPERLINK \l "_Toc68703837" </w:instrText>
          </w:r>
          <w:r>
            <w:rPr>
              <w:color w:val="auto"/>
            </w:rPr>
            <w:fldChar w:fldCharType="separate"/>
          </w:r>
          <w:r>
            <w:rPr>
              <w:rStyle w:val="13"/>
              <w:rFonts w:ascii="宋体" w:hAnsi="宋体" w:eastAsia="宋体"/>
              <w:color w:val="auto"/>
            </w:rPr>
            <w:t>四、绩效评价指标分析</w:t>
          </w:r>
          <w:r>
            <w:rPr>
              <w:color w:val="auto"/>
            </w:rPr>
            <w:tab/>
          </w:r>
          <w:r>
            <w:rPr>
              <w:color w:val="auto"/>
            </w:rPr>
            <w:fldChar w:fldCharType="begin"/>
          </w:r>
          <w:r>
            <w:rPr>
              <w:color w:val="auto"/>
            </w:rPr>
            <w:instrText xml:space="preserve"> PAGEREF _Toc68703837 \h </w:instrText>
          </w:r>
          <w:r>
            <w:rPr>
              <w:color w:val="auto"/>
            </w:rPr>
            <w:fldChar w:fldCharType="separate"/>
          </w:r>
          <w:r>
            <w:rPr>
              <w:color w:val="auto"/>
            </w:rPr>
            <w:t>11</w:t>
          </w:r>
          <w:r>
            <w:rPr>
              <w:color w:val="auto"/>
            </w:rPr>
            <w:fldChar w:fldCharType="end"/>
          </w:r>
          <w:r>
            <w:rPr>
              <w:color w:val="auto"/>
            </w:rPr>
            <w:fldChar w:fldCharType="end"/>
          </w:r>
        </w:p>
        <w:p w14:paraId="391402DE">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"_Toc68703838" </w:instrText>
          </w:r>
          <w:r>
            <w:rPr>
              <w:color w:val="auto"/>
            </w:rPr>
            <w:fldChar w:fldCharType="separate"/>
          </w:r>
          <w:r>
            <w:rPr>
              <w:rStyle w:val="13"/>
              <w:rFonts w:ascii="仿宋_GB2312" w:eastAsia="仿宋_GB2312"/>
              <w:color w:val="auto"/>
            </w:rPr>
            <w:t>（一）项目决策情况。</w:t>
          </w:r>
          <w:r>
            <w:rPr>
              <w:color w:val="auto"/>
            </w:rPr>
            <w:tab/>
          </w:r>
          <w:r>
            <w:rPr>
              <w:color w:val="auto"/>
            </w:rPr>
            <w:fldChar w:fldCharType="begin"/>
          </w:r>
          <w:r>
            <w:rPr>
              <w:color w:val="auto"/>
            </w:rPr>
            <w:instrText xml:space="preserve"> PAGEREF _Toc68703838 \h </w:instrText>
          </w:r>
          <w:r>
            <w:rPr>
              <w:color w:val="auto"/>
            </w:rPr>
            <w:fldChar w:fldCharType="separate"/>
          </w:r>
          <w:r>
            <w:rPr>
              <w:color w:val="auto"/>
            </w:rPr>
            <w:t>11</w:t>
          </w:r>
          <w:r>
            <w:rPr>
              <w:color w:val="auto"/>
            </w:rPr>
            <w:fldChar w:fldCharType="end"/>
          </w:r>
          <w:r>
            <w:rPr>
              <w:color w:val="auto"/>
            </w:rPr>
            <w:fldChar w:fldCharType="end"/>
          </w:r>
        </w:p>
        <w:p w14:paraId="0A4B821E">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"_Toc68703839" </w:instrText>
          </w:r>
          <w:r>
            <w:rPr>
              <w:color w:val="auto"/>
            </w:rPr>
            <w:fldChar w:fldCharType="separate"/>
          </w:r>
          <w:r>
            <w:rPr>
              <w:rStyle w:val="13"/>
              <w:rFonts w:ascii="仿宋_GB2312" w:eastAsia="仿宋_GB2312"/>
              <w:color w:val="auto"/>
            </w:rPr>
            <w:t>（二）项目过程情况。</w:t>
          </w:r>
          <w:r>
            <w:rPr>
              <w:color w:val="auto"/>
            </w:rPr>
            <w:tab/>
          </w:r>
          <w:r>
            <w:rPr>
              <w:color w:val="auto"/>
            </w:rPr>
            <w:fldChar w:fldCharType="begin"/>
          </w:r>
          <w:r>
            <w:rPr>
              <w:color w:val="auto"/>
            </w:rPr>
            <w:instrText xml:space="preserve"> PAGEREF _Toc68703839 \h </w:instrText>
          </w:r>
          <w:r>
            <w:rPr>
              <w:color w:val="auto"/>
            </w:rPr>
            <w:fldChar w:fldCharType="separate"/>
          </w:r>
          <w:r>
            <w:rPr>
              <w:color w:val="auto"/>
            </w:rPr>
            <w:t>13</w:t>
          </w:r>
          <w:r>
            <w:rPr>
              <w:color w:val="auto"/>
            </w:rPr>
            <w:fldChar w:fldCharType="end"/>
          </w:r>
          <w:r>
            <w:rPr>
              <w:color w:val="auto"/>
            </w:rPr>
            <w:fldChar w:fldCharType="end"/>
          </w:r>
        </w:p>
        <w:p w14:paraId="3409A371">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"_Toc68703840" </w:instrText>
          </w:r>
          <w:r>
            <w:rPr>
              <w:color w:val="auto"/>
            </w:rPr>
            <w:fldChar w:fldCharType="separate"/>
          </w:r>
          <w:r>
            <w:rPr>
              <w:rStyle w:val="13"/>
              <w:rFonts w:ascii="仿宋_GB2312" w:eastAsia="仿宋_GB2312"/>
              <w:color w:val="auto"/>
            </w:rPr>
            <w:t>（三）项目产出情况。</w:t>
          </w:r>
          <w:r>
            <w:rPr>
              <w:color w:val="auto"/>
            </w:rPr>
            <w:tab/>
          </w:r>
          <w:r>
            <w:rPr>
              <w:color w:val="auto"/>
            </w:rPr>
            <w:fldChar w:fldCharType="begin"/>
          </w:r>
          <w:r>
            <w:rPr>
              <w:color w:val="auto"/>
            </w:rPr>
            <w:instrText xml:space="preserve"> PAGEREF _Toc68703840 \h </w:instrText>
          </w:r>
          <w:r>
            <w:rPr>
              <w:color w:val="auto"/>
            </w:rPr>
            <w:fldChar w:fldCharType="separate"/>
          </w:r>
          <w:r>
            <w:rPr>
              <w:color w:val="auto"/>
            </w:rPr>
            <w:t>14</w:t>
          </w:r>
          <w:r>
            <w:rPr>
              <w:color w:val="auto"/>
            </w:rPr>
            <w:fldChar w:fldCharType="end"/>
          </w:r>
          <w:r>
            <w:rPr>
              <w:color w:val="auto"/>
            </w:rPr>
            <w:fldChar w:fldCharType="end"/>
          </w:r>
        </w:p>
        <w:p w14:paraId="28E3231F">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"_Toc68703841" </w:instrText>
          </w:r>
          <w:r>
            <w:rPr>
              <w:color w:val="auto"/>
            </w:rPr>
            <w:fldChar w:fldCharType="separate"/>
          </w:r>
          <w:r>
            <w:rPr>
              <w:rStyle w:val="13"/>
              <w:rFonts w:ascii="仿宋_GB2312" w:eastAsia="仿宋_GB2312"/>
              <w:color w:val="auto"/>
            </w:rPr>
            <w:t>（四）项目效益情况。</w:t>
          </w:r>
          <w:r>
            <w:rPr>
              <w:color w:val="auto"/>
            </w:rPr>
            <w:tab/>
          </w:r>
          <w:r>
            <w:rPr>
              <w:color w:val="auto"/>
            </w:rPr>
            <w:fldChar w:fldCharType="begin"/>
          </w:r>
          <w:r>
            <w:rPr>
              <w:color w:val="auto"/>
            </w:rPr>
            <w:instrText xml:space="preserve"> PAGEREF _Toc68703841 \h </w:instrText>
          </w:r>
          <w:r>
            <w:rPr>
              <w:color w:val="auto"/>
            </w:rPr>
            <w:fldChar w:fldCharType="separate"/>
          </w:r>
          <w:r>
            <w:rPr>
              <w:color w:val="auto"/>
            </w:rPr>
            <w:t>15</w:t>
          </w:r>
          <w:r>
            <w:rPr>
              <w:color w:val="auto"/>
            </w:rPr>
            <w:fldChar w:fldCharType="end"/>
          </w:r>
          <w:r>
            <w:rPr>
              <w:color w:val="auto"/>
            </w:rPr>
            <w:fldChar w:fldCharType="end"/>
          </w:r>
        </w:p>
        <w:p w14:paraId="23675795">
          <w:pPr>
            <w:pStyle w:val="7"/>
            <w:tabs>
              <w:tab w:val="right" w:leader="dot" w:pos="8834"/>
            </w:tabs>
            <w:rPr>
              <w:rFonts w:cstheme="minorBidi"/>
              <w:color w:val="auto"/>
              <w:kern w:val="2"/>
              <w:sz w:val="21"/>
            </w:rPr>
          </w:pPr>
          <w:r>
            <w:rPr>
              <w:color w:val="auto"/>
            </w:rPr>
            <w:fldChar w:fldCharType="begin"/>
          </w:r>
          <w:r>
            <w:rPr>
              <w:color w:val="auto"/>
            </w:rPr>
            <w:instrText xml:space="preserve"> HYPERLINK \l "_Toc68703842" </w:instrText>
          </w:r>
          <w:r>
            <w:rPr>
              <w:color w:val="auto"/>
            </w:rPr>
            <w:fldChar w:fldCharType="separate"/>
          </w:r>
          <w:r>
            <w:rPr>
              <w:rStyle w:val="13"/>
              <w:rFonts w:ascii="宋体" w:hAnsi="宋体" w:eastAsia="宋体"/>
              <w:color w:val="auto"/>
            </w:rPr>
            <w:t>五、主要经验及做法、存在的问题及原因分析</w:t>
          </w:r>
          <w:r>
            <w:rPr>
              <w:color w:val="auto"/>
            </w:rPr>
            <w:tab/>
          </w:r>
          <w:r>
            <w:rPr>
              <w:color w:val="auto"/>
            </w:rPr>
            <w:fldChar w:fldCharType="begin"/>
          </w:r>
          <w:r>
            <w:rPr>
              <w:color w:val="auto"/>
            </w:rPr>
            <w:instrText xml:space="preserve"> PAGEREF _Toc68703842 \h </w:instrText>
          </w:r>
          <w:r>
            <w:rPr>
              <w:color w:val="auto"/>
            </w:rPr>
            <w:fldChar w:fldCharType="separate"/>
          </w:r>
          <w:r>
            <w:rPr>
              <w:color w:val="auto"/>
            </w:rPr>
            <w:t>15</w:t>
          </w:r>
          <w:r>
            <w:rPr>
              <w:color w:val="auto"/>
            </w:rPr>
            <w:fldChar w:fldCharType="end"/>
          </w:r>
          <w:r>
            <w:rPr>
              <w:color w:val="auto"/>
            </w:rPr>
            <w:fldChar w:fldCharType="end"/>
          </w:r>
        </w:p>
        <w:p w14:paraId="065CA4B8">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"_Toc68703843" </w:instrText>
          </w:r>
          <w:r>
            <w:rPr>
              <w:color w:val="auto"/>
            </w:rPr>
            <w:fldChar w:fldCharType="separate"/>
          </w:r>
          <w:r>
            <w:rPr>
              <w:rStyle w:val="13"/>
              <w:rFonts w:ascii="仿宋_GB2312" w:eastAsia="仿宋_GB2312"/>
              <w:color w:val="auto"/>
            </w:rPr>
            <w:t>（一）主要经验及做法</w:t>
          </w:r>
          <w:r>
            <w:rPr>
              <w:color w:val="auto"/>
            </w:rPr>
            <w:tab/>
          </w:r>
          <w:r>
            <w:rPr>
              <w:color w:val="auto"/>
            </w:rPr>
            <w:fldChar w:fldCharType="begin"/>
          </w:r>
          <w:r>
            <w:rPr>
              <w:color w:val="auto"/>
            </w:rPr>
            <w:instrText xml:space="preserve"> PAGEREF _Toc68703843 \h </w:instrText>
          </w:r>
          <w:r>
            <w:rPr>
              <w:color w:val="auto"/>
            </w:rPr>
            <w:fldChar w:fldCharType="separate"/>
          </w:r>
          <w:r>
            <w:rPr>
              <w:color w:val="auto"/>
            </w:rPr>
            <w:t>15</w:t>
          </w:r>
          <w:r>
            <w:rPr>
              <w:color w:val="auto"/>
            </w:rPr>
            <w:fldChar w:fldCharType="end"/>
          </w:r>
          <w:r>
            <w:rPr>
              <w:color w:val="auto"/>
            </w:rPr>
            <w:fldChar w:fldCharType="end"/>
          </w:r>
        </w:p>
        <w:p w14:paraId="05E67244">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"_Toc68703844" </w:instrText>
          </w:r>
          <w:r>
            <w:rPr>
              <w:color w:val="auto"/>
            </w:rPr>
            <w:fldChar w:fldCharType="separate"/>
          </w:r>
          <w:r>
            <w:rPr>
              <w:rStyle w:val="13"/>
              <w:rFonts w:ascii="仿宋_GB2312" w:eastAsia="仿宋_GB2312"/>
              <w:color w:val="auto"/>
            </w:rPr>
            <w:t>（二）存在的问题及原因分析</w:t>
          </w:r>
          <w:r>
            <w:rPr>
              <w:color w:val="auto"/>
            </w:rPr>
            <w:tab/>
          </w:r>
          <w:r>
            <w:rPr>
              <w:color w:val="auto"/>
            </w:rPr>
            <w:fldChar w:fldCharType="begin"/>
          </w:r>
          <w:r>
            <w:rPr>
              <w:color w:val="auto"/>
            </w:rPr>
            <w:instrText xml:space="preserve"> PAGEREF _Toc68703844 \h </w:instrText>
          </w:r>
          <w:r>
            <w:rPr>
              <w:color w:val="auto"/>
            </w:rPr>
            <w:fldChar w:fldCharType="separate"/>
          </w:r>
          <w:r>
            <w:rPr>
              <w:color w:val="auto"/>
            </w:rPr>
            <w:t>15</w:t>
          </w:r>
          <w:r>
            <w:rPr>
              <w:color w:val="auto"/>
            </w:rPr>
            <w:fldChar w:fldCharType="end"/>
          </w:r>
          <w:r>
            <w:rPr>
              <w:color w:val="auto"/>
            </w:rPr>
            <w:fldChar w:fldCharType="end"/>
          </w:r>
        </w:p>
        <w:p w14:paraId="1CA16774">
          <w:pPr>
            <w:pStyle w:val="7"/>
            <w:tabs>
              <w:tab w:val="right" w:leader="dot" w:pos="8834"/>
            </w:tabs>
            <w:rPr>
              <w:rFonts w:cstheme="minorBidi"/>
              <w:color w:val="auto"/>
              <w:kern w:val="2"/>
              <w:sz w:val="21"/>
            </w:rPr>
          </w:pPr>
          <w:r>
            <w:rPr>
              <w:color w:val="auto"/>
            </w:rPr>
            <w:fldChar w:fldCharType="begin"/>
          </w:r>
          <w:r>
            <w:rPr>
              <w:color w:val="auto"/>
            </w:rPr>
            <w:instrText xml:space="preserve"> HYPERLINK \l "_Toc68703845" </w:instrText>
          </w:r>
          <w:r>
            <w:rPr>
              <w:color w:val="auto"/>
            </w:rPr>
            <w:fldChar w:fldCharType="separate"/>
          </w:r>
          <w:r>
            <w:rPr>
              <w:rStyle w:val="13"/>
              <w:rFonts w:ascii="宋体" w:hAnsi="宋体" w:eastAsia="宋体"/>
              <w:color w:val="auto"/>
            </w:rPr>
            <w:t>六、有关建议</w:t>
          </w:r>
          <w:r>
            <w:rPr>
              <w:color w:val="auto"/>
            </w:rPr>
            <w:tab/>
          </w:r>
          <w:r>
            <w:rPr>
              <w:color w:val="auto"/>
            </w:rPr>
            <w:fldChar w:fldCharType="begin"/>
          </w:r>
          <w:r>
            <w:rPr>
              <w:color w:val="auto"/>
            </w:rPr>
            <w:instrText xml:space="preserve"> PAGEREF _Toc68703845 \h </w:instrText>
          </w:r>
          <w:r>
            <w:rPr>
              <w:color w:val="auto"/>
            </w:rPr>
            <w:fldChar w:fldCharType="separate"/>
          </w:r>
          <w:r>
            <w:rPr>
              <w:color w:val="auto"/>
            </w:rPr>
            <w:t>16</w:t>
          </w:r>
          <w:r>
            <w:rPr>
              <w:color w:val="auto"/>
            </w:rPr>
            <w:fldChar w:fldCharType="end"/>
          </w:r>
          <w:r>
            <w:rPr>
              <w:color w:val="auto"/>
            </w:rPr>
            <w:fldChar w:fldCharType="end"/>
          </w:r>
        </w:p>
        <w:p w14:paraId="176227D9">
          <w:pPr>
            <w:pStyle w:val="7"/>
            <w:tabs>
              <w:tab w:val="right" w:leader="dot" w:pos="8834"/>
            </w:tabs>
            <w:rPr>
              <w:rFonts w:cstheme="minorBidi"/>
              <w:color w:val="auto"/>
              <w:kern w:val="2"/>
              <w:sz w:val="21"/>
            </w:rPr>
          </w:pPr>
          <w:r>
            <w:rPr>
              <w:color w:val="auto"/>
            </w:rPr>
            <w:fldChar w:fldCharType="begin"/>
          </w:r>
          <w:r>
            <w:rPr>
              <w:color w:val="auto"/>
            </w:rPr>
            <w:instrText xml:space="preserve"> HYPERLINK \l "_Toc68703846" </w:instrText>
          </w:r>
          <w:r>
            <w:rPr>
              <w:color w:val="auto"/>
            </w:rPr>
            <w:fldChar w:fldCharType="separate"/>
          </w:r>
          <w:r>
            <w:rPr>
              <w:rStyle w:val="13"/>
              <w:rFonts w:ascii="宋体" w:hAnsi="宋体" w:eastAsia="宋体"/>
              <w:color w:val="auto"/>
            </w:rPr>
            <w:t>七、其他需要说明的问题</w:t>
          </w:r>
          <w:r>
            <w:rPr>
              <w:color w:val="auto"/>
            </w:rPr>
            <w:tab/>
          </w:r>
          <w:r>
            <w:rPr>
              <w:color w:val="auto"/>
            </w:rPr>
            <w:fldChar w:fldCharType="begin"/>
          </w:r>
          <w:r>
            <w:rPr>
              <w:color w:val="auto"/>
            </w:rPr>
            <w:instrText xml:space="preserve"> PAGEREF _Toc68703846 \h </w:instrText>
          </w:r>
          <w:r>
            <w:rPr>
              <w:color w:val="auto"/>
            </w:rPr>
            <w:fldChar w:fldCharType="separate"/>
          </w:r>
          <w:r>
            <w:rPr>
              <w:color w:val="auto"/>
            </w:rPr>
            <w:t>16</w:t>
          </w:r>
          <w:r>
            <w:rPr>
              <w:color w:val="auto"/>
            </w:rPr>
            <w:fldChar w:fldCharType="end"/>
          </w:r>
          <w:r>
            <w:rPr>
              <w:color w:val="auto"/>
            </w:rPr>
            <w:fldChar w:fldCharType="end"/>
          </w:r>
        </w:p>
        <w:p w14:paraId="2B8270E0">
          <w:pPr>
            <w:rPr>
              <w:color w:val="auto"/>
            </w:rPr>
          </w:pPr>
          <w:r>
            <w:rPr>
              <w:b/>
              <w:bCs/>
              <w:color w:val="auto"/>
              <w:lang w:val="zh-CN"/>
            </w:rPr>
            <w:fldChar w:fldCharType="end"/>
          </w:r>
        </w:p>
      </w:sdtContent>
    </w:sdt>
    <w:p w14:paraId="19BCCE62">
      <w:pPr>
        <w:widowControl/>
        <w:jc w:val="left"/>
        <w:rPr>
          <w:rFonts w:ascii="宋体" w:hAnsi="宋体" w:eastAsia="宋体" w:cs="Arial"/>
          <w:b/>
          <w:bCs/>
          <w:color w:val="auto"/>
          <w:sz w:val="36"/>
          <w:szCs w:val="36"/>
        </w:rPr>
      </w:pPr>
      <w:r>
        <w:rPr>
          <w:rFonts w:ascii="宋体" w:hAnsi="宋体" w:eastAsia="宋体" w:cs="Arial"/>
          <w:b/>
          <w:bCs/>
          <w:color w:val="auto"/>
          <w:sz w:val="36"/>
          <w:szCs w:val="36"/>
        </w:rPr>
        <w:br w:type="page"/>
      </w:r>
    </w:p>
    <w:p w14:paraId="685DB4B3">
      <w:pPr>
        <w:jc w:val="center"/>
        <w:rPr>
          <w:rFonts w:ascii="Arial" w:hAnsi="Arial" w:eastAsia="宋体" w:cs="Arial"/>
          <w:b/>
          <w:bCs/>
          <w:color w:val="auto"/>
          <w:sz w:val="36"/>
          <w:szCs w:val="36"/>
        </w:rPr>
      </w:pPr>
      <w:r>
        <w:rPr>
          <w:rFonts w:hint="eastAsia" w:ascii="宋体" w:hAnsi="宋体" w:eastAsia="宋体" w:cs="Arial"/>
          <w:b/>
          <w:bCs/>
          <w:color w:val="auto"/>
          <w:sz w:val="36"/>
          <w:szCs w:val="36"/>
        </w:rPr>
        <w:t>项目支出</w:t>
      </w:r>
      <w:r>
        <w:rPr>
          <w:rFonts w:ascii="宋体" w:hAnsi="宋体" w:eastAsia="宋体" w:cs="Arial"/>
          <w:b/>
          <w:bCs/>
          <w:color w:val="auto"/>
          <w:sz w:val="36"/>
          <w:szCs w:val="36"/>
        </w:rPr>
        <w:t>绩效</w:t>
      </w:r>
      <w:r>
        <w:rPr>
          <w:rFonts w:hint="eastAsia" w:ascii="宋体" w:hAnsi="宋体" w:eastAsia="宋体" w:cs="Arial"/>
          <w:b/>
          <w:bCs/>
          <w:color w:val="auto"/>
          <w:sz w:val="36"/>
          <w:szCs w:val="36"/>
        </w:rPr>
        <w:t>评价报告</w:t>
      </w:r>
    </w:p>
    <w:p w14:paraId="0E57D676">
      <w:pPr>
        <w:jc w:val="center"/>
        <w:rPr>
          <w:rFonts w:ascii="仿宋_GB2312"/>
          <w:color w:val="auto"/>
        </w:rPr>
      </w:pPr>
    </w:p>
    <w:p w14:paraId="6FE36236">
      <w:pPr>
        <w:jc w:val="center"/>
        <w:rPr>
          <w:rFonts w:ascii="仿宋_GB2312"/>
          <w:color w:val="auto"/>
          <w:szCs w:val="30"/>
        </w:rPr>
      </w:pPr>
    </w:p>
    <w:p w14:paraId="0BCE784D">
      <w:pPr>
        <w:pStyle w:val="3"/>
        <w:spacing w:line="360" w:lineRule="auto"/>
        <w:rPr>
          <w:rFonts w:ascii="宋体" w:hAnsi="宋体" w:eastAsia="宋体"/>
          <w:color w:val="auto"/>
          <w:sz w:val="32"/>
          <w:szCs w:val="32"/>
        </w:rPr>
      </w:pPr>
      <w:bookmarkStart w:id="0" w:name="_Toc68703827"/>
      <w:r>
        <w:rPr>
          <w:rFonts w:hint="eastAsia" w:ascii="宋体" w:hAnsi="宋体" w:eastAsia="宋体"/>
          <w:color w:val="auto"/>
          <w:sz w:val="32"/>
          <w:szCs w:val="32"/>
        </w:rPr>
        <w:t>一、基本情况</w:t>
      </w:r>
      <w:bookmarkEnd w:id="0"/>
    </w:p>
    <w:p w14:paraId="29F3CEAC">
      <w:pPr>
        <w:pStyle w:val="4"/>
        <w:spacing w:line="360" w:lineRule="auto"/>
        <w:rPr>
          <w:rFonts w:ascii="仿宋_GB2312" w:eastAsia="仿宋_GB2312"/>
          <w:b w:val="0"/>
          <w:bCs w:val="0"/>
          <w:color w:val="auto"/>
        </w:rPr>
      </w:pPr>
      <w:bookmarkStart w:id="1" w:name="_Toc68703828"/>
      <w:r>
        <w:rPr>
          <w:rFonts w:hint="eastAsia" w:ascii="仿宋_GB2312" w:eastAsia="仿宋_GB2312"/>
          <w:b w:val="0"/>
          <w:bCs w:val="0"/>
          <w:color w:val="auto"/>
        </w:rPr>
        <w:t>（一）项目概况。</w:t>
      </w:r>
      <w:bookmarkEnd w:id="1"/>
    </w:p>
    <w:p w14:paraId="0E708308">
      <w:pPr>
        <w:spacing w:line="360" w:lineRule="auto"/>
        <w:ind w:firstLine="600" w:firstLineChars="200"/>
        <w:rPr>
          <w:rFonts w:hint="eastAsia" w:ascii="仿宋" w:hAnsi="仿宋" w:eastAsia="仿宋" w:cs="仿宋"/>
          <w:color w:val="auto"/>
        </w:rPr>
      </w:pPr>
      <w:r>
        <w:rPr>
          <w:rFonts w:hint="eastAsia" w:ascii="仿宋" w:hAnsi="仿宋" w:eastAsia="仿宋" w:cs="仿宋"/>
          <w:color w:val="auto"/>
        </w:rPr>
        <w:t>根据</w:t>
      </w:r>
      <w:r>
        <w:rPr>
          <w:rFonts w:hint="eastAsia" w:ascii="仿宋" w:hAnsi="仿宋" w:eastAsia="仿宋" w:cs="仿宋"/>
          <w:color w:val="auto"/>
          <w:lang w:val="en-US" w:eastAsia="zh-CN"/>
        </w:rPr>
        <w:t>2023年</w:t>
      </w:r>
      <w:r>
        <w:rPr>
          <w:rFonts w:hint="eastAsia" w:ascii="仿宋" w:hAnsi="仿宋" w:eastAsia="仿宋" w:cs="仿宋"/>
          <w:color w:val="auto"/>
        </w:rPr>
        <w:t>全年工作目标任务，按照</w:t>
      </w:r>
      <w:r>
        <w:rPr>
          <w:rFonts w:hint="eastAsia" w:ascii="仿宋" w:hAnsi="仿宋" w:eastAsia="仿宋" w:cs="仿宋"/>
          <w:color w:val="auto"/>
          <w:lang w:val="en-US" w:eastAsia="zh-CN"/>
        </w:rPr>
        <w:t>自治区</w:t>
      </w:r>
      <w:r>
        <w:rPr>
          <w:rFonts w:hint="eastAsia" w:ascii="仿宋" w:hAnsi="仿宋" w:eastAsia="仿宋" w:cs="仿宋"/>
          <w:color w:val="auto"/>
        </w:rPr>
        <w:t>关于调整在任村（社区）干部基本报酬补助标准</w:t>
      </w:r>
      <w:r>
        <w:rPr>
          <w:rFonts w:hint="eastAsia" w:ascii="仿宋" w:hAnsi="仿宋" w:eastAsia="仿宋" w:cs="仿宋"/>
          <w:color w:val="auto"/>
          <w:lang w:eastAsia="zh-CN"/>
        </w:rPr>
        <w:t>、</w:t>
      </w:r>
      <w:r>
        <w:rPr>
          <w:rFonts w:hint="eastAsia" w:ascii="仿宋" w:hAnsi="仿宋" w:eastAsia="仿宋" w:cs="仿宋"/>
          <w:color w:val="auto"/>
          <w:lang w:val="en-US" w:eastAsia="zh-CN"/>
        </w:rPr>
        <w:t>三老人员</w:t>
      </w:r>
      <w:r>
        <w:rPr>
          <w:rFonts w:hint="eastAsia" w:ascii="仿宋" w:hAnsi="仿宋" w:eastAsia="仿宋" w:cs="仿宋"/>
          <w:color w:val="auto"/>
        </w:rPr>
        <w:t>补贴标准</w:t>
      </w:r>
      <w:r>
        <w:rPr>
          <w:rFonts w:hint="eastAsia" w:ascii="仿宋" w:hAnsi="仿宋" w:eastAsia="仿宋" w:cs="仿宋"/>
          <w:color w:val="auto"/>
          <w:lang w:val="en-US" w:eastAsia="zh-CN"/>
        </w:rPr>
        <w:t>的</w:t>
      </w:r>
      <w:r>
        <w:rPr>
          <w:rFonts w:hint="eastAsia" w:ascii="仿宋" w:hAnsi="仿宋" w:eastAsia="仿宋" w:cs="仿宋"/>
          <w:color w:val="auto"/>
        </w:rPr>
        <w:t>文件要求，维护村干部、</w:t>
      </w:r>
      <w:r>
        <w:rPr>
          <w:rFonts w:hint="eastAsia" w:ascii="仿宋" w:hAnsi="仿宋" w:eastAsia="仿宋" w:cs="仿宋"/>
          <w:color w:val="auto"/>
          <w:lang w:val="en-US" w:eastAsia="zh-CN"/>
        </w:rPr>
        <w:t>三老人员</w:t>
      </w:r>
      <w:r>
        <w:rPr>
          <w:rFonts w:hint="eastAsia" w:ascii="仿宋" w:hAnsi="仿宋" w:eastAsia="仿宋" w:cs="仿宋"/>
          <w:color w:val="auto"/>
        </w:rPr>
        <w:t xml:space="preserve">个人的合法权益，增强农村的管理和发展，妥善解决好农村基层干部的工资待遇，充分调动广大基层村干部工作的积极性。 </w:t>
      </w:r>
    </w:p>
    <w:p w14:paraId="371730E0">
      <w:pPr>
        <w:numPr>
          <w:ilvl w:val="0"/>
          <w:numId w:val="2"/>
        </w:numPr>
        <w:spacing w:line="360" w:lineRule="auto"/>
        <w:ind w:firstLine="600" w:firstLineChars="200"/>
        <w:rPr>
          <w:color w:val="auto"/>
        </w:rPr>
      </w:pPr>
      <w:r>
        <w:rPr>
          <w:rFonts w:hint="eastAsia" w:ascii="仿宋_GB2312"/>
          <w:color w:val="auto"/>
        </w:rPr>
        <w:t>项目背景</w:t>
      </w:r>
    </w:p>
    <w:p w14:paraId="4ABD3DBA">
      <w:pPr>
        <w:numPr>
          <w:ilvl w:val="0"/>
          <w:numId w:val="0"/>
        </w:numPr>
        <w:spacing w:line="360" w:lineRule="auto"/>
        <w:ind w:firstLine="640" w:firstLineChars="200"/>
        <w:rPr>
          <w:rFonts w:hint="eastAsia" w:ascii="仿宋" w:hAnsi="仿宋" w:eastAsia="仿宋" w:cs="仿宋"/>
          <w:color w:val="auto"/>
        </w:rPr>
      </w:pPr>
      <w:r>
        <w:rPr>
          <w:rFonts w:hint="eastAsia" w:ascii="仿宋" w:hAnsi="仿宋" w:eastAsia="仿宋" w:cs="仿宋"/>
          <w:i w:val="0"/>
          <w:iCs w:val="0"/>
          <w:caps w:val="0"/>
          <w:color w:val="auto"/>
          <w:spacing w:val="0"/>
          <w:sz w:val="32"/>
          <w:szCs w:val="32"/>
          <w:shd w:val="clear" w:fill="FFFFFF"/>
        </w:rPr>
        <w:t>妥善解决好农村基层干部的工资待遇</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rPr>
        <w:t>维护村</w:t>
      </w:r>
      <w:r>
        <w:rPr>
          <w:rFonts w:hint="eastAsia" w:ascii="仿宋" w:hAnsi="仿宋" w:eastAsia="仿宋" w:cs="仿宋"/>
          <w:i w:val="0"/>
          <w:iCs w:val="0"/>
          <w:caps w:val="0"/>
          <w:color w:val="auto"/>
          <w:spacing w:val="0"/>
          <w:sz w:val="32"/>
          <w:szCs w:val="32"/>
          <w:shd w:val="clear" w:fill="FFFFFF"/>
          <w:lang w:val="en-US" w:eastAsia="zh-CN"/>
        </w:rPr>
        <w:t>组</w:t>
      </w:r>
      <w:r>
        <w:rPr>
          <w:rFonts w:hint="eastAsia" w:ascii="仿宋" w:hAnsi="仿宋" w:eastAsia="仿宋" w:cs="仿宋"/>
          <w:i w:val="0"/>
          <w:iCs w:val="0"/>
          <w:caps w:val="0"/>
          <w:color w:val="auto"/>
          <w:spacing w:val="0"/>
          <w:sz w:val="32"/>
          <w:szCs w:val="32"/>
          <w:shd w:val="clear" w:fill="FFFFFF"/>
        </w:rPr>
        <w:t>干部、</w:t>
      </w:r>
      <w:r>
        <w:rPr>
          <w:rFonts w:hint="eastAsia" w:ascii="仿宋" w:hAnsi="仿宋" w:eastAsia="仿宋" w:cs="仿宋"/>
          <w:i w:val="0"/>
          <w:iCs w:val="0"/>
          <w:caps w:val="0"/>
          <w:color w:val="auto"/>
          <w:spacing w:val="0"/>
          <w:sz w:val="32"/>
          <w:szCs w:val="32"/>
          <w:shd w:val="clear" w:fill="FFFFFF"/>
          <w:lang w:val="en-US" w:eastAsia="zh-CN"/>
        </w:rPr>
        <w:t>三老及离任村干部的合法权益</w:t>
      </w:r>
      <w:r>
        <w:rPr>
          <w:rFonts w:hint="eastAsia" w:ascii="仿宋" w:hAnsi="仿宋" w:eastAsia="仿宋" w:cs="仿宋"/>
          <w:i w:val="0"/>
          <w:iCs w:val="0"/>
          <w:caps w:val="0"/>
          <w:color w:val="auto"/>
          <w:spacing w:val="0"/>
          <w:sz w:val="32"/>
          <w:szCs w:val="32"/>
          <w:shd w:val="clear" w:fill="FFFFFF"/>
        </w:rPr>
        <w:t>，增强农村的管理和发展，充分调动广大基层村干部工作的积极性，发挥村干部在社会主义新农村建设中的引领作用</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rPr>
        <w:t> </w:t>
      </w:r>
    </w:p>
    <w:p w14:paraId="0FBA70DE">
      <w:pPr>
        <w:spacing w:line="360" w:lineRule="auto"/>
        <w:ind w:firstLine="600" w:firstLineChars="200"/>
        <w:rPr>
          <w:rFonts w:ascii="仿宋_GB2312"/>
          <w:color w:val="auto"/>
        </w:rPr>
      </w:pPr>
      <w:r>
        <w:rPr>
          <w:rFonts w:hint="eastAsia" w:ascii="仿宋_GB2312"/>
          <w:color w:val="auto"/>
        </w:rPr>
        <w:t>2、主要内容</w:t>
      </w:r>
      <w:r>
        <w:rPr>
          <w:rFonts w:hint="eastAsia"/>
          <w:color w:val="auto"/>
        </w:rPr>
        <w:t>及</w:t>
      </w:r>
      <w:r>
        <w:rPr>
          <w:rFonts w:hint="eastAsia" w:ascii="仿宋_GB2312"/>
          <w:color w:val="auto"/>
        </w:rPr>
        <w:t>实施情况</w:t>
      </w:r>
    </w:p>
    <w:p w14:paraId="31855F8C">
      <w:pPr>
        <w:spacing w:line="360" w:lineRule="auto"/>
        <w:ind w:firstLine="600" w:firstLineChars="200"/>
        <w:rPr>
          <w:rFonts w:hint="eastAsia" w:ascii="仿宋" w:hAnsi="仿宋" w:eastAsia="仿宋" w:cs="仿宋"/>
          <w:color w:val="auto"/>
          <w:lang w:val="en-US" w:eastAsia="zh-CN"/>
        </w:rPr>
      </w:pPr>
      <w:r>
        <w:rPr>
          <w:rFonts w:hint="eastAsia" w:ascii="仿宋" w:hAnsi="仿宋" w:eastAsia="仿宋" w:cs="仿宋"/>
          <w:color w:val="auto"/>
        </w:rPr>
        <w:t>主要内容：</w:t>
      </w:r>
      <w:r>
        <w:rPr>
          <w:rFonts w:hint="eastAsia" w:ascii="仿宋" w:hAnsi="仿宋" w:eastAsia="仿宋" w:cs="仿宋"/>
          <w:color w:val="auto"/>
          <w:lang w:val="en-US" w:eastAsia="zh-CN"/>
        </w:rPr>
        <w:t>五号渠乡政府为55名村干部、117名组干部、58名三老及离任村干部发放12个月的工资报酬。</w:t>
      </w:r>
    </w:p>
    <w:p w14:paraId="50E4BCE1">
      <w:pPr>
        <w:spacing w:line="360" w:lineRule="auto"/>
        <w:ind w:firstLine="600" w:firstLineChars="200"/>
        <w:rPr>
          <w:rFonts w:hint="default" w:ascii="仿宋_GB2312" w:eastAsia="仿宋_GB2312"/>
          <w:color w:val="auto"/>
          <w:lang w:val="en-US" w:eastAsia="zh-CN"/>
        </w:rPr>
      </w:pPr>
      <w:r>
        <w:rPr>
          <w:rFonts w:hint="eastAsia" w:ascii="仿宋_GB2312"/>
          <w:color w:val="auto"/>
        </w:rPr>
        <w:t>实施情况：</w:t>
      </w:r>
      <w:r>
        <w:rPr>
          <w:rFonts w:hint="eastAsia" w:ascii="仿宋_GB2312"/>
          <w:color w:val="auto"/>
          <w:lang w:val="en-US" w:eastAsia="zh-CN"/>
        </w:rPr>
        <w:t>五号渠乡政府保障55名村干部、117名组干部、58名三老及离任村干部发放12个月的工资报酬共计427.08万元。</w:t>
      </w:r>
    </w:p>
    <w:p w14:paraId="6308F675">
      <w:pPr>
        <w:spacing w:line="360" w:lineRule="auto"/>
        <w:ind w:firstLine="600" w:firstLineChars="200"/>
        <w:rPr>
          <w:rFonts w:ascii="仿宋_GB2312"/>
          <w:color w:val="auto"/>
        </w:rPr>
      </w:pPr>
      <w:r>
        <w:rPr>
          <w:rFonts w:ascii="仿宋_GB2312"/>
          <w:color w:val="auto"/>
        </w:rPr>
        <w:t>4</w:t>
      </w:r>
      <w:r>
        <w:rPr>
          <w:rFonts w:hint="eastAsia" w:ascii="仿宋_GB2312"/>
          <w:color w:val="auto"/>
        </w:rPr>
        <w:t>、资金投入和使用情况</w:t>
      </w:r>
    </w:p>
    <w:p w14:paraId="1B9AD93C">
      <w:pPr>
        <w:spacing w:line="360" w:lineRule="auto"/>
        <w:ind w:firstLine="600" w:firstLineChars="200"/>
        <w:rPr>
          <w:color w:val="auto"/>
        </w:rPr>
      </w:pPr>
      <w:r>
        <w:rPr>
          <w:rFonts w:hint="eastAsia"/>
          <w:color w:val="auto"/>
        </w:rPr>
        <w:t>资金投入情况：该项目年初预算数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427.08</w:t>
      </w:r>
      <w:r>
        <w:rPr>
          <w:rFonts w:hint="eastAsia"/>
          <w:color w:val="auto"/>
        </w:rPr>
        <w:t>万元，实际总投入</w:t>
      </w:r>
      <w:r>
        <w:rPr>
          <w:rFonts w:hint="eastAsia"/>
          <w:color w:val="auto"/>
          <w:lang w:val="en-US" w:eastAsia="zh-CN"/>
        </w:rPr>
        <w:t>427.08</w:t>
      </w:r>
      <w:r>
        <w:rPr>
          <w:rFonts w:hint="eastAsia"/>
          <w:color w:val="auto"/>
        </w:rPr>
        <w:t>万元，该项目资金已全部落实到位，资金来源为</w:t>
      </w:r>
      <w:r>
        <w:rPr>
          <w:rFonts w:hint="eastAsia"/>
          <w:color w:val="auto"/>
          <w:lang w:val="en-US" w:eastAsia="zh-CN"/>
        </w:rPr>
        <w:t>上级财政资金</w:t>
      </w:r>
      <w:r>
        <w:rPr>
          <w:rFonts w:hint="eastAsia"/>
          <w:color w:val="auto"/>
        </w:rPr>
        <w:t>。</w:t>
      </w:r>
    </w:p>
    <w:p w14:paraId="462D441F">
      <w:pPr>
        <w:spacing w:line="360" w:lineRule="auto"/>
        <w:ind w:firstLine="600" w:firstLineChars="200"/>
        <w:rPr>
          <w:color w:val="auto"/>
        </w:rPr>
      </w:pPr>
      <w:r>
        <w:rPr>
          <w:rFonts w:hint="eastAsia"/>
          <w:color w:val="auto"/>
        </w:rPr>
        <w:t>资金使用情况：该项目年初预算数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427.08</w:t>
      </w:r>
      <w:r>
        <w:rPr>
          <w:rFonts w:hint="eastAsia"/>
          <w:color w:val="auto"/>
        </w:rPr>
        <w:t>万元，全年执行数</w:t>
      </w:r>
      <w:r>
        <w:rPr>
          <w:rFonts w:hint="eastAsia"/>
          <w:color w:val="auto"/>
          <w:lang w:val="en-US" w:eastAsia="zh-CN"/>
        </w:rPr>
        <w:t>427.08</w:t>
      </w:r>
      <w:r>
        <w:rPr>
          <w:rFonts w:hint="eastAsia"/>
          <w:color w:val="auto"/>
        </w:rPr>
        <w:t>万元，预算执行率为</w:t>
      </w:r>
      <w:r>
        <w:rPr>
          <w:rFonts w:hint="eastAsia"/>
          <w:color w:val="auto"/>
          <w:lang w:val="en-US" w:eastAsia="zh-CN"/>
        </w:rPr>
        <w:t>100</w:t>
      </w:r>
      <w:r>
        <w:rPr>
          <w:rFonts w:hint="eastAsia"/>
          <w:color w:val="auto"/>
        </w:rPr>
        <w:t>%，用于：三老人员工资总额</w:t>
      </w:r>
      <w:r>
        <w:rPr>
          <w:rFonts w:hint="eastAsia"/>
          <w:color w:val="auto"/>
          <w:lang w:val="en-US" w:eastAsia="zh-CN"/>
        </w:rPr>
        <w:t>100.74万元</w:t>
      </w:r>
      <w:r>
        <w:rPr>
          <w:rFonts w:hint="eastAsia"/>
          <w:color w:val="auto"/>
          <w:lang w:eastAsia="zh-CN"/>
        </w:rPr>
        <w:t>、村干部工资总额</w:t>
      </w:r>
      <w:r>
        <w:rPr>
          <w:rFonts w:hint="eastAsia"/>
          <w:color w:val="auto"/>
          <w:lang w:val="en-US" w:eastAsia="zh-CN"/>
        </w:rPr>
        <w:t>176.54万元，村小组干部工资总额149.8万元</w:t>
      </w:r>
      <w:r>
        <w:rPr>
          <w:rFonts w:hint="eastAsia"/>
          <w:color w:val="auto"/>
        </w:rPr>
        <w:t>。</w:t>
      </w:r>
    </w:p>
    <w:p w14:paraId="2E09F20E">
      <w:pPr>
        <w:pStyle w:val="4"/>
        <w:spacing w:line="360" w:lineRule="auto"/>
        <w:ind w:firstLine="640" w:firstLineChars="200"/>
        <w:rPr>
          <w:rFonts w:ascii="仿宋_GB2312" w:eastAsia="仿宋_GB2312"/>
          <w:b w:val="0"/>
          <w:bCs w:val="0"/>
          <w:color w:val="auto"/>
        </w:rPr>
      </w:pPr>
      <w:bookmarkStart w:id="2" w:name="_Toc68703829"/>
      <w:r>
        <w:rPr>
          <w:rFonts w:hint="eastAsia" w:ascii="仿宋_GB2312" w:eastAsia="仿宋_GB2312"/>
          <w:b w:val="0"/>
          <w:bCs w:val="0"/>
          <w:color w:val="auto"/>
        </w:rPr>
        <w:t>（二）项目绩效目标。</w:t>
      </w:r>
      <w:bookmarkEnd w:id="2"/>
    </w:p>
    <w:p w14:paraId="53CDCFFC">
      <w:pPr>
        <w:numPr>
          <w:ilvl w:val="0"/>
          <w:numId w:val="3"/>
        </w:numPr>
        <w:spacing w:line="360" w:lineRule="auto"/>
        <w:ind w:firstLine="600" w:firstLineChars="200"/>
        <w:rPr>
          <w:rFonts w:hint="eastAsia"/>
          <w:color w:val="auto"/>
        </w:rPr>
      </w:pPr>
      <w:r>
        <w:rPr>
          <w:rFonts w:hint="eastAsia"/>
          <w:color w:val="auto"/>
        </w:rPr>
        <w:t>总体目标：按要求和标准对55位村干部、117位组干部和58位三老及离任村干部进行工资发放</w:t>
      </w:r>
    </w:p>
    <w:p w14:paraId="7DEE4DE0">
      <w:pPr>
        <w:numPr>
          <w:ilvl w:val="0"/>
          <w:numId w:val="0"/>
        </w:numPr>
        <w:spacing w:line="360" w:lineRule="auto"/>
        <w:ind w:firstLine="600" w:firstLineChars="200"/>
        <w:rPr>
          <w:rFonts w:hint="eastAsia"/>
          <w:color w:val="auto"/>
        </w:rPr>
      </w:pPr>
      <w:r>
        <w:rPr>
          <w:color w:val="auto"/>
        </w:rPr>
        <w:t>2</w:t>
      </w:r>
      <w:r>
        <w:rPr>
          <w:rFonts w:hint="eastAsia"/>
          <w:color w:val="auto"/>
        </w:rPr>
        <w:t>、阶段性目标：</w:t>
      </w:r>
    </w:p>
    <w:p w14:paraId="6E1A937F">
      <w:pPr>
        <w:spacing w:line="360" w:lineRule="auto"/>
        <w:ind w:firstLine="600" w:firstLineChars="200"/>
        <w:rPr>
          <w:rFonts w:hint="eastAsia" w:ascii="仿宋" w:hAnsi="仿宋" w:eastAsia="仿宋" w:cs="仿宋"/>
          <w:color w:val="auto"/>
          <w:lang w:val="en-US" w:eastAsia="zh-CN"/>
        </w:rPr>
      </w:pPr>
      <w:r>
        <w:rPr>
          <w:rFonts w:hint="eastAsia" w:ascii="仿宋" w:hAnsi="仿宋" w:eastAsia="仿宋" w:cs="仿宋"/>
          <w:color w:val="auto"/>
        </w:rPr>
        <w:t>第一阶段：对五号渠乡政府55名村干部、117名组干部、58名三老及离任村干部</w:t>
      </w:r>
      <w:r>
        <w:rPr>
          <w:rFonts w:hint="eastAsia" w:ascii="仿宋" w:hAnsi="仿宋" w:eastAsia="仿宋" w:cs="仿宋"/>
          <w:color w:val="auto"/>
          <w:lang w:eastAsia="zh-CN"/>
        </w:rPr>
        <w:t>，</w:t>
      </w:r>
      <w:r>
        <w:rPr>
          <w:rFonts w:hint="eastAsia" w:ascii="仿宋" w:hAnsi="仿宋" w:eastAsia="仿宋" w:cs="仿宋"/>
          <w:color w:val="auto"/>
          <w:lang w:val="en-US" w:eastAsia="zh-CN"/>
        </w:rPr>
        <w:t>做好符合领取报酬的资格审核。</w:t>
      </w:r>
    </w:p>
    <w:p w14:paraId="0E66FBC8">
      <w:pPr>
        <w:spacing w:line="360" w:lineRule="auto"/>
        <w:ind w:firstLine="600" w:firstLineChars="200"/>
        <w:rPr>
          <w:rFonts w:hint="eastAsia" w:ascii="仿宋" w:hAnsi="仿宋" w:eastAsia="仿宋" w:cs="仿宋"/>
          <w:color w:val="auto"/>
          <w:lang w:val="en-US" w:eastAsia="zh-CN"/>
        </w:rPr>
      </w:pPr>
      <w:bookmarkStart w:id="3" w:name="_Toc68703830"/>
      <w:r>
        <w:rPr>
          <w:rFonts w:hint="eastAsia" w:ascii="仿宋" w:hAnsi="仿宋" w:eastAsia="仿宋" w:cs="仿宋"/>
          <w:color w:val="auto"/>
          <w:lang w:val="en-US" w:eastAsia="zh-CN"/>
        </w:rPr>
        <w:t>第二阶段：对符合资格领取报酬人员每个月进行资金申报，按时准确发放55名村干部、117名组干部、58名三老及离任村干部，12个月足额发放。</w:t>
      </w:r>
    </w:p>
    <w:p w14:paraId="13D4F50D">
      <w:pPr>
        <w:pStyle w:val="3"/>
        <w:spacing w:line="360" w:lineRule="auto"/>
        <w:rPr>
          <w:rFonts w:ascii="宋体" w:hAnsi="宋体" w:eastAsia="宋体"/>
          <w:color w:val="auto"/>
          <w:sz w:val="32"/>
          <w:szCs w:val="32"/>
        </w:rPr>
      </w:pPr>
      <w:r>
        <w:rPr>
          <w:rFonts w:hint="eastAsia" w:ascii="宋体" w:hAnsi="宋体" w:eastAsia="宋体"/>
          <w:color w:val="auto"/>
          <w:sz w:val="32"/>
          <w:szCs w:val="32"/>
        </w:rPr>
        <w:t>二、绩效评价工作开展情况</w:t>
      </w:r>
      <w:bookmarkEnd w:id="3"/>
    </w:p>
    <w:p w14:paraId="4F0ABB5D">
      <w:pPr>
        <w:pStyle w:val="4"/>
        <w:spacing w:line="360" w:lineRule="auto"/>
        <w:rPr>
          <w:rFonts w:ascii="仿宋_GB2312" w:eastAsia="仿宋_GB2312"/>
          <w:b w:val="0"/>
          <w:bCs w:val="0"/>
          <w:color w:val="auto"/>
        </w:rPr>
      </w:pPr>
      <w:bookmarkStart w:id="4" w:name="_Toc68703831"/>
      <w:r>
        <w:rPr>
          <w:rFonts w:hint="eastAsia" w:ascii="仿宋_GB2312" w:eastAsia="仿宋_GB2312"/>
          <w:b w:val="0"/>
          <w:bCs w:val="0"/>
          <w:color w:val="auto"/>
        </w:rPr>
        <w:t>（一）绩效评价目的、对象和范围。</w:t>
      </w:r>
      <w:bookmarkEnd w:id="4"/>
    </w:p>
    <w:p w14:paraId="68EFB5A2">
      <w:pPr>
        <w:spacing w:line="360" w:lineRule="auto"/>
        <w:rPr>
          <w:rFonts w:hint="eastAsia" w:ascii="仿宋" w:hAnsi="仿宋" w:eastAsia="仿宋" w:cs="仿宋"/>
          <w:color w:val="auto"/>
        </w:rPr>
      </w:pPr>
      <w:r>
        <w:rPr>
          <w:rFonts w:hint="eastAsia" w:ascii="仿宋" w:hAnsi="仿宋" w:eastAsia="仿宋" w:cs="仿宋"/>
          <w:color w:val="auto"/>
        </w:rPr>
        <w:t>1、绩效评价目的：</w:t>
      </w:r>
    </w:p>
    <w:p w14:paraId="1F01588B">
      <w:pPr>
        <w:spacing w:line="360" w:lineRule="auto"/>
        <w:ind w:firstLine="640" w:firstLineChars="200"/>
        <w:jc w:val="left"/>
        <w:rPr>
          <w:rFonts w:hint="eastAsia" w:ascii="仿宋" w:hAnsi="仿宋" w:eastAsia="仿宋" w:cs="仿宋"/>
          <w:bCs/>
          <w:color w:val="auto"/>
          <w:sz w:val="32"/>
          <w:szCs w:val="32"/>
        </w:rPr>
      </w:pPr>
      <w:r>
        <w:rPr>
          <w:rFonts w:hint="eastAsia" w:ascii="仿宋" w:hAnsi="仿宋" w:eastAsia="仿宋" w:cs="仿宋"/>
          <w:bCs/>
          <w:color w:val="auto"/>
          <w:sz w:val="32"/>
          <w:szCs w:val="32"/>
        </w:rPr>
        <w:t>通过绩效评价，客观地评判项目的管理绩效，了解和掌握 五号渠乡2023年村干部、组干部、三老及离任村干部生活补助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14:paraId="5C8F946C">
      <w:pPr>
        <w:spacing w:line="360" w:lineRule="auto"/>
        <w:ind w:firstLine="600" w:firstLineChars="200"/>
        <w:jc w:val="left"/>
        <w:rPr>
          <w:color w:val="auto"/>
        </w:rPr>
      </w:pPr>
      <w:r>
        <w:rPr>
          <w:rFonts w:hint="eastAsia"/>
          <w:color w:val="auto"/>
        </w:rPr>
        <w:t>2、绩效评价对象：</w:t>
      </w:r>
    </w:p>
    <w:p w14:paraId="00B1B79A">
      <w:pPr>
        <w:spacing w:line="360" w:lineRule="auto"/>
        <w:ind w:firstLine="600" w:firstLineChars="200"/>
        <w:rPr>
          <w:rFonts w:hint="eastAsia" w:ascii="仿宋" w:hAnsi="仿宋" w:eastAsia="仿宋" w:cs="仿宋"/>
          <w:color w:val="auto"/>
        </w:rPr>
      </w:pPr>
      <w:r>
        <w:rPr>
          <w:rFonts w:hint="eastAsia" w:ascii="仿宋" w:hAnsi="仿宋" w:eastAsia="仿宋" w:cs="仿宋"/>
          <w:color w:val="auto"/>
        </w:rPr>
        <w:t xml:space="preserve"> 五号渠乡2023年村干部、组干部、三老及离任村干部生活补助</w:t>
      </w:r>
    </w:p>
    <w:p w14:paraId="50B314C3">
      <w:pPr>
        <w:spacing w:line="360" w:lineRule="auto"/>
        <w:ind w:firstLine="600" w:firstLineChars="200"/>
        <w:rPr>
          <w:color w:val="auto"/>
        </w:rPr>
      </w:pPr>
      <w:r>
        <w:rPr>
          <w:rFonts w:hint="eastAsia"/>
          <w:color w:val="auto"/>
        </w:rPr>
        <w:t>3、绩效评价范围：</w:t>
      </w:r>
    </w:p>
    <w:p w14:paraId="69AC159D">
      <w:pPr>
        <w:spacing w:line="360" w:lineRule="auto"/>
        <w:ind w:firstLine="600" w:firstLineChars="200"/>
        <w:rPr>
          <w:rFonts w:hint="eastAsia" w:ascii="仿宋" w:hAnsi="仿宋" w:eastAsia="仿宋" w:cs="仿宋"/>
          <w:color w:val="auto"/>
        </w:rPr>
      </w:pPr>
      <w:r>
        <w:rPr>
          <w:rFonts w:hint="eastAsia" w:ascii="仿宋" w:hAnsi="仿宋" w:eastAsia="仿宋" w:cs="仿宋"/>
          <w:color w:val="auto"/>
        </w:rPr>
        <w:t>本次评价从项目决策（包括绩效目标、决策过程）、项目管理（包括项目资金、项目实施）、项目产出（包括项目产出数量、产出质量、产出时效和产出成本）项目效益四个维度进行 五号渠乡2023年村干部、组干部、三老及离任村干部生活补助评价，评价核心为专项资金的支出完成情况和效果。</w:t>
      </w:r>
    </w:p>
    <w:p w14:paraId="2E207B13">
      <w:pPr>
        <w:pStyle w:val="4"/>
        <w:spacing w:line="360" w:lineRule="auto"/>
        <w:rPr>
          <w:rFonts w:ascii="仿宋_GB2312" w:eastAsia="仿宋_GB2312"/>
          <w:b w:val="0"/>
          <w:bCs w:val="0"/>
          <w:color w:val="auto"/>
        </w:rPr>
      </w:pPr>
      <w:bookmarkStart w:id="5" w:name="_Toc68703832"/>
      <w:r>
        <w:rPr>
          <w:rFonts w:hint="eastAsia" w:ascii="仿宋_GB2312" w:eastAsia="仿宋_GB2312"/>
          <w:b w:val="0"/>
          <w:bCs w:val="0"/>
          <w:color w:val="auto"/>
        </w:rPr>
        <w:t>（二）绩效评价原则、评价指标体系、评价方法、评价标准等。</w:t>
      </w:r>
      <w:bookmarkEnd w:id="5"/>
    </w:p>
    <w:p w14:paraId="7E3F194A">
      <w:pPr>
        <w:spacing w:line="360" w:lineRule="auto"/>
        <w:rPr>
          <w:rFonts w:hint="eastAsia" w:ascii="仿宋" w:hAnsi="仿宋" w:eastAsia="仿宋" w:cs="仿宋"/>
          <w:color w:val="auto"/>
        </w:rPr>
      </w:pPr>
      <w:r>
        <w:rPr>
          <w:rFonts w:hint="eastAsia" w:ascii="仿宋" w:hAnsi="仿宋" w:eastAsia="仿宋" w:cs="仿宋"/>
          <w:color w:val="auto"/>
        </w:rPr>
        <w:t>1、绩效评价原则</w:t>
      </w:r>
    </w:p>
    <w:p w14:paraId="2358F6EB">
      <w:pPr>
        <w:spacing w:beforeLines="0" w:afterLines="0" w:line="560" w:lineRule="atLeast"/>
        <w:ind w:firstLine="600"/>
        <w:jc w:val="left"/>
        <w:rPr>
          <w:rFonts w:hint="default" w:ascii="仿宋" w:hAnsi="仿宋" w:eastAsia="仿宋" w:cs="仿宋"/>
          <w:color w:val="auto"/>
          <w:sz w:val="31"/>
          <w:szCs w:val="31"/>
          <w:lang w:val="en-US" w:eastAsia="zh-CN"/>
        </w:rPr>
      </w:pPr>
      <w:r>
        <w:rPr>
          <w:rFonts w:hint="eastAsia" w:ascii="仿宋" w:hAnsi="仿宋" w:eastAsia="仿宋" w:cs="仿宋"/>
          <w:color w:val="auto"/>
          <w:sz w:val="31"/>
          <w:szCs w:val="31"/>
          <w:lang w:val="zh-CN"/>
        </w:rPr>
        <w:t>（1）科学公正。根据《财政部关于印发&lt;财政支出绩效评价管理暂行办法&gt;的通知》（财预〔2011〕285号）、财政部《项目支出绩效评价管理办法》（财预﹝2020﹞10号）、关于印发《自治州财政支出绩效评价管理暂行办法》的通知（巴财预〔2019〕82号），</w:t>
      </w:r>
      <w:r>
        <w:rPr>
          <w:rFonts w:hint="eastAsia" w:ascii="仿宋" w:hAnsi="仿宋" w:eastAsia="仿宋" w:cs="仿宋"/>
          <w:color w:val="auto"/>
          <w:sz w:val="31"/>
          <w:szCs w:val="31"/>
          <w:lang w:val="en-US" w:eastAsia="zh-CN"/>
        </w:rPr>
        <w:t>按照规范的程序对项目进行客观、公正的反映。</w:t>
      </w:r>
    </w:p>
    <w:p w14:paraId="5954C2E9">
      <w:pPr>
        <w:spacing w:beforeLines="0" w:afterLines="0" w:line="560" w:lineRule="atLeast"/>
        <w:ind w:firstLine="600"/>
        <w:jc w:val="left"/>
        <w:rPr>
          <w:rFonts w:hint="eastAsia" w:ascii="仿宋" w:hAnsi="仿宋" w:eastAsia="仿宋" w:cs="仿宋"/>
          <w:color w:val="auto"/>
          <w:sz w:val="31"/>
          <w:szCs w:val="31"/>
          <w:lang w:val="en-US" w:eastAsia="zh-CN"/>
        </w:rPr>
      </w:pPr>
      <w:r>
        <w:rPr>
          <w:rFonts w:hint="eastAsia" w:ascii="仿宋" w:hAnsi="仿宋" w:eastAsia="仿宋" w:cs="仿宋"/>
          <w:color w:val="auto"/>
          <w:sz w:val="31"/>
          <w:szCs w:val="31"/>
          <w:lang w:val="zh-CN"/>
        </w:rPr>
        <w:t>（2）</w:t>
      </w:r>
      <w:r>
        <w:rPr>
          <w:rFonts w:hint="eastAsia" w:ascii="仿宋" w:hAnsi="仿宋" w:eastAsia="仿宋" w:cs="仿宋"/>
          <w:color w:val="auto"/>
          <w:sz w:val="31"/>
          <w:szCs w:val="31"/>
          <w:lang w:val="en-US" w:eastAsia="zh-CN"/>
        </w:rPr>
        <w:t>统筹兼顾。单位自评、部门评价和财政评价应职责明确，各有侧重，相互衔接。单位自评应由项目单位自主实施，即“谁支出、谁自评”。部门评价和财政评价应在单位自评的基础上开展，必要时可委托第三方机构实施。</w:t>
      </w:r>
    </w:p>
    <w:p w14:paraId="400641CE">
      <w:pPr>
        <w:spacing w:beforeLines="0" w:afterLines="0" w:line="560" w:lineRule="atLeast"/>
        <w:ind w:firstLine="600"/>
        <w:jc w:val="left"/>
        <w:rPr>
          <w:rFonts w:hint="eastAsia" w:ascii="仿宋" w:hAnsi="仿宋" w:eastAsia="仿宋" w:cs="仿宋"/>
          <w:color w:val="auto"/>
          <w:sz w:val="31"/>
          <w:szCs w:val="31"/>
          <w:lang w:val="en-US" w:eastAsia="zh-CN"/>
        </w:rPr>
      </w:pPr>
      <w:r>
        <w:rPr>
          <w:rFonts w:hint="eastAsia" w:ascii="仿宋" w:hAnsi="仿宋" w:eastAsia="仿宋" w:cs="仿宋"/>
          <w:color w:val="auto"/>
          <w:sz w:val="31"/>
          <w:szCs w:val="31"/>
          <w:lang w:val="en-US" w:eastAsia="zh-CN"/>
        </w:rPr>
        <w:t>（3）激励约束。绩效评价结果应与预算安排、政策调整、改进管理实质性挂钩，体现奖优罚劣和激励相容导向，有效要安排、低效要压减、无效要问责。</w:t>
      </w:r>
    </w:p>
    <w:p w14:paraId="01859248">
      <w:pPr>
        <w:spacing w:line="360" w:lineRule="auto"/>
        <w:rPr>
          <w:rFonts w:hint="eastAsia" w:ascii="仿宋" w:hAnsi="仿宋" w:eastAsia="仿宋" w:cs="仿宋"/>
          <w:color w:val="auto"/>
          <w:sz w:val="31"/>
          <w:szCs w:val="31"/>
          <w:lang w:val="zh-CN"/>
        </w:rPr>
      </w:pPr>
      <w:r>
        <w:rPr>
          <w:rFonts w:hint="eastAsia" w:ascii="仿宋" w:hAnsi="仿宋" w:eastAsia="仿宋" w:cs="仿宋"/>
          <w:color w:val="auto"/>
          <w:sz w:val="31"/>
          <w:szCs w:val="31"/>
          <w:lang w:val="zh-CN"/>
        </w:rPr>
        <w:t>（</w:t>
      </w:r>
      <w:r>
        <w:rPr>
          <w:rFonts w:hint="eastAsia" w:ascii="仿宋" w:hAnsi="仿宋" w:eastAsia="仿宋" w:cs="仿宋"/>
          <w:color w:val="auto"/>
          <w:sz w:val="31"/>
          <w:szCs w:val="31"/>
          <w:lang w:val="en-US" w:eastAsia="zh-CN"/>
        </w:rPr>
        <w:t>4</w:t>
      </w:r>
      <w:r>
        <w:rPr>
          <w:rFonts w:hint="eastAsia" w:ascii="仿宋" w:hAnsi="仿宋" w:eastAsia="仿宋" w:cs="仿宋"/>
          <w:color w:val="auto"/>
          <w:sz w:val="31"/>
          <w:szCs w:val="31"/>
          <w:lang w:val="zh-CN"/>
        </w:rPr>
        <w:t xml:space="preserve">）公开透明。我单位绩效评价结束以后，将根据《政府信息公开条例》规定，自评结果拟在焉耆县政府政务信息公开网站进行公开，广泛接受人民群众监督，接受社会各界监督，让公众全面了解政府绩效评价过程和评价结果。 </w:t>
      </w:r>
    </w:p>
    <w:p w14:paraId="06F66886">
      <w:pPr>
        <w:spacing w:line="360" w:lineRule="auto"/>
        <w:rPr>
          <w:rFonts w:hint="eastAsia"/>
          <w:color w:val="auto"/>
        </w:rPr>
      </w:pPr>
      <w:r>
        <w:rPr>
          <w:rFonts w:hint="eastAsia"/>
          <w:color w:val="auto"/>
        </w:rPr>
        <w:t>2、评价指标体系（附表说明）</w:t>
      </w:r>
    </w:p>
    <w:p w14:paraId="0E0F99C3">
      <w:pPr>
        <w:pStyle w:val="2"/>
      </w:pPr>
    </w:p>
    <w:p w14:paraId="1D384F73">
      <w:pPr>
        <w:pStyle w:val="4"/>
        <w:spacing w:before="0" w:after="0" w:line="240" w:lineRule="auto"/>
        <w:jc w:val="center"/>
        <w:rPr>
          <w:rFonts w:ascii="Times New Roman" w:hAnsi="Times New Roman" w:eastAsia="仿宋_GB2312" w:cs="Times New Roman"/>
          <w:b w:val="0"/>
          <w:bCs w:val="0"/>
          <w:color w:val="auto"/>
          <w:sz w:val="30"/>
          <w:szCs w:val="24"/>
        </w:rPr>
      </w:pPr>
      <w:r>
        <w:rPr>
          <w:rFonts w:hint="eastAsia" w:ascii="Times New Roman" w:hAnsi="Times New Roman" w:eastAsia="仿宋_GB2312" w:cs="Times New Roman"/>
          <w:b w:val="0"/>
          <w:bCs w:val="0"/>
          <w:color w:val="auto"/>
          <w:sz w:val="30"/>
          <w:szCs w:val="24"/>
        </w:rPr>
        <w:t xml:space="preserve"> 五号渠乡2023年村干部、组干部、三老及离任村干部生活补助项目支出绩效评价指标体系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21CAC5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3FF3A8E7">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一级指标</w:t>
            </w:r>
          </w:p>
        </w:tc>
        <w:tc>
          <w:tcPr>
            <w:tcW w:w="1478" w:type="dxa"/>
            <w:shd w:val="clear" w:color="auto" w:fill="FFFFFF"/>
            <w:vAlign w:val="center"/>
          </w:tcPr>
          <w:p w14:paraId="518BD412">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二级指标</w:t>
            </w:r>
          </w:p>
        </w:tc>
        <w:tc>
          <w:tcPr>
            <w:tcW w:w="1875" w:type="dxa"/>
            <w:tcBorders>
              <w:right w:val="single" w:color="auto" w:sz="4" w:space="0"/>
            </w:tcBorders>
            <w:shd w:val="clear" w:color="auto" w:fill="FFFFFF"/>
            <w:vAlign w:val="center"/>
          </w:tcPr>
          <w:p w14:paraId="46D25B48">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三级指标</w:t>
            </w:r>
          </w:p>
        </w:tc>
        <w:tc>
          <w:tcPr>
            <w:tcW w:w="3885" w:type="dxa"/>
            <w:tcBorders>
              <w:right w:val="single" w:color="auto" w:sz="4" w:space="0"/>
            </w:tcBorders>
            <w:shd w:val="clear" w:color="auto" w:fill="FFFFFF"/>
          </w:tcPr>
          <w:p w14:paraId="16344C90">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指标解释</w:t>
            </w:r>
          </w:p>
        </w:tc>
        <w:tc>
          <w:tcPr>
            <w:tcW w:w="990" w:type="dxa"/>
            <w:tcBorders>
              <w:left w:val="single" w:color="auto" w:sz="4" w:space="0"/>
            </w:tcBorders>
            <w:shd w:val="clear" w:color="auto" w:fill="FFFFFF"/>
          </w:tcPr>
          <w:p w14:paraId="292C89CF">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分值</w:t>
            </w:r>
          </w:p>
        </w:tc>
        <w:tc>
          <w:tcPr>
            <w:tcW w:w="874" w:type="dxa"/>
            <w:shd w:val="clear" w:color="auto" w:fill="FFFFFF"/>
          </w:tcPr>
          <w:p w14:paraId="18FE419F">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得分</w:t>
            </w:r>
          </w:p>
        </w:tc>
      </w:tr>
      <w:tr w14:paraId="191C8E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0929B957">
            <w:pPr>
              <w:widowControl/>
              <w:spacing w:line="0" w:lineRule="atLeast"/>
              <w:jc w:val="center"/>
              <w:rPr>
                <w:rFonts w:ascii="宋体" w:hAnsi="宋体" w:cs="宋体"/>
                <w:color w:val="auto"/>
                <w:kern w:val="0"/>
                <w:sz w:val="22"/>
              </w:rPr>
            </w:pPr>
            <w:r>
              <w:rPr>
                <w:rFonts w:hint="eastAsia" w:ascii="宋体" w:hAnsi="宋体" w:cs="宋体"/>
                <w:color w:val="auto"/>
                <w:kern w:val="0"/>
                <w:sz w:val="22"/>
              </w:rPr>
              <w:t>决策</w:t>
            </w:r>
          </w:p>
        </w:tc>
        <w:tc>
          <w:tcPr>
            <w:tcW w:w="1478" w:type="dxa"/>
            <w:vMerge w:val="restart"/>
            <w:shd w:val="clear" w:color="auto" w:fill="FFFFFF"/>
            <w:vAlign w:val="center"/>
          </w:tcPr>
          <w:p w14:paraId="6E05227A">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项目立项　</w:t>
            </w:r>
          </w:p>
        </w:tc>
        <w:tc>
          <w:tcPr>
            <w:tcW w:w="1875" w:type="dxa"/>
            <w:tcBorders>
              <w:right w:val="single" w:color="auto" w:sz="4" w:space="0"/>
            </w:tcBorders>
            <w:shd w:val="clear" w:color="auto" w:fill="FFFFFF"/>
            <w:vAlign w:val="center"/>
          </w:tcPr>
          <w:p w14:paraId="6B4659F6">
            <w:pPr>
              <w:widowControl/>
              <w:spacing w:line="0" w:lineRule="atLeast"/>
              <w:jc w:val="center"/>
              <w:rPr>
                <w:rFonts w:ascii="宋体" w:hAnsi="宋体" w:cs="宋体"/>
                <w:color w:val="auto"/>
                <w:kern w:val="0"/>
                <w:sz w:val="22"/>
              </w:rPr>
            </w:pPr>
            <w:r>
              <w:rPr>
                <w:rFonts w:hint="eastAsia" w:ascii="宋体" w:hAnsi="宋体" w:cs="宋体"/>
                <w:color w:val="auto"/>
                <w:kern w:val="0"/>
                <w:sz w:val="22"/>
              </w:rPr>
              <w:t>立项依据</w:t>
            </w:r>
          </w:p>
          <w:p w14:paraId="1FA56173">
            <w:pPr>
              <w:widowControl/>
              <w:spacing w:line="0" w:lineRule="atLeast"/>
              <w:jc w:val="center"/>
              <w:rPr>
                <w:rFonts w:ascii="宋体" w:hAnsi="宋体" w:cs="宋体"/>
                <w:color w:val="auto"/>
                <w:kern w:val="0"/>
                <w:sz w:val="22"/>
              </w:rPr>
            </w:pPr>
            <w:r>
              <w:rPr>
                <w:rFonts w:hint="eastAsia" w:ascii="宋体" w:hAnsi="宋体" w:cs="宋体"/>
                <w:color w:val="auto"/>
                <w:kern w:val="0"/>
                <w:sz w:val="22"/>
              </w:rPr>
              <w:t>充分性</w:t>
            </w:r>
          </w:p>
        </w:tc>
        <w:tc>
          <w:tcPr>
            <w:tcW w:w="3885" w:type="dxa"/>
            <w:tcBorders>
              <w:right w:val="single" w:color="auto" w:sz="4" w:space="0"/>
            </w:tcBorders>
            <w:shd w:val="clear" w:color="auto" w:fill="FFFFFF"/>
            <w:vAlign w:val="center"/>
          </w:tcPr>
          <w:p w14:paraId="7EB20457">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14:paraId="0256905A">
            <w:pPr>
              <w:spacing w:beforeLines="0" w:afterLines="0" w:line="580" w:lineRule="atLeast"/>
              <w:jc w:val="center"/>
              <w:rPr>
                <w:color w:val="auto"/>
              </w:rPr>
            </w:pPr>
            <w:r>
              <w:rPr>
                <w:rFonts w:hint="eastAsia" w:ascii="仿宋" w:hAnsi="仿宋" w:eastAsia="仿宋" w:cs="仿宋"/>
                <w:color w:val="auto"/>
                <w:sz w:val="20"/>
                <w:szCs w:val="20"/>
                <w:lang w:val="zh-CN"/>
              </w:rPr>
              <w:t>5</w:t>
            </w:r>
          </w:p>
        </w:tc>
        <w:tc>
          <w:tcPr>
            <w:tcW w:w="874" w:type="dxa"/>
            <w:tcBorders>
              <w:bottom w:val="single" w:color="auto" w:sz="4" w:space="0"/>
            </w:tcBorders>
            <w:shd w:val="clear" w:color="auto" w:fill="FFFFFF"/>
            <w:vAlign w:val="top"/>
          </w:tcPr>
          <w:p w14:paraId="377C1AC9">
            <w:pPr>
              <w:spacing w:beforeLines="0" w:afterLines="0" w:line="580" w:lineRule="atLeast"/>
              <w:jc w:val="center"/>
              <w:rPr>
                <w:rFonts w:hint="eastAsia" w:eastAsia="仿宋_GB2312"/>
                <w:color w:val="auto"/>
                <w:lang w:val="en-US" w:eastAsia="zh-CN"/>
              </w:rPr>
            </w:pPr>
            <w:r>
              <w:rPr>
                <w:rFonts w:hint="eastAsia" w:ascii="仿宋" w:hAnsi="仿宋" w:eastAsia="仿宋" w:cs="仿宋"/>
                <w:color w:val="auto"/>
                <w:sz w:val="20"/>
                <w:szCs w:val="20"/>
                <w:lang w:val="zh-CN"/>
              </w:rPr>
              <w:t>5</w:t>
            </w:r>
          </w:p>
        </w:tc>
      </w:tr>
      <w:tr w14:paraId="34C6C5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055BE6BF">
            <w:pPr>
              <w:spacing w:line="0" w:lineRule="atLeast"/>
              <w:jc w:val="center"/>
              <w:rPr>
                <w:rFonts w:ascii="宋体" w:hAnsi="宋体" w:cs="宋体"/>
                <w:color w:val="auto"/>
                <w:kern w:val="0"/>
                <w:sz w:val="22"/>
              </w:rPr>
            </w:pPr>
          </w:p>
        </w:tc>
        <w:tc>
          <w:tcPr>
            <w:tcW w:w="1478" w:type="dxa"/>
            <w:vMerge w:val="continue"/>
            <w:shd w:val="clear" w:color="auto" w:fill="FFFFFF"/>
            <w:vAlign w:val="center"/>
          </w:tcPr>
          <w:p w14:paraId="3E54E3E8">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14:paraId="4697EC98">
            <w:pPr>
              <w:widowControl/>
              <w:spacing w:line="0" w:lineRule="atLeast"/>
              <w:jc w:val="center"/>
              <w:rPr>
                <w:rFonts w:ascii="宋体" w:hAnsi="宋体" w:cs="宋体"/>
                <w:color w:val="auto"/>
                <w:kern w:val="0"/>
                <w:sz w:val="22"/>
              </w:rPr>
            </w:pPr>
            <w:r>
              <w:rPr>
                <w:rFonts w:hint="eastAsia" w:ascii="宋体" w:hAnsi="宋体" w:cs="宋体"/>
                <w:color w:val="auto"/>
                <w:kern w:val="0"/>
                <w:sz w:val="22"/>
              </w:rPr>
              <w:t>立项程序</w:t>
            </w:r>
          </w:p>
          <w:p w14:paraId="18ACD821">
            <w:pPr>
              <w:widowControl/>
              <w:spacing w:line="0" w:lineRule="atLeast"/>
              <w:jc w:val="center"/>
              <w:rPr>
                <w:rFonts w:ascii="宋体" w:hAnsi="宋体" w:cs="宋体"/>
                <w:color w:val="auto"/>
                <w:kern w:val="0"/>
                <w:sz w:val="22"/>
              </w:rPr>
            </w:pPr>
            <w:r>
              <w:rPr>
                <w:rFonts w:hint="eastAsia" w:ascii="宋体" w:hAnsi="宋体" w:cs="宋体"/>
                <w:color w:val="auto"/>
                <w:kern w:val="0"/>
                <w:sz w:val="22"/>
              </w:rPr>
              <w:t>规范性</w:t>
            </w:r>
          </w:p>
        </w:tc>
        <w:tc>
          <w:tcPr>
            <w:tcW w:w="3885" w:type="dxa"/>
            <w:tcBorders>
              <w:right w:val="single" w:color="auto" w:sz="4" w:space="0"/>
            </w:tcBorders>
            <w:shd w:val="clear" w:color="auto" w:fill="FFFFFF"/>
            <w:vAlign w:val="center"/>
          </w:tcPr>
          <w:p w14:paraId="641FEA02">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14:paraId="44E8FB3A">
            <w:pPr>
              <w:spacing w:beforeLines="0" w:afterLines="0" w:line="580" w:lineRule="atLeast"/>
              <w:jc w:val="center"/>
              <w:rPr>
                <w:color w:val="auto"/>
              </w:rPr>
            </w:pPr>
            <w:r>
              <w:rPr>
                <w:rFonts w:hint="eastAsia" w:ascii="仿宋" w:hAnsi="仿宋" w:eastAsia="仿宋" w:cs="仿宋"/>
                <w:color w:val="auto"/>
                <w:sz w:val="20"/>
                <w:szCs w:val="20"/>
                <w:lang w:val="zh-CN"/>
              </w:rPr>
              <w:t>5</w:t>
            </w:r>
          </w:p>
        </w:tc>
        <w:tc>
          <w:tcPr>
            <w:tcW w:w="874" w:type="dxa"/>
            <w:shd w:val="clear" w:color="auto" w:fill="FFFFFF"/>
            <w:vAlign w:val="top"/>
          </w:tcPr>
          <w:p w14:paraId="19E0DCA0">
            <w:pPr>
              <w:spacing w:beforeLines="0" w:afterLines="0" w:line="580" w:lineRule="atLeast"/>
              <w:jc w:val="center"/>
              <w:rPr>
                <w:rFonts w:hint="eastAsia" w:eastAsia="仿宋_GB2312"/>
                <w:color w:val="auto"/>
                <w:lang w:val="en-US" w:eastAsia="zh-CN"/>
              </w:rPr>
            </w:pPr>
            <w:r>
              <w:rPr>
                <w:rFonts w:hint="eastAsia" w:ascii="仿宋" w:hAnsi="仿宋" w:eastAsia="仿宋" w:cs="仿宋"/>
                <w:color w:val="auto"/>
                <w:sz w:val="20"/>
                <w:szCs w:val="20"/>
                <w:lang w:val="zh-CN"/>
              </w:rPr>
              <w:t>5</w:t>
            </w:r>
          </w:p>
        </w:tc>
      </w:tr>
      <w:tr w14:paraId="26E34C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1FC129B7">
            <w:pPr>
              <w:spacing w:line="0" w:lineRule="atLeast"/>
              <w:jc w:val="center"/>
              <w:rPr>
                <w:rFonts w:ascii="宋体" w:hAnsi="宋体" w:cs="宋体"/>
                <w:color w:val="auto"/>
                <w:kern w:val="0"/>
                <w:sz w:val="22"/>
              </w:rPr>
            </w:pPr>
          </w:p>
        </w:tc>
        <w:tc>
          <w:tcPr>
            <w:tcW w:w="1478" w:type="dxa"/>
            <w:vMerge w:val="restart"/>
            <w:shd w:val="clear" w:color="auto" w:fill="FFFFFF"/>
            <w:vAlign w:val="center"/>
          </w:tcPr>
          <w:p w14:paraId="1F5AEEC3">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绩效目标</w:t>
            </w:r>
          </w:p>
        </w:tc>
        <w:tc>
          <w:tcPr>
            <w:tcW w:w="1875" w:type="dxa"/>
            <w:tcBorders>
              <w:right w:val="single" w:color="auto" w:sz="4" w:space="0"/>
            </w:tcBorders>
            <w:shd w:val="clear" w:color="auto" w:fill="FFFFFF"/>
            <w:vAlign w:val="center"/>
          </w:tcPr>
          <w:p w14:paraId="33B289ED">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绩效目标</w:t>
            </w:r>
          </w:p>
          <w:p w14:paraId="11109880">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合理性</w:t>
            </w:r>
          </w:p>
        </w:tc>
        <w:tc>
          <w:tcPr>
            <w:tcW w:w="3885" w:type="dxa"/>
            <w:tcBorders>
              <w:right w:val="single" w:color="auto" w:sz="4" w:space="0"/>
            </w:tcBorders>
            <w:shd w:val="clear" w:color="000000" w:fill="FFFFFF"/>
            <w:vAlign w:val="center"/>
          </w:tcPr>
          <w:p w14:paraId="1F602BEC">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14:paraId="1FAA8C30">
            <w:pPr>
              <w:spacing w:beforeLines="0" w:afterLines="0" w:line="580" w:lineRule="atLeast"/>
              <w:jc w:val="center"/>
              <w:rPr>
                <w:color w:val="auto"/>
              </w:rPr>
            </w:pPr>
            <w:r>
              <w:rPr>
                <w:rFonts w:hint="eastAsia" w:ascii="仿宋" w:hAnsi="仿宋" w:eastAsia="仿宋" w:cs="仿宋"/>
                <w:color w:val="auto"/>
                <w:sz w:val="20"/>
                <w:szCs w:val="20"/>
                <w:lang w:val="zh-CN"/>
              </w:rPr>
              <w:t>2.5</w:t>
            </w:r>
          </w:p>
        </w:tc>
        <w:tc>
          <w:tcPr>
            <w:tcW w:w="874" w:type="dxa"/>
            <w:shd w:val="clear" w:color="000000" w:fill="FFFFFF"/>
            <w:vAlign w:val="top"/>
          </w:tcPr>
          <w:p w14:paraId="52BA1D70">
            <w:pPr>
              <w:spacing w:beforeLines="0" w:afterLines="0" w:line="580" w:lineRule="atLeast"/>
              <w:jc w:val="center"/>
              <w:rPr>
                <w:rFonts w:hint="default" w:eastAsia="仿宋_GB2312"/>
                <w:color w:val="auto"/>
                <w:lang w:val="en-US" w:eastAsia="zh-CN"/>
              </w:rPr>
            </w:pPr>
            <w:r>
              <w:rPr>
                <w:rFonts w:hint="eastAsia" w:ascii="仿宋" w:hAnsi="仿宋" w:eastAsia="仿宋" w:cs="仿宋"/>
                <w:color w:val="auto"/>
                <w:sz w:val="20"/>
                <w:szCs w:val="20"/>
                <w:lang w:val="zh-CN"/>
              </w:rPr>
              <w:t>2.5</w:t>
            </w:r>
          </w:p>
        </w:tc>
      </w:tr>
      <w:tr w14:paraId="3945E9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1C315506">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14:paraId="5B256C76">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14:paraId="653C2E1D">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绩效指标</w:t>
            </w:r>
          </w:p>
          <w:p w14:paraId="2D4F3BB3">
            <w:pPr>
              <w:widowControl/>
              <w:spacing w:line="0" w:lineRule="atLeast"/>
              <w:jc w:val="center"/>
              <w:rPr>
                <w:rFonts w:ascii="宋体" w:hAnsi="宋体" w:cs="宋体"/>
                <w:color w:val="auto"/>
                <w:kern w:val="0"/>
                <w:sz w:val="22"/>
              </w:rPr>
            </w:pPr>
            <w:r>
              <w:rPr>
                <w:rFonts w:hint="eastAsia" w:ascii="宋体" w:hAnsi="宋体" w:cs="宋体"/>
                <w:color w:val="auto"/>
                <w:kern w:val="0"/>
                <w:sz w:val="22"/>
              </w:rPr>
              <w:t>明确性</w:t>
            </w:r>
          </w:p>
        </w:tc>
        <w:tc>
          <w:tcPr>
            <w:tcW w:w="3885" w:type="dxa"/>
            <w:tcBorders>
              <w:right w:val="single" w:color="auto" w:sz="4" w:space="0"/>
            </w:tcBorders>
            <w:shd w:val="clear" w:color="000000" w:fill="FFFFFF"/>
            <w:vAlign w:val="center"/>
          </w:tcPr>
          <w:p w14:paraId="34CC9CD9">
            <w:pPr>
              <w:widowControl/>
              <w:spacing w:line="0" w:lineRule="atLeast"/>
              <w:jc w:val="center"/>
              <w:rPr>
                <w:rFonts w:ascii="宋体" w:hAnsi="宋体" w:cs="宋体"/>
                <w:color w:val="auto"/>
                <w:kern w:val="0"/>
                <w:sz w:val="22"/>
              </w:rPr>
            </w:pPr>
            <w:r>
              <w:rPr>
                <w:rFonts w:hint="eastAsia" w:ascii="宋体" w:hAnsi="宋体" w:cs="宋体"/>
                <w:color w:val="auto"/>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14:paraId="6F534AE8">
            <w:pPr>
              <w:spacing w:beforeLines="0" w:afterLines="0" w:line="580" w:lineRule="atLeast"/>
              <w:jc w:val="center"/>
              <w:rPr>
                <w:color w:val="auto"/>
              </w:rPr>
            </w:pPr>
            <w:r>
              <w:rPr>
                <w:rFonts w:hint="eastAsia" w:ascii="仿宋" w:hAnsi="仿宋" w:eastAsia="仿宋" w:cs="仿宋"/>
                <w:color w:val="auto"/>
                <w:sz w:val="20"/>
                <w:szCs w:val="20"/>
                <w:lang w:val="zh-CN"/>
              </w:rPr>
              <w:t>2.5</w:t>
            </w:r>
          </w:p>
        </w:tc>
        <w:tc>
          <w:tcPr>
            <w:tcW w:w="874" w:type="dxa"/>
            <w:tcBorders>
              <w:bottom w:val="single" w:color="auto" w:sz="4" w:space="0"/>
            </w:tcBorders>
            <w:shd w:val="clear" w:color="000000" w:fill="FFFFFF"/>
            <w:vAlign w:val="top"/>
          </w:tcPr>
          <w:p w14:paraId="3AE68A3D">
            <w:pPr>
              <w:spacing w:beforeLines="0" w:afterLines="0" w:line="580" w:lineRule="atLeast"/>
              <w:jc w:val="center"/>
              <w:rPr>
                <w:color w:val="auto"/>
              </w:rPr>
            </w:pPr>
            <w:r>
              <w:rPr>
                <w:rFonts w:hint="eastAsia" w:ascii="仿宋" w:hAnsi="仿宋" w:eastAsia="仿宋" w:cs="仿宋"/>
                <w:color w:val="auto"/>
                <w:sz w:val="20"/>
                <w:szCs w:val="20"/>
                <w:lang w:val="zh-CN"/>
              </w:rPr>
              <w:t>2.5</w:t>
            </w:r>
          </w:p>
        </w:tc>
      </w:tr>
      <w:tr w14:paraId="4A8861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162F33C9">
            <w:pPr>
              <w:spacing w:line="0" w:lineRule="atLeast"/>
              <w:jc w:val="center"/>
              <w:rPr>
                <w:rFonts w:ascii="宋体" w:hAnsi="宋体" w:cs="宋体"/>
                <w:color w:val="auto"/>
                <w:kern w:val="0"/>
                <w:sz w:val="22"/>
              </w:rPr>
            </w:pPr>
          </w:p>
        </w:tc>
        <w:tc>
          <w:tcPr>
            <w:tcW w:w="1478" w:type="dxa"/>
            <w:vMerge w:val="restart"/>
            <w:shd w:val="clear" w:color="auto" w:fill="FFFFFF"/>
            <w:vAlign w:val="center"/>
          </w:tcPr>
          <w:p w14:paraId="7AB6137B">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资金投入</w:t>
            </w:r>
          </w:p>
          <w:p w14:paraId="6D8CB0EB">
            <w:pPr>
              <w:spacing w:line="0" w:lineRule="atLeast"/>
              <w:jc w:val="center"/>
              <w:rPr>
                <w:rFonts w:ascii="宋体" w:hAnsi="宋体" w:cs="宋体"/>
                <w:color w:val="auto"/>
                <w:kern w:val="0"/>
                <w:sz w:val="22"/>
              </w:rPr>
            </w:pPr>
            <w:r>
              <w:rPr>
                <w:rFonts w:hint="eastAsia" w:ascii="宋体" w:hAnsi="宋体" w:cs="宋体"/>
                <w:color w:val="auto"/>
                <w:kern w:val="0"/>
                <w:sz w:val="22"/>
              </w:rPr>
              <w:t>　</w:t>
            </w:r>
          </w:p>
        </w:tc>
        <w:tc>
          <w:tcPr>
            <w:tcW w:w="1875" w:type="dxa"/>
            <w:tcBorders>
              <w:right w:val="single" w:color="auto" w:sz="4" w:space="0"/>
            </w:tcBorders>
            <w:shd w:val="clear" w:color="auto" w:fill="FFFFFF"/>
            <w:vAlign w:val="center"/>
          </w:tcPr>
          <w:p w14:paraId="4E2FEEE2">
            <w:pPr>
              <w:widowControl/>
              <w:spacing w:line="0" w:lineRule="atLeast"/>
              <w:jc w:val="center"/>
              <w:rPr>
                <w:rFonts w:ascii="宋体" w:hAnsi="宋体" w:cs="宋体"/>
                <w:color w:val="auto"/>
                <w:kern w:val="0"/>
                <w:sz w:val="22"/>
              </w:rPr>
            </w:pPr>
            <w:r>
              <w:rPr>
                <w:rFonts w:hint="eastAsia" w:ascii="宋体" w:hAnsi="宋体" w:cs="宋体"/>
                <w:color w:val="auto"/>
                <w:kern w:val="0"/>
                <w:sz w:val="22"/>
              </w:rPr>
              <w:t>预算编制</w:t>
            </w:r>
          </w:p>
          <w:p w14:paraId="64E36C20">
            <w:pPr>
              <w:widowControl/>
              <w:spacing w:line="0" w:lineRule="atLeast"/>
              <w:jc w:val="center"/>
              <w:rPr>
                <w:rFonts w:ascii="宋体" w:hAnsi="宋体" w:cs="宋体"/>
                <w:color w:val="auto"/>
                <w:kern w:val="0"/>
                <w:sz w:val="22"/>
              </w:rPr>
            </w:pPr>
            <w:r>
              <w:rPr>
                <w:rFonts w:hint="eastAsia" w:ascii="宋体" w:hAnsi="宋体" w:cs="宋体"/>
                <w:color w:val="auto"/>
                <w:kern w:val="0"/>
                <w:sz w:val="22"/>
              </w:rPr>
              <w:t>科学性</w:t>
            </w:r>
          </w:p>
        </w:tc>
        <w:tc>
          <w:tcPr>
            <w:tcW w:w="3885" w:type="dxa"/>
            <w:tcBorders>
              <w:right w:val="single" w:color="auto" w:sz="4" w:space="0"/>
            </w:tcBorders>
            <w:shd w:val="clear" w:color="auto" w:fill="FFFFFF"/>
            <w:vAlign w:val="center"/>
          </w:tcPr>
          <w:p w14:paraId="6ED8DE2B">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14:paraId="45DBDFAC">
            <w:pPr>
              <w:tabs>
                <w:tab w:val="left" w:pos="517"/>
              </w:tabs>
              <w:spacing w:beforeLines="0" w:afterLines="0" w:line="580" w:lineRule="atLeast"/>
              <w:jc w:val="left"/>
              <w:rPr>
                <w:color w:val="auto"/>
              </w:rPr>
            </w:pPr>
            <w:r>
              <w:rPr>
                <w:rFonts w:hint="eastAsia" w:ascii="仿宋" w:hAnsi="仿宋" w:eastAsia="仿宋" w:cs="仿宋"/>
                <w:color w:val="auto"/>
                <w:sz w:val="20"/>
                <w:szCs w:val="20"/>
                <w:lang w:val="zh-CN"/>
              </w:rPr>
              <w:t xml:space="preserve"> 2.5</w:t>
            </w:r>
          </w:p>
        </w:tc>
        <w:tc>
          <w:tcPr>
            <w:tcW w:w="874" w:type="dxa"/>
            <w:tcBorders>
              <w:bottom w:val="single" w:color="auto" w:sz="4" w:space="0"/>
            </w:tcBorders>
            <w:shd w:val="clear" w:color="auto" w:fill="FFFFFF"/>
            <w:vAlign w:val="top"/>
          </w:tcPr>
          <w:p w14:paraId="7A80C342">
            <w:pPr>
              <w:tabs>
                <w:tab w:val="left" w:pos="517"/>
              </w:tabs>
              <w:spacing w:beforeLines="0" w:afterLines="0" w:line="580" w:lineRule="atLeast"/>
              <w:jc w:val="left"/>
              <w:rPr>
                <w:color w:val="auto"/>
              </w:rPr>
            </w:pPr>
            <w:r>
              <w:rPr>
                <w:rFonts w:hint="eastAsia" w:ascii="仿宋" w:hAnsi="仿宋" w:eastAsia="仿宋" w:cs="仿宋"/>
                <w:color w:val="auto"/>
                <w:sz w:val="20"/>
                <w:szCs w:val="20"/>
                <w:lang w:val="zh-CN"/>
              </w:rPr>
              <w:t xml:space="preserve"> 2.5</w:t>
            </w:r>
          </w:p>
        </w:tc>
      </w:tr>
      <w:tr w14:paraId="7565F4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0EE04211">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14:paraId="48013C8D">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14:paraId="4B714C66">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资金分配</w:t>
            </w:r>
          </w:p>
          <w:p w14:paraId="25443F3F">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合理性</w:t>
            </w:r>
          </w:p>
        </w:tc>
        <w:tc>
          <w:tcPr>
            <w:tcW w:w="3885" w:type="dxa"/>
            <w:tcBorders>
              <w:right w:val="single" w:color="auto" w:sz="4" w:space="0"/>
            </w:tcBorders>
            <w:shd w:val="clear" w:color="auto" w:fill="FFFFFF"/>
            <w:vAlign w:val="center"/>
          </w:tcPr>
          <w:p w14:paraId="205BDBE3">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14:paraId="5A86DAC1">
            <w:pPr>
              <w:spacing w:beforeLines="0" w:afterLines="0" w:line="580" w:lineRule="atLeast"/>
              <w:jc w:val="center"/>
              <w:rPr>
                <w:color w:val="auto"/>
              </w:rPr>
            </w:pPr>
            <w:r>
              <w:rPr>
                <w:rFonts w:hint="eastAsia" w:ascii="仿宋" w:hAnsi="仿宋" w:eastAsia="仿宋" w:cs="仿宋"/>
                <w:color w:val="auto"/>
                <w:sz w:val="20"/>
                <w:szCs w:val="20"/>
                <w:lang w:val="zh-CN"/>
              </w:rPr>
              <w:t>2.5</w:t>
            </w:r>
          </w:p>
        </w:tc>
        <w:tc>
          <w:tcPr>
            <w:tcW w:w="874" w:type="dxa"/>
            <w:shd w:val="clear" w:color="auto" w:fill="FFFFFF"/>
            <w:vAlign w:val="top"/>
          </w:tcPr>
          <w:p w14:paraId="5F44DDEA">
            <w:pPr>
              <w:spacing w:beforeLines="0" w:afterLines="0" w:line="580" w:lineRule="atLeast"/>
              <w:jc w:val="center"/>
              <w:rPr>
                <w:color w:val="auto"/>
              </w:rPr>
            </w:pPr>
            <w:r>
              <w:rPr>
                <w:rFonts w:hint="eastAsia" w:ascii="仿宋" w:hAnsi="仿宋" w:eastAsia="仿宋" w:cs="仿宋"/>
                <w:color w:val="auto"/>
                <w:sz w:val="20"/>
                <w:szCs w:val="20"/>
                <w:lang w:val="zh-CN"/>
              </w:rPr>
              <w:t>2.5</w:t>
            </w:r>
          </w:p>
        </w:tc>
      </w:tr>
      <w:tr w14:paraId="72C019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6C3D3F3C">
            <w:pPr>
              <w:spacing w:line="0" w:lineRule="atLeast"/>
              <w:jc w:val="center"/>
              <w:rPr>
                <w:rFonts w:ascii="宋体" w:hAnsi="宋体" w:cs="宋体"/>
                <w:color w:val="auto"/>
                <w:kern w:val="0"/>
                <w:sz w:val="22"/>
              </w:rPr>
            </w:pPr>
            <w:r>
              <w:rPr>
                <w:rFonts w:hint="eastAsia" w:ascii="宋体" w:hAnsi="宋体" w:cs="宋体"/>
                <w:color w:val="auto"/>
                <w:kern w:val="0"/>
                <w:sz w:val="22"/>
              </w:rPr>
              <w:t>过程</w:t>
            </w:r>
          </w:p>
        </w:tc>
        <w:tc>
          <w:tcPr>
            <w:tcW w:w="1478" w:type="dxa"/>
            <w:vMerge w:val="restart"/>
            <w:shd w:val="clear" w:color="auto" w:fill="FFFFFF"/>
            <w:vAlign w:val="center"/>
          </w:tcPr>
          <w:p w14:paraId="0E8304EB">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14:paraId="3D6EC791">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资金到位率</w:t>
            </w:r>
          </w:p>
        </w:tc>
        <w:tc>
          <w:tcPr>
            <w:tcW w:w="3885" w:type="dxa"/>
            <w:tcBorders>
              <w:right w:val="single" w:color="auto" w:sz="4" w:space="0"/>
            </w:tcBorders>
            <w:shd w:val="clear" w:color="000000" w:fill="FFFFFF"/>
            <w:vAlign w:val="center"/>
          </w:tcPr>
          <w:p w14:paraId="55E43201">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14:paraId="2F32ADDB">
            <w:pPr>
              <w:spacing w:beforeLines="0" w:afterLines="0" w:line="580" w:lineRule="atLeast"/>
              <w:jc w:val="center"/>
              <w:rPr>
                <w:color w:val="auto"/>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14:paraId="23B5068D">
            <w:pPr>
              <w:spacing w:beforeLines="0" w:afterLines="0" w:line="580" w:lineRule="atLeast"/>
              <w:jc w:val="center"/>
              <w:rPr>
                <w:color w:val="auto"/>
              </w:rPr>
            </w:pPr>
            <w:r>
              <w:rPr>
                <w:rFonts w:hint="eastAsia" w:ascii="仿宋" w:hAnsi="仿宋" w:eastAsia="仿宋" w:cs="仿宋"/>
                <w:color w:val="auto"/>
                <w:sz w:val="20"/>
                <w:szCs w:val="20"/>
                <w:lang w:val="zh-CN"/>
              </w:rPr>
              <w:t>4</w:t>
            </w:r>
          </w:p>
        </w:tc>
      </w:tr>
      <w:tr w14:paraId="278D0C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29CC8CBA">
            <w:pPr>
              <w:spacing w:line="0" w:lineRule="atLeast"/>
              <w:jc w:val="center"/>
              <w:rPr>
                <w:rFonts w:ascii="宋体" w:hAnsi="宋体" w:cs="宋体"/>
                <w:color w:val="auto"/>
                <w:kern w:val="0"/>
                <w:sz w:val="22"/>
              </w:rPr>
            </w:pPr>
          </w:p>
        </w:tc>
        <w:tc>
          <w:tcPr>
            <w:tcW w:w="1478" w:type="dxa"/>
            <w:vMerge w:val="continue"/>
            <w:shd w:val="clear" w:color="auto" w:fill="FFFFFF"/>
            <w:vAlign w:val="center"/>
          </w:tcPr>
          <w:p w14:paraId="7710D237">
            <w:pPr>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14:paraId="39929CD9">
            <w:pPr>
              <w:widowControl/>
              <w:spacing w:line="0" w:lineRule="atLeast"/>
              <w:jc w:val="center"/>
              <w:rPr>
                <w:rFonts w:ascii="宋体" w:hAnsi="宋体" w:cs="宋体"/>
                <w:color w:val="auto"/>
                <w:kern w:val="0"/>
                <w:sz w:val="22"/>
              </w:rPr>
            </w:pPr>
            <w:r>
              <w:rPr>
                <w:rFonts w:hint="eastAsia" w:ascii="宋体" w:hAnsi="宋体" w:cs="宋体"/>
                <w:color w:val="auto"/>
                <w:kern w:val="0"/>
                <w:sz w:val="22"/>
              </w:rPr>
              <w:t>预算执行率</w:t>
            </w:r>
          </w:p>
        </w:tc>
        <w:tc>
          <w:tcPr>
            <w:tcW w:w="3885" w:type="dxa"/>
            <w:tcBorders>
              <w:right w:val="single" w:color="auto" w:sz="4" w:space="0"/>
            </w:tcBorders>
            <w:shd w:val="clear" w:color="auto" w:fill="FFFFFF"/>
            <w:vAlign w:val="center"/>
          </w:tcPr>
          <w:p w14:paraId="18370EDD">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14:paraId="5556C9F2">
            <w:pPr>
              <w:spacing w:beforeLines="0" w:afterLines="0" w:line="580" w:lineRule="atLeast"/>
              <w:jc w:val="center"/>
              <w:rPr>
                <w:color w:val="auto"/>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auto" w:fill="FFFFFF"/>
            <w:vAlign w:val="top"/>
          </w:tcPr>
          <w:p w14:paraId="6E9250B5">
            <w:pPr>
              <w:spacing w:beforeLines="0" w:afterLines="0" w:line="580" w:lineRule="atLeast"/>
              <w:jc w:val="center"/>
              <w:rPr>
                <w:color w:val="auto"/>
              </w:rPr>
            </w:pPr>
            <w:r>
              <w:rPr>
                <w:rFonts w:hint="eastAsia" w:ascii="仿宋" w:hAnsi="仿宋" w:eastAsia="仿宋" w:cs="仿宋"/>
                <w:color w:val="auto"/>
                <w:sz w:val="20"/>
                <w:szCs w:val="20"/>
                <w:lang w:val="zh-CN"/>
              </w:rPr>
              <w:t>4</w:t>
            </w:r>
          </w:p>
        </w:tc>
      </w:tr>
      <w:tr w14:paraId="39E6D8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3B56E9AC">
            <w:pPr>
              <w:spacing w:line="0" w:lineRule="atLeast"/>
              <w:jc w:val="center"/>
              <w:rPr>
                <w:rFonts w:ascii="宋体" w:hAnsi="宋体" w:cs="宋体"/>
                <w:color w:val="auto"/>
                <w:kern w:val="0"/>
                <w:sz w:val="22"/>
              </w:rPr>
            </w:pPr>
          </w:p>
        </w:tc>
        <w:tc>
          <w:tcPr>
            <w:tcW w:w="1478" w:type="dxa"/>
            <w:shd w:val="clear" w:color="auto" w:fill="FFFFFF"/>
            <w:vAlign w:val="center"/>
          </w:tcPr>
          <w:p w14:paraId="2CE1C653">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14:paraId="645404C6">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资金使用</w:t>
            </w:r>
          </w:p>
          <w:p w14:paraId="1C3A9068">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合规性</w:t>
            </w:r>
          </w:p>
        </w:tc>
        <w:tc>
          <w:tcPr>
            <w:tcW w:w="3885" w:type="dxa"/>
            <w:tcBorders>
              <w:right w:val="single" w:color="auto" w:sz="4" w:space="0"/>
            </w:tcBorders>
            <w:shd w:val="clear" w:color="000000" w:fill="FFFFFF"/>
            <w:vAlign w:val="center"/>
          </w:tcPr>
          <w:p w14:paraId="44AF3EF8">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14:paraId="309900EE">
            <w:pPr>
              <w:spacing w:beforeLines="0" w:afterLines="0" w:line="580" w:lineRule="atLeast"/>
              <w:jc w:val="center"/>
              <w:rPr>
                <w:color w:val="auto"/>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14:paraId="027E3654">
            <w:pPr>
              <w:spacing w:beforeLines="0" w:afterLines="0" w:line="580" w:lineRule="atLeast"/>
              <w:jc w:val="center"/>
              <w:rPr>
                <w:color w:val="auto"/>
              </w:rPr>
            </w:pPr>
            <w:r>
              <w:rPr>
                <w:rFonts w:hint="eastAsia" w:ascii="仿宋" w:hAnsi="仿宋" w:eastAsia="仿宋" w:cs="仿宋"/>
                <w:color w:val="auto"/>
                <w:sz w:val="20"/>
                <w:szCs w:val="20"/>
                <w:lang w:val="zh-CN"/>
              </w:rPr>
              <w:t>4</w:t>
            </w:r>
          </w:p>
        </w:tc>
      </w:tr>
      <w:tr w14:paraId="627101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06E27E08">
            <w:pPr>
              <w:spacing w:line="0" w:lineRule="atLeast"/>
              <w:jc w:val="center"/>
              <w:rPr>
                <w:rFonts w:ascii="宋体" w:hAnsi="宋体" w:cs="宋体"/>
                <w:color w:val="auto"/>
                <w:kern w:val="0"/>
                <w:sz w:val="22"/>
              </w:rPr>
            </w:pPr>
          </w:p>
        </w:tc>
        <w:tc>
          <w:tcPr>
            <w:tcW w:w="1478" w:type="dxa"/>
            <w:vMerge w:val="restart"/>
            <w:shd w:val="clear" w:color="auto" w:fill="FFFFFF"/>
            <w:vAlign w:val="center"/>
          </w:tcPr>
          <w:p w14:paraId="012D76DF">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组织实施</w:t>
            </w:r>
          </w:p>
          <w:p w14:paraId="20BC63DF">
            <w:pPr>
              <w:spacing w:line="0" w:lineRule="atLeast"/>
              <w:jc w:val="center"/>
              <w:rPr>
                <w:rFonts w:ascii="宋体" w:hAnsi="宋体" w:cs="宋体"/>
                <w:color w:val="auto"/>
                <w:kern w:val="0"/>
                <w:sz w:val="22"/>
              </w:rPr>
            </w:pPr>
            <w:r>
              <w:rPr>
                <w:rFonts w:hint="eastAsia" w:ascii="宋体" w:hAnsi="宋体" w:cs="宋体"/>
                <w:color w:val="auto"/>
                <w:kern w:val="0"/>
                <w:sz w:val="22"/>
              </w:rPr>
              <w:t>　</w:t>
            </w:r>
          </w:p>
        </w:tc>
        <w:tc>
          <w:tcPr>
            <w:tcW w:w="1875" w:type="dxa"/>
            <w:tcBorders>
              <w:right w:val="single" w:color="auto" w:sz="4" w:space="0"/>
            </w:tcBorders>
            <w:shd w:val="clear" w:color="auto" w:fill="FFFFFF"/>
            <w:vAlign w:val="center"/>
          </w:tcPr>
          <w:p w14:paraId="35DD5254">
            <w:pPr>
              <w:widowControl/>
              <w:spacing w:line="0" w:lineRule="atLeast"/>
              <w:jc w:val="center"/>
              <w:rPr>
                <w:rFonts w:ascii="宋体" w:hAnsi="宋体" w:cs="宋体"/>
                <w:color w:val="auto"/>
                <w:kern w:val="0"/>
                <w:sz w:val="22"/>
              </w:rPr>
            </w:pPr>
            <w:r>
              <w:rPr>
                <w:rFonts w:hint="eastAsia" w:ascii="宋体" w:hAnsi="宋体" w:cs="宋体"/>
                <w:color w:val="auto"/>
                <w:kern w:val="0"/>
                <w:sz w:val="22"/>
              </w:rPr>
              <w:t>管理制度</w:t>
            </w:r>
          </w:p>
          <w:p w14:paraId="3D2C396C">
            <w:pPr>
              <w:widowControl/>
              <w:spacing w:line="0" w:lineRule="atLeast"/>
              <w:jc w:val="center"/>
              <w:rPr>
                <w:rFonts w:ascii="宋体" w:hAnsi="宋体" w:cs="宋体"/>
                <w:color w:val="auto"/>
                <w:kern w:val="0"/>
                <w:sz w:val="22"/>
              </w:rPr>
            </w:pPr>
            <w:r>
              <w:rPr>
                <w:rFonts w:hint="eastAsia" w:ascii="宋体" w:hAnsi="宋体" w:cs="宋体"/>
                <w:color w:val="auto"/>
                <w:kern w:val="0"/>
                <w:sz w:val="22"/>
              </w:rPr>
              <w:t>健全性</w:t>
            </w:r>
          </w:p>
        </w:tc>
        <w:tc>
          <w:tcPr>
            <w:tcW w:w="3885" w:type="dxa"/>
            <w:tcBorders>
              <w:right w:val="single" w:color="auto" w:sz="4" w:space="0"/>
            </w:tcBorders>
            <w:shd w:val="clear" w:color="000000" w:fill="FFFFFF"/>
            <w:vAlign w:val="center"/>
          </w:tcPr>
          <w:p w14:paraId="0F56C6F3">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14:paraId="6DA5EC1F">
            <w:pPr>
              <w:spacing w:beforeLines="0" w:afterLines="0" w:line="580" w:lineRule="atLeast"/>
              <w:jc w:val="center"/>
              <w:rPr>
                <w:color w:val="auto"/>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14:paraId="275503C1">
            <w:pPr>
              <w:spacing w:beforeLines="0" w:afterLines="0" w:line="580" w:lineRule="atLeast"/>
              <w:jc w:val="center"/>
              <w:rPr>
                <w:color w:val="auto"/>
              </w:rPr>
            </w:pPr>
            <w:r>
              <w:rPr>
                <w:rFonts w:hint="eastAsia" w:ascii="仿宋" w:hAnsi="仿宋" w:eastAsia="仿宋" w:cs="仿宋"/>
                <w:color w:val="auto"/>
                <w:sz w:val="20"/>
                <w:szCs w:val="20"/>
                <w:lang w:val="zh-CN"/>
              </w:rPr>
              <w:t>4</w:t>
            </w:r>
          </w:p>
        </w:tc>
      </w:tr>
      <w:tr w14:paraId="72240E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9" w:hRule="atLeast"/>
          <w:jc w:val="center"/>
        </w:trPr>
        <w:tc>
          <w:tcPr>
            <w:tcW w:w="757" w:type="dxa"/>
            <w:vMerge w:val="continue"/>
            <w:shd w:val="clear" w:color="auto" w:fill="FFFFFF"/>
            <w:vAlign w:val="center"/>
          </w:tcPr>
          <w:p w14:paraId="1F574EBB">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14:paraId="2F59D0F5">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14:paraId="7D3E22D4">
            <w:pPr>
              <w:widowControl/>
              <w:spacing w:line="0" w:lineRule="atLeast"/>
              <w:jc w:val="center"/>
              <w:rPr>
                <w:rFonts w:ascii="宋体" w:hAnsi="宋体" w:cs="宋体"/>
                <w:color w:val="auto"/>
                <w:kern w:val="0"/>
                <w:sz w:val="22"/>
              </w:rPr>
            </w:pPr>
            <w:r>
              <w:rPr>
                <w:rFonts w:hint="eastAsia" w:ascii="宋体" w:hAnsi="宋体" w:cs="宋体"/>
                <w:color w:val="auto"/>
                <w:kern w:val="0"/>
                <w:sz w:val="22"/>
              </w:rPr>
              <w:t>制度执行</w:t>
            </w:r>
          </w:p>
          <w:p w14:paraId="73E2D141">
            <w:pPr>
              <w:widowControl/>
              <w:spacing w:line="0" w:lineRule="atLeast"/>
              <w:jc w:val="center"/>
              <w:rPr>
                <w:rFonts w:ascii="宋体" w:hAnsi="宋体" w:cs="宋体"/>
                <w:color w:val="auto"/>
                <w:kern w:val="0"/>
                <w:sz w:val="22"/>
              </w:rPr>
            </w:pPr>
            <w:r>
              <w:rPr>
                <w:rFonts w:hint="eastAsia" w:ascii="宋体" w:hAnsi="宋体" w:cs="宋体"/>
                <w:color w:val="auto"/>
                <w:kern w:val="0"/>
                <w:sz w:val="22"/>
              </w:rPr>
              <w:t>有效性</w:t>
            </w:r>
          </w:p>
        </w:tc>
        <w:tc>
          <w:tcPr>
            <w:tcW w:w="3885" w:type="dxa"/>
            <w:tcBorders>
              <w:right w:val="single" w:color="auto" w:sz="4" w:space="0"/>
            </w:tcBorders>
            <w:shd w:val="clear" w:color="000000" w:fill="FFFFFF"/>
            <w:vAlign w:val="center"/>
          </w:tcPr>
          <w:p w14:paraId="2A5B7917">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14:paraId="09184E1A">
            <w:pPr>
              <w:spacing w:beforeLines="0" w:afterLines="0" w:line="580" w:lineRule="atLeast"/>
              <w:jc w:val="center"/>
              <w:rPr>
                <w:color w:val="auto"/>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tcPr>
          <w:p w14:paraId="13DC2E44">
            <w:pPr>
              <w:spacing w:line="600" w:lineRule="auto"/>
              <w:jc w:val="center"/>
              <w:rPr>
                <w:rFonts w:hint="eastAsia" w:eastAsia="仿宋_GB2312"/>
                <w:color w:val="auto"/>
                <w:lang w:val="en-US" w:eastAsia="zh-CN"/>
              </w:rPr>
            </w:pPr>
            <w:r>
              <w:rPr>
                <w:rFonts w:hint="eastAsia" w:ascii="仿宋" w:hAnsi="仿宋" w:eastAsia="仿宋" w:cs="仿宋"/>
                <w:color w:val="auto"/>
                <w:sz w:val="20"/>
                <w:szCs w:val="20"/>
                <w:lang w:val="zh-CN"/>
              </w:rPr>
              <w:t>4</w:t>
            </w:r>
          </w:p>
        </w:tc>
      </w:tr>
      <w:tr w14:paraId="6738D0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6D823A55">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w:t>
            </w:r>
          </w:p>
        </w:tc>
        <w:tc>
          <w:tcPr>
            <w:tcW w:w="1478" w:type="dxa"/>
            <w:shd w:val="clear" w:color="auto" w:fill="FFFFFF"/>
            <w:vAlign w:val="center"/>
          </w:tcPr>
          <w:p w14:paraId="14FCFC76">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产出数量</w:t>
            </w:r>
          </w:p>
        </w:tc>
        <w:tc>
          <w:tcPr>
            <w:tcW w:w="1875" w:type="dxa"/>
            <w:tcBorders>
              <w:right w:val="single" w:color="auto" w:sz="4" w:space="0"/>
            </w:tcBorders>
            <w:shd w:val="clear" w:color="auto" w:fill="FFFFFF"/>
            <w:vAlign w:val="center"/>
          </w:tcPr>
          <w:p w14:paraId="38249295">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实际完成率</w:t>
            </w:r>
          </w:p>
        </w:tc>
        <w:tc>
          <w:tcPr>
            <w:tcW w:w="3885" w:type="dxa"/>
            <w:tcBorders>
              <w:right w:val="single" w:color="auto" w:sz="4" w:space="0"/>
            </w:tcBorders>
            <w:shd w:val="clear" w:color="000000" w:fill="FFFFFF"/>
            <w:vAlign w:val="center"/>
          </w:tcPr>
          <w:p w14:paraId="02436FD8">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14:paraId="356247F0">
            <w:pPr>
              <w:spacing w:beforeLines="0" w:afterLines="0" w:line="580" w:lineRule="atLeast"/>
              <w:jc w:val="center"/>
              <w:rPr>
                <w:color w:val="auto"/>
              </w:rPr>
            </w:pPr>
            <w:r>
              <w:rPr>
                <w:rFonts w:hint="eastAsia" w:ascii="仿宋" w:hAnsi="仿宋" w:eastAsia="仿宋" w:cs="仿宋"/>
                <w:color w:val="auto"/>
                <w:sz w:val="20"/>
                <w:szCs w:val="20"/>
                <w:lang w:val="zh-CN"/>
              </w:rPr>
              <w:t>10</w:t>
            </w:r>
          </w:p>
        </w:tc>
        <w:tc>
          <w:tcPr>
            <w:tcW w:w="874" w:type="dxa"/>
            <w:shd w:val="clear" w:color="000000" w:fill="FFFFFF"/>
            <w:vAlign w:val="top"/>
          </w:tcPr>
          <w:p w14:paraId="6CDB4CF2">
            <w:pPr>
              <w:spacing w:beforeLines="0" w:afterLines="0" w:line="580" w:lineRule="atLeast"/>
              <w:jc w:val="center"/>
              <w:rPr>
                <w:color w:val="auto"/>
              </w:rPr>
            </w:pPr>
            <w:r>
              <w:rPr>
                <w:rFonts w:hint="eastAsia" w:ascii="仿宋" w:hAnsi="仿宋" w:eastAsia="仿宋" w:cs="仿宋"/>
                <w:color w:val="auto"/>
                <w:sz w:val="20"/>
                <w:szCs w:val="20"/>
                <w:lang w:val="zh-CN"/>
              </w:rPr>
              <w:t>10</w:t>
            </w:r>
          </w:p>
        </w:tc>
      </w:tr>
      <w:tr w14:paraId="41F117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607DEFEF">
            <w:pPr>
              <w:widowControl/>
              <w:spacing w:line="0" w:lineRule="atLeast"/>
              <w:jc w:val="center"/>
              <w:rPr>
                <w:rFonts w:ascii="宋体" w:hAnsi="宋体" w:cs="宋体"/>
                <w:color w:val="auto"/>
                <w:kern w:val="0"/>
                <w:sz w:val="22"/>
              </w:rPr>
            </w:pPr>
          </w:p>
        </w:tc>
        <w:tc>
          <w:tcPr>
            <w:tcW w:w="1478" w:type="dxa"/>
            <w:shd w:val="clear" w:color="auto" w:fill="FFFFFF"/>
            <w:vAlign w:val="center"/>
          </w:tcPr>
          <w:p w14:paraId="3F41248F">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产出质量</w:t>
            </w:r>
          </w:p>
        </w:tc>
        <w:tc>
          <w:tcPr>
            <w:tcW w:w="1875" w:type="dxa"/>
            <w:tcBorders>
              <w:right w:val="single" w:color="auto" w:sz="4" w:space="0"/>
            </w:tcBorders>
            <w:shd w:val="clear" w:color="auto" w:fill="FFFFFF"/>
            <w:vAlign w:val="center"/>
          </w:tcPr>
          <w:p w14:paraId="7E812697">
            <w:pPr>
              <w:widowControl/>
              <w:spacing w:line="0" w:lineRule="atLeast"/>
              <w:jc w:val="center"/>
              <w:rPr>
                <w:rFonts w:ascii="宋体" w:hAnsi="宋体" w:cs="宋体"/>
                <w:color w:val="auto"/>
                <w:kern w:val="0"/>
                <w:sz w:val="22"/>
              </w:rPr>
            </w:pPr>
            <w:r>
              <w:rPr>
                <w:rFonts w:hint="eastAsia" w:ascii="宋体" w:hAnsi="宋体" w:cs="宋体"/>
                <w:color w:val="auto"/>
                <w:kern w:val="0"/>
                <w:sz w:val="22"/>
              </w:rPr>
              <w:t>质量达标率</w:t>
            </w:r>
          </w:p>
        </w:tc>
        <w:tc>
          <w:tcPr>
            <w:tcW w:w="3885" w:type="dxa"/>
            <w:tcBorders>
              <w:right w:val="single" w:color="auto" w:sz="4" w:space="0"/>
            </w:tcBorders>
            <w:shd w:val="clear" w:color="000000" w:fill="FFFFFF"/>
            <w:vAlign w:val="center"/>
          </w:tcPr>
          <w:p w14:paraId="18326624">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14:paraId="06781E8A">
            <w:pPr>
              <w:spacing w:beforeLines="0" w:afterLines="0" w:line="580" w:lineRule="atLeast"/>
              <w:jc w:val="center"/>
              <w:rPr>
                <w:color w:val="auto"/>
              </w:rPr>
            </w:pPr>
            <w:r>
              <w:rPr>
                <w:rFonts w:hint="eastAsia" w:ascii="仿宋" w:hAnsi="仿宋" w:eastAsia="仿宋" w:cs="仿宋"/>
                <w:color w:val="auto"/>
                <w:sz w:val="20"/>
                <w:szCs w:val="20"/>
                <w:lang w:val="zh-CN"/>
              </w:rPr>
              <w:t>10</w:t>
            </w:r>
          </w:p>
        </w:tc>
        <w:tc>
          <w:tcPr>
            <w:tcW w:w="874" w:type="dxa"/>
            <w:shd w:val="clear" w:color="000000" w:fill="FFFFFF"/>
            <w:vAlign w:val="top"/>
          </w:tcPr>
          <w:p w14:paraId="05CBFC21">
            <w:pPr>
              <w:spacing w:beforeLines="0" w:afterLines="0" w:line="580" w:lineRule="atLeast"/>
              <w:jc w:val="center"/>
              <w:rPr>
                <w:color w:val="auto"/>
              </w:rPr>
            </w:pPr>
            <w:r>
              <w:rPr>
                <w:rFonts w:hint="eastAsia" w:ascii="仿宋" w:hAnsi="仿宋" w:eastAsia="仿宋" w:cs="仿宋"/>
                <w:color w:val="auto"/>
                <w:sz w:val="20"/>
                <w:szCs w:val="20"/>
                <w:lang w:val="zh-CN"/>
              </w:rPr>
              <w:t>10</w:t>
            </w:r>
          </w:p>
        </w:tc>
      </w:tr>
      <w:tr w14:paraId="57FC78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16A14E14">
            <w:pPr>
              <w:spacing w:line="0" w:lineRule="atLeast"/>
              <w:jc w:val="center"/>
              <w:rPr>
                <w:rFonts w:ascii="宋体" w:hAnsi="宋体" w:cs="宋体"/>
                <w:color w:val="auto"/>
                <w:kern w:val="0"/>
                <w:sz w:val="22"/>
              </w:rPr>
            </w:pPr>
          </w:p>
        </w:tc>
        <w:tc>
          <w:tcPr>
            <w:tcW w:w="1478" w:type="dxa"/>
            <w:shd w:val="clear" w:color="auto" w:fill="FFFFFF"/>
            <w:vAlign w:val="center"/>
          </w:tcPr>
          <w:p w14:paraId="1B498A74">
            <w:pPr>
              <w:spacing w:line="0" w:lineRule="atLeast"/>
              <w:jc w:val="center"/>
              <w:rPr>
                <w:rFonts w:ascii="宋体" w:hAnsi="宋体" w:cs="宋体"/>
                <w:color w:val="auto"/>
                <w:kern w:val="0"/>
                <w:sz w:val="22"/>
              </w:rPr>
            </w:pPr>
            <w:r>
              <w:rPr>
                <w:rFonts w:hint="eastAsia" w:ascii="宋体" w:hAnsi="宋体" w:cs="宋体"/>
                <w:color w:val="auto"/>
                <w:kern w:val="0"/>
                <w:sz w:val="22"/>
              </w:rPr>
              <w:t>产出时效</w:t>
            </w:r>
          </w:p>
        </w:tc>
        <w:tc>
          <w:tcPr>
            <w:tcW w:w="1875" w:type="dxa"/>
            <w:tcBorders>
              <w:right w:val="single" w:color="auto" w:sz="4" w:space="0"/>
            </w:tcBorders>
            <w:shd w:val="clear" w:color="auto" w:fill="FFFFFF"/>
            <w:vAlign w:val="center"/>
          </w:tcPr>
          <w:p w14:paraId="1E8968E3">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完成及时性</w:t>
            </w:r>
          </w:p>
        </w:tc>
        <w:tc>
          <w:tcPr>
            <w:tcW w:w="3885" w:type="dxa"/>
            <w:tcBorders>
              <w:right w:val="single" w:color="auto" w:sz="4" w:space="0"/>
            </w:tcBorders>
            <w:shd w:val="clear" w:color="000000" w:fill="FFFFFF"/>
            <w:vAlign w:val="center"/>
          </w:tcPr>
          <w:p w14:paraId="11E6E4BE">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14:paraId="455977A2">
            <w:pPr>
              <w:spacing w:beforeLines="0" w:afterLines="0" w:line="580" w:lineRule="atLeast"/>
              <w:jc w:val="center"/>
              <w:rPr>
                <w:color w:val="auto"/>
              </w:rPr>
            </w:pPr>
            <w:r>
              <w:rPr>
                <w:rFonts w:hint="eastAsia" w:ascii="仿宋" w:hAnsi="仿宋" w:eastAsia="仿宋" w:cs="仿宋"/>
                <w:color w:val="auto"/>
                <w:sz w:val="20"/>
                <w:szCs w:val="20"/>
                <w:lang w:val="zh-CN"/>
              </w:rPr>
              <w:t>10</w:t>
            </w:r>
          </w:p>
        </w:tc>
        <w:tc>
          <w:tcPr>
            <w:tcW w:w="874" w:type="dxa"/>
            <w:shd w:val="clear" w:color="000000" w:fill="FFFFFF"/>
            <w:vAlign w:val="top"/>
          </w:tcPr>
          <w:p w14:paraId="58502BFD">
            <w:pPr>
              <w:spacing w:beforeLines="0" w:afterLines="0" w:line="580" w:lineRule="atLeast"/>
              <w:jc w:val="center"/>
              <w:rPr>
                <w:color w:val="auto"/>
              </w:rPr>
            </w:pPr>
            <w:r>
              <w:rPr>
                <w:rFonts w:hint="eastAsia" w:ascii="仿宋" w:hAnsi="仿宋" w:eastAsia="仿宋" w:cs="仿宋"/>
                <w:color w:val="auto"/>
                <w:sz w:val="20"/>
                <w:szCs w:val="20"/>
                <w:lang w:val="zh-CN"/>
              </w:rPr>
              <w:t>10</w:t>
            </w:r>
          </w:p>
        </w:tc>
      </w:tr>
      <w:tr w14:paraId="620D3E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64220E98">
            <w:pPr>
              <w:widowControl/>
              <w:spacing w:line="0" w:lineRule="atLeast"/>
              <w:jc w:val="center"/>
              <w:rPr>
                <w:rFonts w:ascii="宋体" w:hAnsi="宋体" w:cs="宋体"/>
                <w:color w:val="auto"/>
                <w:kern w:val="0"/>
                <w:sz w:val="22"/>
              </w:rPr>
            </w:pPr>
          </w:p>
        </w:tc>
        <w:tc>
          <w:tcPr>
            <w:tcW w:w="1478" w:type="dxa"/>
            <w:shd w:val="clear" w:color="auto" w:fill="FFFFFF"/>
            <w:vAlign w:val="center"/>
          </w:tcPr>
          <w:p w14:paraId="6EEC9C5C">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产出成本</w:t>
            </w:r>
          </w:p>
        </w:tc>
        <w:tc>
          <w:tcPr>
            <w:tcW w:w="1875" w:type="dxa"/>
            <w:tcBorders>
              <w:right w:val="single" w:color="auto" w:sz="4" w:space="0"/>
            </w:tcBorders>
            <w:shd w:val="clear" w:color="auto" w:fill="FFFFFF"/>
            <w:vAlign w:val="center"/>
          </w:tcPr>
          <w:p w14:paraId="31B48AB9">
            <w:pPr>
              <w:widowControl/>
              <w:spacing w:line="0" w:lineRule="atLeast"/>
              <w:jc w:val="center"/>
              <w:rPr>
                <w:rFonts w:ascii="宋体" w:hAnsi="宋体" w:cs="宋体"/>
                <w:color w:val="auto"/>
                <w:kern w:val="0"/>
                <w:sz w:val="22"/>
              </w:rPr>
            </w:pPr>
            <w:r>
              <w:rPr>
                <w:rFonts w:hint="eastAsia" w:ascii="宋体" w:hAnsi="宋体" w:cs="宋体"/>
                <w:color w:val="auto"/>
                <w:kern w:val="0"/>
                <w:sz w:val="22"/>
              </w:rPr>
              <w:t>成本节约率</w:t>
            </w:r>
          </w:p>
        </w:tc>
        <w:tc>
          <w:tcPr>
            <w:tcW w:w="3885" w:type="dxa"/>
            <w:tcBorders>
              <w:right w:val="single" w:color="auto" w:sz="4" w:space="0"/>
            </w:tcBorders>
            <w:shd w:val="clear" w:color="auto" w:fill="FFFFFF"/>
            <w:vAlign w:val="center"/>
          </w:tcPr>
          <w:p w14:paraId="24D1336A">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14:paraId="165F8EF5">
            <w:pPr>
              <w:spacing w:beforeLines="0" w:afterLines="0" w:line="580" w:lineRule="atLeast"/>
              <w:jc w:val="center"/>
              <w:rPr>
                <w:color w:val="auto"/>
              </w:rPr>
            </w:pPr>
            <w:r>
              <w:rPr>
                <w:rFonts w:hint="eastAsia" w:ascii="仿宋" w:hAnsi="仿宋" w:eastAsia="仿宋" w:cs="仿宋"/>
                <w:color w:val="auto"/>
                <w:sz w:val="20"/>
                <w:szCs w:val="20"/>
                <w:highlight w:val="none"/>
                <w:lang w:val="zh-CN"/>
              </w:rPr>
              <w:t>10</w:t>
            </w:r>
          </w:p>
        </w:tc>
        <w:tc>
          <w:tcPr>
            <w:tcW w:w="874" w:type="dxa"/>
            <w:shd w:val="clear" w:color="auto" w:fill="FFFFFF"/>
            <w:vAlign w:val="top"/>
          </w:tcPr>
          <w:p w14:paraId="2CA7110E">
            <w:pPr>
              <w:spacing w:beforeLines="0" w:afterLines="0" w:line="580" w:lineRule="atLeast"/>
              <w:jc w:val="center"/>
              <w:rPr>
                <w:color w:val="auto"/>
              </w:rPr>
            </w:pPr>
            <w:r>
              <w:rPr>
                <w:rFonts w:hint="eastAsia" w:ascii="仿宋" w:hAnsi="仿宋" w:eastAsia="仿宋" w:cs="仿宋"/>
                <w:color w:val="auto"/>
                <w:sz w:val="20"/>
                <w:szCs w:val="20"/>
                <w:highlight w:val="none"/>
                <w:lang w:val="zh-CN"/>
              </w:rPr>
              <w:t>10</w:t>
            </w:r>
          </w:p>
        </w:tc>
      </w:tr>
      <w:tr w14:paraId="356650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14:paraId="273939D9">
            <w:pPr>
              <w:widowControl/>
              <w:spacing w:line="0" w:lineRule="atLeast"/>
              <w:jc w:val="center"/>
              <w:rPr>
                <w:rFonts w:ascii="宋体" w:hAnsi="宋体" w:cs="宋体"/>
                <w:color w:val="auto"/>
                <w:kern w:val="0"/>
                <w:sz w:val="22"/>
              </w:rPr>
            </w:pPr>
            <w:r>
              <w:rPr>
                <w:rFonts w:hint="eastAsia" w:ascii="宋体" w:hAnsi="宋体" w:cs="宋体"/>
                <w:color w:val="auto"/>
                <w:kern w:val="0"/>
                <w:sz w:val="22"/>
              </w:rPr>
              <w:t>效益　</w:t>
            </w:r>
          </w:p>
        </w:tc>
        <w:tc>
          <w:tcPr>
            <w:tcW w:w="1478" w:type="dxa"/>
            <w:vMerge w:val="restart"/>
            <w:shd w:val="clear" w:color="auto" w:fill="FFFFFF"/>
            <w:vAlign w:val="center"/>
          </w:tcPr>
          <w:p w14:paraId="30060A70">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项目效益　</w:t>
            </w:r>
          </w:p>
        </w:tc>
        <w:tc>
          <w:tcPr>
            <w:tcW w:w="1875" w:type="dxa"/>
            <w:tcBorders>
              <w:right w:val="single" w:color="auto" w:sz="4" w:space="0"/>
            </w:tcBorders>
            <w:shd w:val="clear" w:color="auto" w:fill="FFFFFF"/>
            <w:vAlign w:val="center"/>
          </w:tcPr>
          <w:p w14:paraId="0BCE8AD2">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实施效益</w:t>
            </w:r>
          </w:p>
        </w:tc>
        <w:tc>
          <w:tcPr>
            <w:tcW w:w="3885" w:type="dxa"/>
            <w:tcBorders>
              <w:right w:val="single" w:color="auto" w:sz="4" w:space="0"/>
            </w:tcBorders>
            <w:shd w:val="clear" w:color="auto" w:fill="FFFFFF"/>
            <w:vAlign w:val="center"/>
          </w:tcPr>
          <w:p w14:paraId="68C6C8FE">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项目实施所产生的效益。</w:t>
            </w:r>
          </w:p>
        </w:tc>
        <w:tc>
          <w:tcPr>
            <w:tcW w:w="990" w:type="dxa"/>
            <w:tcBorders>
              <w:left w:val="single" w:color="auto" w:sz="4" w:space="0"/>
            </w:tcBorders>
            <w:shd w:val="clear" w:color="auto" w:fill="FFFFFF"/>
            <w:vAlign w:val="top"/>
          </w:tcPr>
          <w:p w14:paraId="6019DD32">
            <w:pPr>
              <w:spacing w:beforeLines="0" w:afterLines="0" w:line="580" w:lineRule="atLeast"/>
              <w:jc w:val="center"/>
              <w:rPr>
                <w:color w:val="auto"/>
              </w:rPr>
            </w:pPr>
            <w:r>
              <w:rPr>
                <w:rFonts w:hint="eastAsia" w:ascii="仿宋" w:hAnsi="仿宋" w:eastAsia="仿宋" w:cs="仿宋"/>
                <w:color w:val="auto"/>
                <w:sz w:val="20"/>
                <w:szCs w:val="20"/>
                <w:lang w:val="en-US" w:eastAsia="zh-CN"/>
              </w:rPr>
              <w:t>10</w:t>
            </w:r>
          </w:p>
        </w:tc>
        <w:tc>
          <w:tcPr>
            <w:tcW w:w="874" w:type="dxa"/>
            <w:shd w:val="clear" w:color="auto" w:fill="FFFFFF"/>
            <w:vAlign w:val="top"/>
          </w:tcPr>
          <w:p w14:paraId="50841AE0">
            <w:pPr>
              <w:spacing w:beforeLines="0" w:afterLines="0" w:line="580" w:lineRule="atLeast"/>
              <w:jc w:val="center"/>
              <w:rPr>
                <w:color w:val="auto"/>
              </w:rPr>
            </w:pPr>
            <w:r>
              <w:rPr>
                <w:rFonts w:hint="eastAsia" w:ascii="仿宋" w:hAnsi="仿宋" w:eastAsia="仿宋" w:cs="仿宋"/>
                <w:color w:val="auto"/>
                <w:sz w:val="20"/>
                <w:szCs w:val="20"/>
                <w:lang w:val="en-US" w:eastAsia="zh-CN"/>
              </w:rPr>
              <w:t>10</w:t>
            </w:r>
          </w:p>
        </w:tc>
      </w:tr>
      <w:tr w14:paraId="3A171C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4A4A03C1">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14:paraId="03EB1CBB">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14:paraId="32216F24">
            <w:pPr>
              <w:widowControl/>
              <w:spacing w:line="0" w:lineRule="atLeast"/>
              <w:jc w:val="center"/>
              <w:rPr>
                <w:rFonts w:ascii="宋体" w:hAnsi="宋体" w:cs="宋体"/>
                <w:color w:val="auto"/>
                <w:kern w:val="0"/>
                <w:sz w:val="22"/>
              </w:rPr>
            </w:pPr>
            <w:r>
              <w:rPr>
                <w:rFonts w:hint="eastAsia" w:ascii="宋体" w:hAnsi="宋体" w:cs="宋体"/>
                <w:color w:val="auto"/>
                <w:kern w:val="0"/>
                <w:sz w:val="22"/>
              </w:rPr>
              <w:t>满意度</w:t>
            </w:r>
          </w:p>
        </w:tc>
        <w:tc>
          <w:tcPr>
            <w:tcW w:w="3885" w:type="dxa"/>
            <w:tcBorders>
              <w:right w:val="single" w:color="auto" w:sz="4" w:space="0"/>
            </w:tcBorders>
            <w:shd w:val="clear" w:color="000000" w:fill="FFFFFF"/>
            <w:vAlign w:val="center"/>
          </w:tcPr>
          <w:p w14:paraId="27B017D7">
            <w:pPr>
              <w:widowControl/>
              <w:spacing w:line="0" w:lineRule="atLeast"/>
              <w:jc w:val="center"/>
              <w:rPr>
                <w:rFonts w:ascii="宋体" w:hAnsi="宋体" w:cs="宋体"/>
                <w:color w:val="auto"/>
                <w:kern w:val="0"/>
                <w:sz w:val="22"/>
              </w:rPr>
            </w:pPr>
            <w:r>
              <w:rPr>
                <w:rFonts w:hint="eastAsia" w:ascii="宋体" w:hAnsi="宋体" w:cs="宋体"/>
                <w:color w:val="auto"/>
                <w:kern w:val="0"/>
                <w:sz w:val="22"/>
              </w:rPr>
              <w:t>社会公众或服务对象对项目实施效果的满意程度。</w:t>
            </w:r>
          </w:p>
        </w:tc>
        <w:tc>
          <w:tcPr>
            <w:tcW w:w="990" w:type="dxa"/>
            <w:tcBorders>
              <w:left w:val="single" w:color="auto" w:sz="4" w:space="0"/>
            </w:tcBorders>
            <w:shd w:val="clear" w:color="000000" w:fill="FFFFFF"/>
            <w:vAlign w:val="top"/>
          </w:tcPr>
          <w:p w14:paraId="2ED2B6C8">
            <w:pPr>
              <w:spacing w:beforeLines="0" w:afterLines="0" w:line="580" w:lineRule="atLeast"/>
              <w:jc w:val="center"/>
              <w:rPr>
                <w:color w:val="auto"/>
              </w:rPr>
            </w:pPr>
            <w:r>
              <w:rPr>
                <w:rFonts w:hint="eastAsia" w:ascii="仿宋" w:hAnsi="仿宋" w:eastAsia="仿宋" w:cs="仿宋"/>
                <w:color w:val="auto"/>
                <w:sz w:val="20"/>
                <w:szCs w:val="20"/>
                <w:lang w:val="en-US" w:eastAsia="zh-CN"/>
              </w:rPr>
              <w:t>10</w:t>
            </w:r>
          </w:p>
        </w:tc>
        <w:tc>
          <w:tcPr>
            <w:tcW w:w="874" w:type="dxa"/>
            <w:shd w:val="clear" w:color="000000" w:fill="FFFFFF"/>
            <w:vAlign w:val="top"/>
          </w:tcPr>
          <w:p w14:paraId="3CF58726">
            <w:pPr>
              <w:spacing w:beforeLines="0" w:afterLines="0" w:line="580" w:lineRule="atLeast"/>
              <w:jc w:val="center"/>
              <w:rPr>
                <w:color w:val="auto"/>
              </w:rPr>
            </w:pPr>
            <w:r>
              <w:rPr>
                <w:rFonts w:hint="eastAsia" w:ascii="仿宋" w:hAnsi="仿宋" w:eastAsia="仿宋" w:cs="仿宋"/>
                <w:color w:val="auto"/>
                <w:sz w:val="20"/>
                <w:szCs w:val="20"/>
                <w:lang w:val="en-US" w:eastAsia="zh-CN"/>
              </w:rPr>
              <w:t>10</w:t>
            </w:r>
          </w:p>
        </w:tc>
      </w:tr>
      <w:tr w14:paraId="400031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0E6FC62A">
            <w:pPr>
              <w:widowControl/>
              <w:spacing w:line="0" w:lineRule="atLeast"/>
              <w:jc w:val="center"/>
              <w:rPr>
                <w:rFonts w:ascii="宋体" w:hAnsi="宋体" w:cs="宋体"/>
                <w:color w:val="auto"/>
                <w:kern w:val="0"/>
                <w:sz w:val="22"/>
              </w:rPr>
            </w:pPr>
            <w:r>
              <w:rPr>
                <w:rFonts w:hint="eastAsia" w:ascii="宋体" w:hAnsi="宋体" w:cs="宋体"/>
                <w:b/>
                <w:bCs/>
                <w:color w:val="auto"/>
                <w:kern w:val="0"/>
                <w:sz w:val="22"/>
              </w:rPr>
              <w:t>总分</w:t>
            </w:r>
          </w:p>
        </w:tc>
        <w:tc>
          <w:tcPr>
            <w:tcW w:w="3885" w:type="dxa"/>
            <w:tcBorders>
              <w:right w:val="single" w:color="auto" w:sz="4" w:space="0"/>
            </w:tcBorders>
            <w:shd w:val="clear" w:color="auto" w:fill="FFFFFF"/>
          </w:tcPr>
          <w:p w14:paraId="33135F61">
            <w:pPr>
              <w:widowControl/>
              <w:spacing w:line="0" w:lineRule="atLeast"/>
              <w:jc w:val="center"/>
              <w:rPr>
                <w:rFonts w:ascii="宋体" w:hAnsi="宋体" w:cs="宋体"/>
                <w:color w:val="auto"/>
                <w:kern w:val="0"/>
                <w:sz w:val="22"/>
              </w:rPr>
            </w:pPr>
          </w:p>
        </w:tc>
        <w:tc>
          <w:tcPr>
            <w:tcW w:w="990" w:type="dxa"/>
            <w:tcBorders>
              <w:left w:val="single" w:color="auto" w:sz="4" w:space="0"/>
            </w:tcBorders>
            <w:shd w:val="clear" w:color="auto" w:fill="FFFFFF"/>
            <w:vAlign w:val="center"/>
          </w:tcPr>
          <w:p w14:paraId="48DA4403">
            <w:pPr>
              <w:spacing w:beforeLines="0" w:afterLines="0" w:line="580" w:lineRule="atLeast"/>
              <w:jc w:val="center"/>
              <w:rPr>
                <w:rFonts w:ascii="宋体" w:hAnsi="宋体" w:cs="宋体"/>
                <w:color w:val="auto"/>
                <w:kern w:val="0"/>
                <w:sz w:val="22"/>
              </w:rPr>
            </w:pPr>
            <w:r>
              <w:rPr>
                <w:rFonts w:hint="eastAsia" w:ascii="仿宋" w:hAnsi="仿宋" w:eastAsia="仿宋" w:cs="仿宋"/>
                <w:color w:val="auto"/>
                <w:sz w:val="20"/>
                <w:szCs w:val="20"/>
                <w:lang w:val="zh-CN"/>
              </w:rPr>
              <w:t>100</w:t>
            </w:r>
          </w:p>
        </w:tc>
        <w:tc>
          <w:tcPr>
            <w:tcW w:w="874" w:type="dxa"/>
            <w:shd w:val="clear" w:color="auto" w:fill="FFFFFF"/>
            <w:vAlign w:val="center"/>
          </w:tcPr>
          <w:p w14:paraId="0B2A56FC">
            <w:pPr>
              <w:spacing w:beforeLines="0" w:afterLines="0" w:line="580" w:lineRule="atLeast"/>
              <w:jc w:val="center"/>
              <w:rPr>
                <w:rFonts w:ascii="宋体" w:hAnsi="宋体" w:cs="宋体"/>
                <w:color w:val="auto"/>
                <w:kern w:val="0"/>
                <w:sz w:val="22"/>
              </w:rPr>
            </w:pPr>
            <w:r>
              <w:rPr>
                <w:rFonts w:hint="eastAsia" w:ascii="仿宋" w:hAnsi="仿宋" w:eastAsia="仿宋" w:cs="仿宋"/>
                <w:color w:val="auto"/>
                <w:sz w:val="20"/>
                <w:szCs w:val="20"/>
                <w:lang w:val="zh-CN"/>
              </w:rPr>
              <w:t>100</w:t>
            </w:r>
          </w:p>
        </w:tc>
      </w:tr>
    </w:tbl>
    <w:p w14:paraId="5E1DC8BC">
      <w:pPr>
        <w:spacing w:line="360" w:lineRule="auto"/>
        <w:rPr>
          <w:color w:val="auto"/>
        </w:rPr>
      </w:pPr>
      <w:r>
        <w:rPr>
          <w:rFonts w:hint="eastAsia"/>
          <w:color w:val="auto"/>
        </w:rPr>
        <w:t>3、评价方法</w:t>
      </w:r>
    </w:p>
    <w:p w14:paraId="61839867">
      <w:pPr>
        <w:spacing w:line="360" w:lineRule="auto"/>
        <w:ind w:firstLine="640" w:firstLineChars="200"/>
        <w:rPr>
          <w:rFonts w:hint="default" w:ascii="仿宋" w:hAnsi="仿宋" w:eastAsia="仿宋" w:cs="仿宋"/>
          <w:color w:val="auto"/>
          <w:lang w:val="en-US" w:eastAsia="zh-CN"/>
        </w:rPr>
      </w:pPr>
      <w:r>
        <w:rPr>
          <w:rFonts w:hint="eastAsia" w:ascii="仿宋" w:hAnsi="仿宋" w:eastAsia="仿宋" w:cs="仿宋"/>
          <w:bCs/>
          <w:color w:val="auto"/>
          <w:sz w:val="32"/>
          <w:szCs w:val="32"/>
        </w:rPr>
        <w:t>本次项目支出绩效自评采用因素分析法，按照财政项目支出绩效自评工作的要求，结合</w:t>
      </w:r>
      <w:r>
        <w:rPr>
          <w:rFonts w:hint="eastAsia" w:ascii="仿宋" w:hAnsi="仿宋" w:eastAsia="仿宋" w:cs="仿宋"/>
          <w:bCs/>
          <w:color w:val="auto"/>
          <w:sz w:val="32"/>
          <w:szCs w:val="32"/>
          <w:lang w:val="en-US" w:eastAsia="zh-CN"/>
        </w:rPr>
        <w:t>我单位</w:t>
      </w:r>
      <w:r>
        <w:rPr>
          <w:rFonts w:hint="eastAsia" w:ascii="仿宋" w:hAnsi="仿宋" w:eastAsia="仿宋" w:cs="仿宋"/>
          <w:bCs/>
          <w:color w:val="auto"/>
          <w:sz w:val="32"/>
          <w:szCs w:val="32"/>
        </w:rPr>
        <w:t>实际情况，组织相关人员根据项目绩效表指标内容</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对所有项目内容进行核实和考评，本项目通过综合分析项目立项依据、资金投入、使用、产出及效益，影响绩效实现，实施效果的内外部因素的方法，能够清楚明了的体现出项目实施情况，并在此基础上进行评价。</w:t>
      </w:r>
    </w:p>
    <w:p w14:paraId="296FDFCD">
      <w:pPr>
        <w:spacing w:line="360" w:lineRule="auto"/>
        <w:rPr>
          <w:color w:val="auto"/>
        </w:rPr>
      </w:pPr>
      <w:r>
        <w:rPr>
          <w:rFonts w:hint="eastAsia"/>
          <w:color w:val="auto"/>
        </w:rPr>
        <w:t>4、评价标准</w:t>
      </w:r>
    </w:p>
    <w:p w14:paraId="3C9D3BC9">
      <w:pPr>
        <w:pStyle w:val="4"/>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default" w:ascii="仿宋" w:hAnsi="仿宋" w:eastAsia="仿宋" w:cs="仿宋"/>
          <w:b w:val="0"/>
          <w:bCs w:val="0"/>
          <w:color w:val="auto"/>
          <w:highlight w:val="none"/>
          <w:lang w:val="en-US" w:eastAsia="zh-CN"/>
        </w:rPr>
      </w:pPr>
      <w:bookmarkStart w:id="6" w:name="_Toc68703833"/>
      <w:r>
        <w:rPr>
          <w:rFonts w:hint="eastAsia" w:ascii="仿宋" w:hAnsi="仿宋" w:eastAsia="仿宋" w:cs="仿宋"/>
          <w:b w:val="0"/>
          <w:bCs w:val="0"/>
          <w:color w:val="auto"/>
          <w:highlight w:val="none"/>
          <w:lang w:val="en-US" w:eastAsia="zh-CN"/>
        </w:rPr>
        <w:t>绩效评价标准通过包括计划标准、行业标准、历史标准等，用于对绩效指标完成情况进行比较、分析、评价、本次评价主要采用了计划标准，原因是：本项目通过项目预先制定的目标、计划、预算指标数据确定三级指标进行自评，同时按照《关于进一步加强村干部“三酬六有”激励保障机制建设的实施意见》要求开展评价工作，使评价结果更加科学真实。</w:t>
      </w:r>
    </w:p>
    <w:p w14:paraId="6A68FEDC">
      <w:pPr>
        <w:pStyle w:val="4"/>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仿宋" w:hAnsi="仿宋" w:eastAsia="仿宋" w:cs="仿宋"/>
          <w:b w:val="0"/>
          <w:bCs w:val="0"/>
          <w:color w:val="auto"/>
          <w:highlight w:val="none"/>
          <w:lang w:val="en-US" w:eastAsia="zh-CN"/>
        </w:rPr>
      </w:pPr>
      <w:bookmarkStart w:id="23" w:name="_GoBack"/>
      <w:r>
        <w:rPr>
          <w:rFonts w:hint="eastAsia" w:ascii="仿宋" w:hAnsi="仿宋" w:eastAsia="仿宋" w:cs="仿宋"/>
          <w:b w:val="0"/>
          <w:bCs w:val="0"/>
          <w:color w:val="auto"/>
          <w:highlight w:val="none"/>
          <w:lang w:val="en-US" w:eastAsia="zh-CN"/>
        </w:rPr>
        <w:t>（三）绩效评价工作过程。</w:t>
      </w:r>
      <w:bookmarkEnd w:id="6"/>
    </w:p>
    <w:bookmarkEnd w:id="23"/>
    <w:p w14:paraId="236C07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1.</w:t>
      </w:r>
      <w:r>
        <w:rPr>
          <w:rFonts w:hint="eastAsia" w:ascii="仿宋" w:hAnsi="仿宋" w:eastAsia="仿宋" w:cs="仿宋"/>
          <w:bCs/>
          <w:color w:val="auto"/>
          <w:sz w:val="32"/>
          <w:szCs w:val="32"/>
        </w:rPr>
        <w:t>前期准备。202</w:t>
      </w:r>
      <w:r>
        <w:rPr>
          <w:rFonts w:hint="eastAsia" w:ascii="仿宋" w:hAnsi="仿宋" w:eastAsia="仿宋" w:cs="仿宋"/>
          <w:bCs/>
          <w:color w:val="auto"/>
          <w:sz w:val="32"/>
          <w:szCs w:val="32"/>
          <w:lang w:val="en-US" w:eastAsia="zh-CN"/>
        </w:rPr>
        <w:t>4</w:t>
      </w:r>
      <w:r>
        <w:rPr>
          <w:rFonts w:hint="eastAsia" w:ascii="仿宋" w:hAnsi="仿宋" w:eastAsia="仿宋" w:cs="仿宋"/>
          <w:bCs/>
          <w:color w:val="auto"/>
          <w:sz w:val="32"/>
          <w:szCs w:val="32"/>
        </w:rPr>
        <w:t>年1月</w:t>
      </w:r>
      <w:r>
        <w:rPr>
          <w:rFonts w:hint="eastAsia" w:ascii="仿宋" w:hAnsi="仿宋" w:eastAsia="仿宋" w:cs="仿宋"/>
          <w:bCs/>
          <w:color w:val="auto"/>
          <w:sz w:val="32"/>
          <w:szCs w:val="32"/>
          <w:lang w:val="en-US" w:eastAsia="zh-CN"/>
        </w:rPr>
        <w:t>5</w:t>
      </w:r>
      <w:r>
        <w:rPr>
          <w:rFonts w:hint="eastAsia" w:ascii="仿宋" w:hAnsi="仿宋" w:eastAsia="仿宋" w:cs="仿宋"/>
          <w:bCs/>
          <w:color w:val="auto"/>
          <w:sz w:val="32"/>
          <w:szCs w:val="32"/>
        </w:rPr>
        <w:t>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14:paraId="0CED057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2.</w:t>
      </w:r>
      <w:r>
        <w:rPr>
          <w:rFonts w:hint="eastAsia" w:ascii="仿宋" w:hAnsi="仿宋" w:eastAsia="仿宋" w:cs="仿宋"/>
          <w:bCs/>
          <w:color w:val="auto"/>
          <w:sz w:val="32"/>
          <w:szCs w:val="32"/>
        </w:rPr>
        <w:t>组织实施。202</w:t>
      </w:r>
      <w:r>
        <w:rPr>
          <w:rFonts w:hint="eastAsia" w:ascii="仿宋" w:hAnsi="仿宋" w:eastAsia="仿宋" w:cs="仿宋"/>
          <w:bCs/>
          <w:color w:val="auto"/>
          <w:sz w:val="32"/>
          <w:szCs w:val="32"/>
          <w:lang w:val="en-US" w:eastAsia="zh-CN"/>
        </w:rPr>
        <w:t>4</w:t>
      </w:r>
      <w:r>
        <w:rPr>
          <w:rFonts w:hint="eastAsia" w:ascii="仿宋" w:hAnsi="仿宋" w:eastAsia="仿宋" w:cs="仿宋"/>
          <w:bCs/>
          <w:color w:val="auto"/>
          <w:sz w:val="32"/>
          <w:szCs w:val="32"/>
        </w:rPr>
        <w:t>年1月</w:t>
      </w:r>
      <w:r>
        <w:rPr>
          <w:rFonts w:hint="eastAsia" w:ascii="仿宋" w:hAnsi="仿宋" w:eastAsia="仿宋" w:cs="仿宋"/>
          <w:bCs/>
          <w:color w:val="auto"/>
          <w:sz w:val="32"/>
          <w:szCs w:val="32"/>
          <w:lang w:val="en-US" w:eastAsia="zh-CN"/>
        </w:rPr>
        <w:t>5</w:t>
      </w:r>
      <w:r>
        <w:rPr>
          <w:rFonts w:hint="eastAsia" w:ascii="仿宋" w:hAnsi="仿宋" w:eastAsia="仿宋" w:cs="仿宋"/>
          <w:bCs/>
          <w:color w:val="auto"/>
          <w:sz w:val="32"/>
          <w:szCs w:val="32"/>
        </w:rPr>
        <w:t>日-1月30日，评价工作进入实施阶段，</w:t>
      </w:r>
      <w:r>
        <w:rPr>
          <w:rFonts w:hint="eastAsia" w:ascii="仿宋" w:hAnsi="仿宋" w:eastAsia="仿宋" w:cs="仿宋"/>
          <w:bCs/>
          <w:color w:val="auto"/>
          <w:sz w:val="32"/>
          <w:szCs w:val="32"/>
          <w:lang w:val="en-US" w:eastAsia="zh-CN"/>
        </w:rPr>
        <w:t>乡党政办</w:t>
      </w:r>
      <w:r>
        <w:rPr>
          <w:rFonts w:hint="eastAsia" w:ascii="仿宋" w:hAnsi="仿宋" w:eastAsia="仿宋" w:cs="仿宋"/>
          <w:bCs/>
          <w:color w:val="auto"/>
          <w:sz w:val="32"/>
          <w:szCs w:val="32"/>
        </w:rPr>
        <w:t xml:space="preserve">收集绩效评价相关数据资料，进行现场调研、座谈；并与项目实施负责人沟通，了解资金的内容、操作流程、管理机制、资金使用方向等情况，分析形成初步结论。 </w:t>
      </w:r>
    </w:p>
    <w:p w14:paraId="75A9AD1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color w:val="auto"/>
        </w:rPr>
      </w:pPr>
      <w:r>
        <w:rPr>
          <w:rFonts w:hint="eastAsia" w:ascii="仿宋" w:hAnsi="仿宋" w:eastAsia="仿宋" w:cs="仿宋"/>
          <w:bCs/>
          <w:color w:val="auto"/>
          <w:sz w:val="32"/>
          <w:szCs w:val="32"/>
          <w:lang w:val="en-US" w:eastAsia="zh-CN"/>
        </w:rPr>
        <w:t>3.</w:t>
      </w:r>
      <w:r>
        <w:rPr>
          <w:rFonts w:hint="eastAsia" w:ascii="仿宋" w:hAnsi="仿宋" w:eastAsia="仿宋" w:cs="仿宋"/>
          <w:bCs/>
          <w:color w:val="auto"/>
          <w:sz w:val="32"/>
          <w:szCs w:val="32"/>
        </w:rPr>
        <w:t>分析评价。202</w:t>
      </w:r>
      <w:r>
        <w:rPr>
          <w:rFonts w:hint="eastAsia" w:ascii="仿宋" w:hAnsi="仿宋" w:eastAsia="仿宋" w:cs="仿宋"/>
          <w:bCs/>
          <w:color w:val="auto"/>
          <w:sz w:val="32"/>
          <w:szCs w:val="32"/>
          <w:lang w:val="en-US" w:eastAsia="zh-CN"/>
        </w:rPr>
        <w:t>4</w:t>
      </w:r>
      <w:r>
        <w:rPr>
          <w:rFonts w:hint="eastAsia" w:ascii="仿宋" w:hAnsi="仿宋" w:eastAsia="仿宋" w:cs="仿宋"/>
          <w:bCs/>
          <w:color w:val="auto"/>
          <w:sz w:val="32"/>
          <w:szCs w:val="32"/>
        </w:rPr>
        <w:t>年</w:t>
      </w:r>
      <w:r>
        <w:rPr>
          <w:rFonts w:hint="eastAsia" w:ascii="仿宋" w:hAnsi="仿宋" w:eastAsia="仿宋" w:cs="仿宋"/>
          <w:bCs/>
          <w:color w:val="auto"/>
          <w:sz w:val="32"/>
          <w:szCs w:val="32"/>
          <w:lang w:val="en-US" w:eastAsia="zh-CN"/>
        </w:rPr>
        <w:t>2</w:t>
      </w:r>
      <w:r>
        <w:rPr>
          <w:rFonts w:hint="eastAsia" w:ascii="仿宋" w:hAnsi="仿宋" w:eastAsia="仿宋" w:cs="仿宋"/>
          <w:bCs/>
          <w:color w:val="auto"/>
          <w:sz w:val="32"/>
          <w:szCs w:val="32"/>
        </w:rPr>
        <w:t>月1日-</w:t>
      </w:r>
      <w:r>
        <w:rPr>
          <w:rFonts w:hint="eastAsia" w:ascii="仿宋" w:hAnsi="仿宋" w:eastAsia="仿宋" w:cs="仿宋"/>
          <w:bCs/>
          <w:color w:val="auto"/>
          <w:sz w:val="32"/>
          <w:szCs w:val="32"/>
          <w:lang w:val="en-US" w:eastAsia="zh-CN"/>
        </w:rPr>
        <w:t>2</w:t>
      </w:r>
      <w:r>
        <w:rPr>
          <w:rFonts w:hint="eastAsia" w:ascii="仿宋" w:hAnsi="仿宋" w:eastAsia="仿宋" w:cs="仿宋"/>
          <w:bCs/>
          <w:color w:val="auto"/>
          <w:sz w:val="32"/>
          <w:szCs w:val="32"/>
        </w:rPr>
        <w:t>月10日，评价组按照绩效评价的原则和规范，对取得的资料进行审查核实，对采集的数据进行分析，按照绩效评价指标评分表逐项进行打分、分析，汇总各方评价结果，综合分析并形成评价结论。</w:t>
      </w:r>
    </w:p>
    <w:p w14:paraId="08C8518B">
      <w:pPr>
        <w:pStyle w:val="3"/>
        <w:spacing w:line="360" w:lineRule="auto"/>
        <w:rPr>
          <w:rFonts w:ascii="宋体" w:hAnsi="宋体" w:eastAsia="宋体"/>
          <w:color w:val="auto"/>
          <w:sz w:val="32"/>
          <w:szCs w:val="32"/>
        </w:rPr>
      </w:pPr>
      <w:bookmarkStart w:id="7" w:name="_Toc68703834"/>
      <w:r>
        <w:rPr>
          <w:rFonts w:hint="eastAsia" w:ascii="宋体" w:hAnsi="宋体" w:eastAsia="宋体"/>
          <w:color w:val="auto"/>
          <w:sz w:val="32"/>
          <w:szCs w:val="32"/>
        </w:rPr>
        <w:t>三、综合评价情况及评价结论</w:t>
      </w:r>
      <w:bookmarkEnd w:id="7"/>
    </w:p>
    <w:p w14:paraId="147E927C">
      <w:pPr>
        <w:pStyle w:val="4"/>
        <w:pageBreakBefore w:val="0"/>
        <w:widowControl w:val="0"/>
        <w:kinsoku/>
        <w:wordWrap/>
        <w:overflowPunct/>
        <w:topLinePunct w:val="0"/>
        <w:autoSpaceDE/>
        <w:autoSpaceDN/>
        <w:bidi w:val="0"/>
        <w:adjustRightInd/>
        <w:snapToGrid/>
        <w:spacing w:before="0" w:after="0" w:line="240" w:lineRule="auto"/>
        <w:textAlignment w:val="auto"/>
        <w:rPr>
          <w:rFonts w:ascii="仿宋_GB2312" w:eastAsia="仿宋_GB2312"/>
          <w:b w:val="0"/>
          <w:bCs w:val="0"/>
          <w:color w:val="auto"/>
        </w:rPr>
      </w:pPr>
      <w:bookmarkStart w:id="8" w:name="_Toc68703835"/>
      <w:r>
        <w:rPr>
          <w:rFonts w:hint="eastAsia" w:ascii="仿宋_GB2312" w:eastAsia="仿宋_GB2312"/>
          <w:b w:val="0"/>
          <w:bCs w:val="0"/>
          <w:color w:val="auto"/>
        </w:rPr>
        <w:t>（一）综合评价情况</w:t>
      </w:r>
      <w:bookmarkEnd w:id="8"/>
    </w:p>
    <w:p w14:paraId="1C75928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本项目严格按照科学公正、统筹兼顾、激励约束、公开透明的绩效评价原则，采用因素分析法和成本效益分析法评价方法，坚持以计划标准绩效评价标准对本项目的立项、项绩效目标、资金投入、资金管理、组织实施、产出数量、产出质量、产出时效、产出成本、项目效益进行了综合评价。</w:t>
      </w:r>
    </w:p>
    <w:p w14:paraId="4AB77814">
      <w:pPr>
        <w:spacing w:line="360" w:lineRule="auto"/>
        <w:ind w:firstLine="600" w:firstLineChars="200"/>
        <w:jc w:val="center"/>
        <w:rPr>
          <w:color w:val="auto"/>
        </w:rPr>
      </w:pPr>
      <w:r>
        <w:rPr>
          <w:rFonts w:hint="eastAsia"/>
          <w:color w:val="auto"/>
        </w:rPr>
        <w:t xml:space="preserve"> 五号渠乡2023年村干部、组干部、三老及离任村干部生活补助项目评价得分情况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7FABAC09">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8E53D19">
            <w:pPr>
              <w:jc w:val="center"/>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DBE6A50">
            <w:pPr>
              <w:jc w:val="center"/>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71529A8">
            <w:pPr>
              <w:jc w:val="center"/>
              <w:rPr>
                <w:b/>
                <w:bCs/>
                <w:color w:val="auto"/>
                <w:sz w:val="22"/>
              </w:rPr>
            </w:pPr>
            <w:r>
              <w:rPr>
                <w:rFonts w:hint="eastAsia"/>
                <w:b/>
                <w:bCs/>
                <w:color w:val="auto"/>
                <w:sz w:val="22"/>
              </w:rPr>
              <w:t>得分</w:t>
            </w:r>
          </w:p>
        </w:tc>
      </w:tr>
      <w:tr w14:paraId="66DED0F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80E0FCF">
            <w:pPr>
              <w:jc w:val="center"/>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814AA4B">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87223D0">
            <w:pPr>
              <w:jc w:val="center"/>
              <w:rPr>
                <w:rFonts w:hint="default" w:eastAsia="仿宋_GB2312"/>
                <w:color w:val="auto"/>
                <w:sz w:val="22"/>
                <w:lang w:val="en-US" w:eastAsia="zh-CN"/>
              </w:rPr>
            </w:pPr>
            <w:r>
              <w:rPr>
                <w:rFonts w:hint="eastAsia"/>
                <w:color w:val="auto"/>
                <w:sz w:val="22"/>
                <w:lang w:val="en-US" w:eastAsia="zh-CN"/>
              </w:rPr>
              <w:t>20</w:t>
            </w:r>
          </w:p>
        </w:tc>
      </w:tr>
      <w:tr w14:paraId="0056E95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0F376D3">
            <w:pPr>
              <w:jc w:val="center"/>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BF5EAF3">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79D2F9F">
            <w:pPr>
              <w:jc w:val="center"/>
              <w:rPr>
                <w:rFonts w:hint="default" w:eastAsia="仿宋_GB2312"/>
                <w:color w:val="auto"/>
                <w:sz w:val="22"/>
                <w:lang w:val="en-US" w:eastAsia="zh-CN"/>
              </w:rPr>
            </w:pPr>
            <w:r>
              <w:rPr>
                <w:rFonts w:hint="eastAsia"/>
                <w:color w:val="auto"/>
                <w:sz w:val="22"/>
                <w:lang w:val="en-US" w:eastAsia="zh-CN"/>
              </w:rPr>
              <w:t>20</w:t>
            </w:r>
          </w:p>
        </w:tc>
      </w:tr>
      <w:tr w14:paraId="74AD964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6D2F7F">
            <w:pPr>
              <w:jc w:val="center"/>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5EBBCD3">
            <w:pPr>
              <w:jc w:val="center"/>
              <w:rPr>
                <w:rFonts w:hint="default" w:eastAsia="仿宋_GB2312"/>
                <w:color w:val="auto"/>
                <w:sz w:val="22"/>
                <w:lang w:val="en-US" w:eastAsia="zh-CN"/>
              </w:rPr>
            </w:pPr>
            <w:r>
              <w:rPr>
                <w:rFonts w:hint="eastAsia"/>
                <w:color w:val="auto"/>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062D4CCF">
            <w:pPr>
              <w:jc w:val="center"/>
              <w:rPr>
                <w:rFonts w:hint="default" w:eastAsia="仿宋_GB2312"/>
                <w:color w:val="auto"/>
                <w:sz w:val="22"/>
                <w:lang w:val="en-US" w:eastAsia="zh-CN"/>
              </w:rPr>
            </w:pPr>
            <w:r>
              <w:rPr>
                <w:rFonts w:hint="eastAsia"/>
                <w:color w:val="auto"/>
                <w:sz w:val="22"/>
                <w:lang w:val="en-US" w:eastAsia="zh-CN"/>
              </w:rPr>
              <w:t>40</w:t>
            </w:r>
          </w:p>
        </w:tc>
      </w:tr>
      <w:tr w14:paraId="7197061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F781D8E">
            <w:pPr>
              <w:jc w:val="center"/>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3E0A0B33">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5B1E482">
            <w:pPr>
              <w:jc w:val="center"/>
              <w:rPr>
                <w:rFonts w:hint="default" w:eastAsia="仿宋_GB2312"/>
                <w:color w:val="auto"/>
                <w:sz w:val="22"/>
                <w:lang w:val="en-US" w:eastAsia="zh-CN"/>
              </w:rPr>
            </w:pPr>
            <w:r>
              <w:rPr>
                <w:rFonts w:hint="eastAsia"/>
                <w:color w:val="auto"/>
                <w:sz w:val="22"/>
                <w:lang w:val="en-US" w:eastAsia="zh-CN"/>
              </w:rPr>
              <w:t>20</w:t>
            </w:r>
          </w:p>
        </w:tc>
      </w:tr>
      <w:tr w14:paraId="60CC456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CA63C25">
            <w:pPr>
              <w:jc w:val="center"/>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14:paraId="44858FC8">
            <w:pPr>
              <w:jc w:val="center"/>
              <w:rPr>
                <w:rFonts w:hint="default" w:eastAsia="仿宋_GB2312"/>
                <w:b/>
                <w:bCs/>
                <w:color w:val="auto"/>
                <w:sz w:val="22"/>
                <w:lang w:val="en-US" w:eastAsia="zh-CN"/>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35D444F">
            <w:pPr>
              <w:jc w:val="center"/>
              <w:rPr>
                <w:rFonts w:hint="default" w:eastAsia="仿宋_GB2312"/>
                <w:b/>
                <w:bCs/>
                <w:color w:val="auto"/>
                <w:sz w:val="22"/>
                <w:lang w:val="en-US" w:eastAsia="zh-CN"/>
              </w:rPr>
            </w:pPr>
            <w:r>
              <w:rPr>
                <w:rFonts w:hint="eastAsia"/>
                <w:b/>
                <w:bCs/>
                <w:color w:val="auto"/>
                <w:sz w:val="22"/>
                <w:lang w:val="en-US" w:eastAsia="zh-CN"/>
              </w:rPr>
              <w:t>100</w:t>
            </w:r>
          </w:p>
        </w:tc>
      </w:tr>
    </w:tbl>
    <w:p w14:paraId="08108AAC">
      <w:pPr>
        <w:pStyle w:val="4"/>
        <w:spacing w:line="360" w:lineRule="auto"/>
        <w:rPr>
          <w:rFonts w:ascii="仿宋_GB2312" w:eastAsia="仿宋_GB2312"/>
          <w:b w:val="0"/>
          <w:bCs w:val="0"/>
          <w:color w:val="auto"/>
        </w:rPr>
      </w:pPr>
      <w:bookmarkStart w:id="9" w:name="_Toc68703836"/>
      <w:r>
        <w:rPr>
          <w:rFonts w:hint="eastAsia" w:ascii="仿宋_GB2312" w:eastAsia="仿宋_GB2312"/>
          <w:b w:val="0"/>
          <w:bCs w:val="0"/>
          <w:color w:val="auto"/>
        </w:rPr>
        <w:t>（二）评价结论</w:t>
      </w:r>
      <w:bookmarkEnd w:id="9"/>
    </w:p>
    <w:p w14:paraId="6A0A40D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本项目的项目决策、项目过程、项目产出、项目效益均达到了预期要求，最终得分为100分，项目达成年度指标。</w:t>
      </w:r>
    </w:p>
    <w:p w14:paraId="7214C671">
      <w:pPr>
        <w:pStyle w:val="3"/>
        <w:spacing w:line="360" w:lineRule="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14:paraId="66A0C39C">
      <w:pPr>
        <w:pStyle w:val="4"/>
        <w:spacing w:line="360" w:lineRule="auto"/>
        <w:rPr>
          <w:rFonts w:ascii="仿宋_GB2312" w:eastAsia="仿宋_GB2312"/>
          <w:b w:val="0"/>
          <w:bCs w:val="0"/>
          <w:color w:val="auto"/>
        </w:rPr>
      </w:pPr>
      <w:bookmarkStart w:id="11" w:name="_Toc68703838"/>
      <w:r>
        <w:rPr>
          <w:rFonts w:hint="eastAsia" w:ascii="仿宋_GB2312" w:eastAsia="仿宋_GB2312"/>
          <w:b w:val="0"/>
          <w:bCs w:val="0"/>
          <w:color w:val="auto"/>
        </w:rPr>
        <w:t>（一）项目决策情况。</w:t>
      </w:r>
      <w:bookmarkEnd w:id="11"/>
    </w:p>
    <w:p w14:paraId="7780A33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1、立项依据充分性</w:t>
      </w:r>
    </w:p>
    <w:p w14:paraId="34417A9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项目立项依据</w:t>
      </w:r>
      <w:r>
        <w:rPr>
          <w:rFonts w:hint="eastAsia" w:ascii="仿宋" w:hAnsi="仿宋" w:eastAsia="仿宋" w:cs="仿宋"/>
          <w:bCs/>
          <w:color w:val="auto"/>
          <w:sz w:val="32"/>
          <w:szCs w:val="32"/>
          <w:lang w:val="en-US" w:eastAsia="zh-CN"/>
        </w:rPr>
        <w:t>焉党组通字【2023】3号</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val="en-US" w:eastAsia="zh-CN"/>
        </w:rPr>
        <w:t>关于进一步加强村干部“三酬六有”激励保障机制建设的实施意见</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val="en-US" w:eastAsia="zh-CN"/>
        </w:rPr>
        <w:t>(试行)</w:t>
      </w:r>
    </w:p>
    <w:p w14:paraId="34D784A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2、立项程序规范性</w:t>
      </w:r>
    </w:p>
    <w:p w14:paraId="5919906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rPr>
        <w:t>项目立项的审批文件、材料符合相关要求，事前已经过必要的可行性研究、专家论证、风险评估、绩效评估、集体决策</w:t>
      </w:r>
      <w:r>
        <w:rPr>
          <w:rFonts w:hint="eastAsia" w:ascii="仿宋" w:hAnsi="仿宋" w:eastAsia="仿宋" w:cs="仿宋"/>
          <w:bCs/>
          <w:color w:val="auto"/>
          <w:sz w:val="32"/>
          <w:szCs w:val="32"/>
          <w:lang w:eastAsia="zh-CN"/>
        </w:rPr>
        <w:t>。</w:t>
      </w:r>
    </w:p>
    <w:p w14:paraId="0C913DA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3、绩效目标合理性</w:t>
      </w:r>
    </w:p>
    <w:p w14:paraId="2B991E3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202</w:t>
      </w:r>
      <w:r>
        <w:rPr>
          <w:rFonts w:hint="eastAsia" w:ascii="仿宋" w:hAnsi="仿宋" w:eastAsia="仿宋" w:cs="仿宋"/>
          <w:bCs/>
          <w:color w:val="auto"/>
          <w:sz w:val="32"/>
          <w:szCs w:val="32"/>
          <w:lang w:val="en-US" w:eastAsia="zh-CN"/>
        </w:rPr>
        <w:t>3</w:t>
      </w:r>
      <w:r>
        <w:rPr>
          <w:rFonts w:hint="eastAsia" w:ascii="仿宋" w:hAnsi="仿宋" w:eastAsia="仿宋" w:cs="仿宋"/>
          <w:bCs/>
          <w:color w:val="auto"/>
          <w:sz w:val="32"/>
          <w:szCs w:val="32"/>
        </w:rPr>
        <w:t>项目设立了项目绩效目标，与</w:t>
      </w:r>
      <w:r>
        <w:rPr>
          <w:rFonts w:hint="eastAsia" w:ascii="仿宋" w:hAnsi="仿宋" w:eastAsia="仿宋" w:cs="仿宋"/>
          <w:bCs/>
          <w:color w:val="auto"/>
          <w:sz w:val="32"/>
          <w:szCs w:val="32"/>
          <w:lang w:val="en-US" w:eastAsia="zh-CN"/>
        </w:rPr>
        <w:t>五号渠乡基层组织建设发放村组干部工资、三老及离任村干部生活补助工作</w:t>
      </w:r>
      <w:r>
        <w:rPr>
          <w:rFonts w:hint="eastAsia" w:ascii="仿宋" w:hAnsi="仿宋" w:eastAsia="仿宋" w:cs="仿宋"/>
          <w:bCs/>
          <w:color w:val="auto"/>
          <w:sz w:val="32"/>
          <w:szCs w:val="32"/>
        </w:rPr>
        <w:t>具有相关性，项目的预期产出效益和效果也均能符合正常的业绩水平，并且与预算确定的项目投资额或资金量相匹配。</w:t>
      </w:r>
    </w:p>
    <w:p w14:paraId="0D8151B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4、绩效指标明确性</w:t>
      </w:r>
    </w:p>
    <w:p w14:paraId="0878AF5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bookmarkStart w:id="12" w:name="_Hlk68699917"/>
      <w:r>
        <w:rPr>
          <w:rFonts w:hint="eastAsia" w:ascii="仿宋" w:hAnsi="仿宋" w:eastAsia="仿宋" w:cs="仿宋"/>
          <w:bCs/>
          <w:color w:val="auto"/>
          <w:sz w:val="32"/>
          <w:szCs w:val="32"/>
        </w:rPr>
        <w:t>202</w:t>
      </w:r>
      <w:r>
        <w:rPr>
          <w:rFonts w:hint="eastAsia" w:ascii="仿宋" w:hAnsi="仿宋" w:eastAsia="仿宋" w:cs="仿宋"/>
          <w:bCs/>
          <w:color w:val="auto"/>
          <w:sz w:val="32"/>
          <w:szCs w:val="32"/>
          <w:lang w:val="en-US" w:eastAsia="zh-CN"/>
        </w:rPr>
        <w:t>3</w:t>
      </w:r>
      <w:r>
        <w:rPr>
          <w:rFonts w:hint="eastAsia" w:ascii="仿宋" w:hAnsi="仿宋" w:eastAsia="仿宋" w:cs="仿宋"/>
          <w:bCs/>
          <w:color w:val="auto"/>
          <w:sz w:val="32"/>
          <w:szCs w:val="32"/>
        </w:rPr>
        <w:t>年项目将项目绩效目标细化分解为具体的绩效指标，一级指标共</w:t>
      </w:r>
      <w:r>
        <w:rPr>
          <w:rFonts w:hint="eastAsia" w:ascii="仿宋" w:hAnsi="仿宋" w:eastAsia="仿宋" w:cs="仿宋"/>
          <w:bCs/>
          <w:color w:val="auto"/>
          <w:sz w:val="32"/>
          <w:szCs w:val="32"/>
          <w:lang w:val="en-US" w:eastAsia="zh-CN"/>
        </w:rPr>
        <w:t>4</w:t>
      </w:r>
      <w:r>
        <w:rPr>
          <w:rFonts w:hint="eastAsia" w:ascii="仿宋" w:hAnsi="仿宋" w:eastAsia="仿宋" w:cs="仿宋"/>
          <w:bCs/>
          <w:color w:val="auto"/>
          <w:sz w:val="32"/>
          <w:szCs w:val="32"/>
        </w:rPr>
        <w:t>条，二级指标共6条，三级指标共</w:t>
      </w:r>
      <w:r>
        <w:rPr>
          <w:rFonts w:hint="eastAsia" w:ascii="仿宋" w:hAnsi="仿宋" w:eastAsia="仿宋" w:cs="仿宋"/>
          <w:bCs/>
          <w:color w:val="auto"/>
          <w:sz w:val="32"/>
          <w:szCs w:val="32"/>
          <w:lang w:val="en-US" w:eastAsia="zh-CN"/>
        </w:rPr>
        <w:t>10</w:t>
      </w:r>
      <w:r>
        <w:rPr>
          <w:rFonts w:hint="eastAsia" w:ascii="仿宋" w:hAnsi="仿宋" w:eastAsia="仿宋" w:cs="仿宋"/>
          <w:bCs/>
          <w:color w:val="auto"/>
          <w:sz w:val="32"/>
          <w:szCs w:val="32"/>
        </w:rPr>
        <w:t>条，其中量化指标条数共</w:t>
      </w:r>
      <w:r>
        <w:rPr>
          <w:rFonts w:hint="eastAsia" w:ascii="仿宋" w:hAnsi="仿宋" w:eastAsia="仿宋" w:cs="仿宋"/>
          <w:bCs/>
          <w:color w:val="auto"/>
          <w:sz w:val="32"/>
          <w:szCs w:val="32"/>
          <w:lang w:val="en-US" w:eastAsia="zh-CN"/>
        </w:rPr>
        <w:t>9</w:t>
      </w:r>
      <w:r>
        <w:rPr>
          <w:rFonts w:hint="eastAsia" w:ascii="仿宋" w:hAnsi="仿宋" w:eastAsia="仿宋" w:cs="仿宋"/>
          <w:bCs/>
          <w:color w:val="auto"/>
          <w:sz w:val="32"/>
          <w:szCs w:val="32"/>
        </w:rPr>
        <w:t>条，所有绩效指标均通过清晰、可衡量的指标值予以体现，并且做到了与项目目标任务数或计划数相对应。</w:t>
      </w:r>
      <w:bookmarkEnd w:id="12"/>
    </w:p>
    <w:p w14:paraId="345DF4E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5、预算编制科学性</w:t>
      </w:r>
    </w:p>
    <w:p w14:paraId="6D07E27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预算编制是经过科学论证，预算内容与</w:t>
      </w:r>
      <w:r>
        <w:rPr>
          <w:rFonts w:hint="eastAsia" w:ascii="仿宋" w:hAnsi="仿宋" w:eastAsia="仿宋" w:cs="仿宋"/>
          <w:bCs/>
          <w:color w:val="auto"/>
          <w:sz w:val="32"/>
          <w:szCs w:val="32"/>
          <w:lang w:val="en-US" w:eastAsia="zh-CN"/>
        </w:rPr>
        <w:t>五号渠乡2023年村干部、组干部、三老及离任村干部生活补助</w:t>
      </w:r>
      <w:r>
        <w:rPr>
          <w:rFonts w:hint="eastAsia" w:ascii="仿宋" w:hAnsi="仿宋" w:eastAsia="仿宋" w:cs="仿宋"/>
          <w:bCs/>
          <w:color w:val="auto"/>
          <w:sz w:val="32"/>
          <w:szCs w:val="32"/>
        </w:rPr>
        <w:t>项目内容相匹配，预算额度测算依据充分按照计划标准，确定的项目投资额与五号渠乡2023年村干部、组干部、三老及离任村干部生活补助项目的工作任务</w:t>
      </w:r>
      <w:r>
        <w:rPr>
          <w:rFonts w:hint="eastAsia" w:ascii="仿宋" w:hAnsi="仿宋" w:eastAsia="仿宋" w:cs="仿宋"/>
          <w:bCs/>
          <w:color w:val="auto"/>
          <w:sz w:val="32"/>
          <w:szCs w:val="32"/>
          <w:lang w:val="en-US" w:eastAsia="zh-CN"/>
        </w:rPr>
        <w:t>相</w:t>
      </w:r>
      <w:r>
        <w:rPr>
          <w:rFonts w:hint="eastAsia" w:ascii="仿宋" w:hAnsi="仿宋" w:eastAsia="仿宋" w:cs="仿宋"/>
          <w:bCs/>
          <w:color w:val="auto"/>
          <w:sz w:val="32"/>
          <w:szCs w:val="32"/>
        </w:rPr>
        <w:t>匹配。</w:t>
      </w:r>
    </w:p>
    <w:p w14:paraId="6A2B3E3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6、资金分配合理性</w:t>
      </w:r>
    </w:p>
    <w:p w14:paraId="0C60303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default"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资金分配额严格按照焉耆县村组干部工资、三老及离任村干部生活补助发放标准一致，与五号渠乡2023年村干部、组干部、三老及离任村干部生活补助相适应。</w:t>
      </w:r>
    </w:p>
    <w:p w14:paraId="064F1774">
      <w:pPr>
        <w:pStyle w:val="4"/>
        <w:spacing w:line="360" w:lineRule="auto"/>
        <w:rPr>
          <w:rFonts w:ascii="仿宋_GB2312" w:eastAsia="仿宋_GB2312"/>
          <w:b w:val="0"/>
          <w:bCs w:val="0"/>
        </w:rPr>
      </w:pPr>
      <w:bookmarkStart w:id="13" w:name="_Toc68703839"/>
      <w:r>
        <w:rPr>
          <w:rFonts w:hint="eastAsia" w:ascii="仿宋_GB2312" w:eastAsia="仿宋_GB2312"/>
          <w:b w:val="0"/>
          <w:bCs w:val="0"/>
        </w:rPr>
        <w:t>（二）项目过程情况。</w:t>
      </w:r>
      <w:bookmarkEnd w:id="13"/>
    </w:p>
    <w:p w14:paraId="372A305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1、资金到位率：</w:t>
      </w:r>
    </w:p>
    <w:p w14:paraId="14F3052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实际到位资金427.08万元，预算资金427.08万元，资金到位率100%。</w:t>
      </w:r>
    </w:p>
    <w:p w14:paraId="74EE644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2、预算执行率</w:t>
      </w:r>
    </w:p>
    <w:p w14:paraId="50CF924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年初预算数0万元，全年预算数427.08万元，全年执行数     427.08万元，预算执行率为100%（预算执行率=全年执行数/全年预算数）</w:t>
      </w:r>
    </w:p>
    <w:p w14:paraId="7C7FE84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3、资金使用合规性</w:t>
      </w:r>
    </w:p>
    <w:p w14:paraId="1EC9987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我单位根据专项资金使用管理规定，遵循公平公正、程序规范的原则，切实加强中央农村综合改革转移支付资金使用与管理，提高资金使用效益。</w:t>
      </w:r>
    </w:p>
    <w:p w14:paraId="0CC5703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4、管理制度健全性</w:t>
      </w:r>
    </w:p>
    <w:p w14:paraId="196DB8F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严格遵守《会计法》等各项财经法规，能够按照行政事业单位财务制度设置会计科目及有关明细科目，账务核算比较规范，财务管理基本能够做到独立核算、专人管理、专款专用。项目资金管理实施专款专用，严格管理，集体会议决定，专人审核支付。县财政部门积极督促资金本单位对照绩效目标做好绩效监控，确保五号渠乡村组干部工资、三老及离任村干部生活补助项目顺利实施。</w:t>
      </w:r>
    </w:p>
    <w:p w14:paraId="45A347A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5、制度执行有效性</w:t>
      </w:r>
    </w:p>
    <w:p w14:paraId="6F91BCC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bookmarkStart w:id="14" w:name="_Toc68703840"/>
      <w:r>
        <w:rPr>
          <w:rFonts w:hint="eastAsia" w:ascii="仿宋" w:hAnsi="仿宋" w:eastAsia="仿宋" w:cs="仿宋"/>
          <w:bCs/>
          <w:color w:val="auto"/>
          <w:sz w:val="32"/>
          <w:szCs w:val="32"/>
          <w:lang w:val="en-US" w:eastAsia="zh-CN"/>
        </w:rPr>
        <w:t>项目实施过程中乡政府、村两委加强项目的监督管理，确保项目按时按量完成。乡政府项目办认真对资料进行整理和收集。乡项目办、乡党政办与财政所的分工协做，共同管理好五号渠乡村组干部工资、三老及离任村干部生活补助支付资金，提高资金使用效益。</w:t>
      </w:r>
    </w:p>
    <w:p w14:paraId="0B6C0A11">
      <w:pPr>
        <w:pStyle w:val="4"/>
        <w:spacing w:line="360" w:lineRule="auto"/>
        <w:ind w:firstLine="640" w:firstLineChars="200"/>
        <w:rPr>
          <w:rFonts w:ascii="仿宋_GB2312" w:eastAsia="仿宋_GB2312"/>
          <w:b w:val="0"/>
          <w:bCs w:val="0"/>
        </w:rPr>
      </w:pPr>
      <w:r>
        <w:rPr>
          <w:rFonts w:hint="eastAsia" w:ascii="仿宋_GB2312" w:eastAsia="仿宋_GB2312"/>
          <w:b w:val="0"/>
          <w:bCs w:val="0"/>
        </w:rPr>
        <w:t>（三）项目产出情况。</w:t>
      </w:r>
      <w:bookmarkEnd w:id="14"/>
    </w:p>
    <w:p w14:paraId="61B9492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1、数量指标：指标1： 村干部总人数 ，指标值：55人，实际完成值 55人，指标完成率100%，偏差原因：无；</w:t>
      </w:r>
    </w:p>
    <w:p w14:paraId="4F90EE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指标2：组干部总人数 ，指标值：117人，实际完成值 177人，指标完成率100%，偏差原因：无；</w:t>
      </w:r>
    </w:p>
    <w:p w14:paraId="6C35BF8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指标3：三老及离任村干部总人数 ，指标值：58人，实际完成值 58人，指标完成率100%，偏差原因：无；</w:t>
      </w:r>
    </w:p>
    <w:p w14:paraId="2F02509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2.质量指标：指标1：工资发放准确率，</w:t>
      </w:r>
      <w:bookmarkStart w:id="15" w:name="_Hlk98607777"/>
      <w:r>
        <w:rPr>
          <w:rFonts w:hint="eastAsia" w:ascii="仿宋" w:hAnsi="仿宋" w:eastAsia="仿宋" w:cs="仿宋"/>
          <w:bCs/>
          <w:color w:val="auto"/>
          <w:sz w:val="32"/>
          <w:szCs w:val="32"/>
          <w:lang w:val="en-US" w:eastAsia="zh-CN"/>
        </w:rPr>
        <w:t>指标值：100%   ，实际完成值100%，</w:t>
      </w:r>
      <w:bookmarkStart w:id="16" w:name="_Hlk98607678"/>
      <w:r>
        <w:rPr>
          <w:rFonts w:hint="eastAsia" w:ascii="仿宋" w:hAnsi="仿宋" w:eastAsia="仿宋" w:cs="仿宋"/>
          <w:bCs/>
          <w:color w:val="auto"/>
          <w:sz w:val="32"/>
          <w:szCs w:val="32"/>
          <w:lang w:val="en-US" w:eastAsia="zh-CN"/>
        </w:rPr>
        <w:t>指标完成率100%，偏差原因：无；</w:t>
      </w:r>
      <w:bookmarkEnd w:id="15"/>
      <w:bookmarkEnd w:id="16"/>
    </w:p>
    <w:p w14:paraId="23E3F8B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3.时效指标：指标1：三老人员工资总额，指标值： 100% ，实际完成值100%，指标完成率100%，偏差原因：无；</w:t>
      </w:r>
    </w:p>
    <w:p w14:paraId="7E67152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4.</w:t>
      </w:r>
      <w:r>
        <w:rPr>
          <w:rFonts w:hint="eastAsia" w:ascii="仿宋" w:hAnsi="仿宋" w:eastAsia="仿宋" w:cs="仿宋"/>
          <w:bCs/>
          <w:color w:val="auto"/>
          <w:sz w:val="32"/>
          <w:szCs w:val="32"/>
          <w:lang w:val="zh-CN" w:eastAsia="zh-CN"/>
        </w:rPr>
        <w:t>成本指标：指标</w:t>
      </w:r>
      <w:r>
        <w:rPr>
          <w:rFonts w:hint="eastAsia" w:ascii="仿宋" w:hAnsi="仿宋" w:eastAsia="仿宋" w:cs="仿宋"/>
          <w:bCs/>
          <w:color w:val="auto"/>
          <w:sz w:val="32"/>
          <w:szCs w:val="32"/>
          <w:lang w:val="en-US" w:eastAsia="zh-CN"/>
        </w:rPr>
        <w:t>1：三老人员工资总额</w:t>
      </w:r>
      <w:r>
        <w:rPr>
          <w:rFonts w:hint="eastAsia" w:ascii="仿宋" w:hAnsi="仿宋" w:eastAsia="仿宋" w:cs="仿宋"/>
          <w:bCs/>
          <w:color w:val="auto"/>
          <w:sz w:val="32"/>
          <w:szCs w:val="32"/>
          <w:lang w:val="zh-CN" w:eastAsia="zh-CN"/>
        </w:rPr>
        <w:t>，指标值</w:t>
      </w:r>
      <w:r>
        <w:rPr>
          <w:rFonts w:hint="eastAsia" w:ascii="仿宋" w:hAnsi="仿宋" w:eastAsia="仿宋" w:cs="仿宋"/>
          <w:bCs/>
          <w:color w:val="auto"/>
          <w:sz w:val="32"/>
          <w:szCs w:val="32"/>
          <w:lang w:val="en-US" w:eastAsia="zh-CN"/>
        </w:rPr>
        <w:t>&lt;=100.74万元</w:t>
      </w:r>
      <w:r>
        <w:rPr>
          <w:rFonts w:hint="eastAsia" w:ascii="仿宋" w:hAnsi="仿宋" w:eastAsia="仿宋" w:cs="仿宋"/>
          <w:bCs/>
          <w:color w:val="auto"/>
          <w:sz w:val="32"/>
          <w:szCs w:val="32"/>
          <w:lang w:val="zh-CN" w:eastAsia="zh-CN"/>
        </w:rPr>
        <w:t>，实际完成值</w:t>
      </w:r>
      <w:r>
        <w:rPr>
          <w:rFonts w:hint="eastAsia" w:ascii="仿宋" w:hAnsi="仿宋" w:eastAsia="仿宋" w:cs="仿宋"/>
          <w:bCs/>
          <w:color w:val="auto"/>
          <w:sz w:val="32"/>
          <w:szCs w:val="32"/>
          <w:lang w:val="en-US" w:eastAsia="zh-CN"/>
        </w:rPr>
        <w:t>100.74万元，指标完成率100%，偏差原因：无；</w:t>
      </w:r>
    </w:p>
    <w:p w14:paraId="1018CF6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zh-CN" w:eastAsia="zh-CN"/>
        </w:rPr>
      </w:pPr>
      <w:r>
        <w:rPr>
          <w:rFonts w:hint="eastAsia" w:ascii="仿宋" w:hAnsi="仿宋" w:eastAsia="仿宋" w:cs="仿宋"/>
          <w:bCs/>
          <w:color w:val="auto"/>
          <w:sz w:val="32"/>
          <w:szCs w:val="32"/>
          <w:lang w:val="zh-CN" w:eastAsia="zh-CN"/>
        </w:rPr>
        <w:t>指标</w:t>
      </w:r>
      <w:r>
        <w:rPr>
          <w:rFonts w:hint="eastAsia" w:ascii="仿宋" w:hAnsi="仿宋" w:eastAsia="仿宋" w:cs="仿宋"/>
          <w:bCs/>
          <w:color w:val="auto"/>
          <w:sz w:val="32"/>
          <w:szCs w:val="32"/>
          <w:lang w:val="en-US" w:eastAsia="zh-CN"/>
        </w:rPr>
        <w:t>2</w:t>
      </w:r>
      <w:r>
        <w:rPr>
          <w:rFonts w:hint="eastAsia" w:ascii="仿宋" w:hAnsi="仿宋" w:eastAsia="仿宋" w:cs="仿宋"/>
          <w:bCs/>
          <w:color w:val="auto"/>
          <w:sz w:val="32"/>
          <w:szCs w:val="32"/>
          <w:lang w:val="zh-CN" w:eastAsia="zh-CN"/>
        </w:rPr>
        <w:t>：村干部工资总额，指标值&lt;=176.54万元，实际完成值</w:t>
      </w:r>
      <w:r>
        <w:rPr>
          <w:rFonts w:hint="eastAsia" w:ascii="仿宋" w:hAnsi="仿宋" w:eastAsia="仿宋" w:cs="仿宋"/>
          <w:bCs/>
          <w:color w:val="auto"/>
          <w:sz w:val="32"/>
          <w:szCs w:val="32"/>
          <w:lang w:val="en-US" w:eastAsia="zh-CN"/>
        </w:rPr>
        <w:t>176.54</w:t>
      </w:r>
      <w:r>
        <w:rPr>
          <w:rFonts w:hint="eastAsia" w:ascii="仿宋" w:hAnsi="仿宋" w:eastAsia="仿宋" w:cs="仿宋"/>
          <w:bCs/>
          <w:color w:val="auto"/>
          <w:sz w:val="32"/>
          <w:szCs w:val="32"/>
          <w:lang w:val="zh-CN" w:eastAsia="zh-CN"/>
        </w:rPr>
        <w:t>万元，指标完成率100%，偏差原因：无；</w:t>
      </w:r>
    </w:p>
    <w:p w14:paraId="27BAC2A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zh-CN" w:eastAsia="zh-CN"/>
        </w:rPr>
      </w:pPr>
      <w:r>
        <w:rPr>
          <w:rFonts w:hint="eastAsia" w:ascii="仿宋" w:hAnsi="仿宋" w:eastAsia="仿宋" w:cs="仿宋"/>
          <w:bCs/>
          <w:color w:val="auto"/>
          <w:sz w:val="32"/>
          <w:szCs w:val="32"/>
          <w:lang w:val="en-US" w:eastAsia="zh-CN"/>
        </w:rPr>
        <w:t>指标3</w:t>
      </w:r>
      <w:r>
        <w:rPr>
          <w:rFonts w:hint="eastAsia" w:ascii="仿宋" w:hAnsi="仿宋" w:eastAsia="仿宋" w:cs="仿宋"/>
          <w:bCs/>
          <w:color w:val="auto"/>
          <w:sz w:val="32"/>
          <w:szCs w:val="32"/>
          <w:lang w:val="zh-CN" w:eastAsia="zh-CN"/>
        </w:rPr>
        <w:t>：村小组干部工资总额，指标值&lt;=1</w:t>
      </w:r>
      <w:r>
        <w:rPr>
          <w:rFonts w:hint="eastAsia" w:ascii="仿宋" w:hAnsi="仿宋" w:eastAsia="仿宋" w:cs="仿宋"/>
          <w:bCs/>
          <w:color w:val="auto"/>
          <w:sz w:val="32"/>
          <w:szCs w:val="32"/>
          <w:lang w:val="en-US" w:eastAsia="zh-CN"/>
        </w:rPr>
        <w:t>49.8</w:t>
      </w:r>
      <w:r>
        <w:rPr>
          <w:rFonts w:hint="eastAsia" w:ascii="仿宋" w:hAnsi="仿宋" w:eastAsia="仿宋" w:cs="仿宋"/>
          <w:bCs/>
          <w:color w:val="auto"/>
          <w:sz w:val="32"/>
          <w:szCs w:val="32"/>
          <w:lang w:val="zh-CN" w:eastAsia="zh-CN"/>
        </w:rPr>
        <w:t>万元，实际完成值1</w:t>
      </w:r>
      <w:r>
        <w:rPr>
          <w:rFonts w:hint="eastAsia" w:ascii="仿宋" w:hAnsi="仿宋" w:eastAsia="仿宋" w:cs="仿宋"/>
          <w:bCs/>
          <w:color w:val="auto"/>
          <w:sz w:val="32"/>
          <w:szCs w:val="32"/>
          <w:lang w:val="en-US" w:eastAsia="zh-CN"/>
        </w:rPr>
        <w:t>49.8</w:t>
      </w:r>
      <w:r>
        <w:rPr>
          <w:rFonts w:hint="eastAsia" w:ascii="仿宋" w:hAnsi="仿宋" w:eastAsia="仿宋" w:cs="仿宋"/>
          <w:bCs/>
          <w:color w:val="auto"/>
          <w:sz w:val="32"/>
          <w:szCs w:val="32"/>
          <w:lang w:val="zh-CN" w:eastAsia="zh-CN"/>
        </w:rPr>
        <w:t>万元，指标完成率100%，偏差原因：无；</w:t>
      </w:r>
    </w:p>
    <w:p w14:paraId="093E3B48">
      <w:pPr>
        <w:pStyle w:val="4"/>
        <w:spacing w:line="360" w:lineRule="auto"/>
        <w:rPr>
          <w:rFonts w:ascii="仿宋_GB2312" w:eastAsia="仿宋_GB2312"/>
          <w:b w:val="0"/>
          <w:bCs w:val="0"/>
        </w:rPr>
      </w:pPr>
      <w:bookmarkStart w:id="17" w:name="_Toc68703841"/>
      <w:r>
        <w:rPr>
          <w:rFonts w:hint="eastAsia" w:ascii="仿宋_GB2312" w:eastAsia="仿宋_GB2312"/>
          <w:b w:val="0"/>
          <w:bCs w:val="0"/>
        </w:rPr>
        <w:t>（四）项目效益情况。</w:t>
      </w:r>
      <w:bookmarkEnd w:id="17"/>
    </w:p>
    <w:p w14:paraId="20559F1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zh-CN" w:eastAsia="zh-CN"/>
        </w:rPr>
      </w:pPr>
      <w:r>
        <w:rPr>
          <w:rFonts w:hint="eastAsia" w:ascii="仿宋" w:hAnsi="仿宋" w:eastAsia="仿宋" w:cs="仿宋"/>
          <w:bCs/>
          <w:color w:val="auto"/>
          <w:sz w:val="32"/>
          <w:szCs w:val="32"/>
          <w:lang w:val="en-US" w:eastAsia="zh-CN"/>
        </w:rPr>
        <w:t>1.</w:t>
      </w:r>
      <w:r>
        <w:rPr>
          <w:rFonts w:hint="eastAsia" w:ascii="仿宋" w:hAnsi="仿宋" w:eastAsia="仿宋" w:cs="仿宋"/>
          <w:bCs/>
          <w:color w:val="auto"/>
          <w:sz w:val="32"/>
          <w:szCs w:val="32"/>
          <w:lang w:val="zh-CN" w:eastAsia="zh-CN"/>
        </w:rPr>
        <w:t>效益指标：指标1：</w:t>
      </w:r>
      <w:r>
        <w:rPr>
          <w:rFonts w:hint="eastAsia" w:ascii="仿宋" w:hAnsi="仿宋" w:eastAsia="仿宋" w:cs="仿宋"/>
          <w:bCs/>
          <w:color w:val="auto"/>
          <w:sz w:val="32"/>
          <w:szCs w:val="32"/>
          <w:lang w:val="en-US" w:eastAsia="zh-CN"/>
        </w:rPr>
        <w:t>社会</w:t>
      </w:r>
      <w:r>
        <w:rPr>
          <w:rFonts w:hint="eastAsia" w:ascii="仿宋" w:hAnsi="仿宋" w:eastAsia="仿宋" w:cs="仿宋"/>
          <w:bCs/>
          <w:color w:val="auto"/>
          <w:sz w:val="32"/>
          <w:szCs w:val="32"/>
          <w:lang w:val="zh-CN" w:eastAsia="zh-CN"/>
        </w:rPr>
        <w:t>效益指标：提高工作积极性，指标值：</w:t>
      </w:r>
      <w:r>
        <w:rPr>
          <w:rFonts w:hint="eastAsia" w:ascii="仿宋" w:hAnsi="仿宋" w:eastAsia="仿宋" w:cs="仿宋"/>
          <w:bCs/>
          <w:color w:val="auto"/>
          <w:sz w:val="32"/>
          <w:szCs w:val="32"/>
          <w:lang w:val="en-US" w:eastAsia="zh-CN"/>
        </w:rPr>
        <w:t>有所提高</w:t>
      </w:r>
      <w:r>
        <w:rPr>
          <w:rFonts w:hint="eastAsia" w:ascii="仿宋" w:hAnsi="仿宋" w:eastAsia="仿宋" w:cs="仿宋"/>
          <w:bCs/>
          <w:color w:val="auto"/>
          <w:sz w:val="32"/>
          <w:szCs w:val="32"/>
          <w:lang w:val="zh-CN" w:eastAsia="zh-CN"/>
        </w:rPr>
        <w:t xml:space="preserve">，实际完成值 </w:t>
      </w:r>
      <w:r>
        <w:rPr>
          <w:rFonts w:hint="eastAsia" w:ascii="仿宋" w:hAnsi="仿宋" w:eastAsia="仿宋" w:cs="仿宋"/>
          <w:bCs/>
          <w:color w:val="auto"/>
          <w:sz w:val="32"/>
          <w:szCs w:val="32"/>
          <w:lang w:val="en-US" w:eastAsia="zh-CN"/>
        </w:rPr>
        <w:t>达成目标</w:t>
      </w:r>
      <w:r>
        <w:rPr>
          <w:rFonts w:hint="eastAsia" w:ascii="仿宋" w:hAnsi="仿宋" w:eastAsia="仿宋" w:cs="仿宋"/>
          <w:bCs/>
          <w:color w:val="auto"/>
          <w:sz w:val="32"/>
          <w:szCs w:val="32"/>
          <w:lang w:val="zh-CN" w:eastAsia="zh-CN"/>
        </w:rPr>
        <w:t>，指标完成率</w:t>
      </w:r>
      <w:r>
        <w:rPr>
          <w:rFonts w:hint="eastAsia" w:ascii="仿宋" w:hAnsi="仿宋" w:eastAsia="仿宋" w:cs="仿宋"/>
          <w:bCs/>
          <w:color w:val="auto"/>
          <w:sz w:val="32"/>
          <w:szCs w:val="32"/>
          <w:lang w:val="en-US" w:eastAsia="zh-CN"/>
        </w:rPr>
        <w:t>100</w:t>
      </w:r>
      <w:r>
        <w:rPr>
          <w:rFonts w:hint="eastAsia" w:ascii="仿宋" w:hAnsi="仿宋" w:eastAsia="仿宋" w:cs="仿宋"/>
          <w:bCs/>
          <w:color w:val="auto"/>
          <w:sz w:val="32"/>
          <w:szCs w:val="32"/>
          <w:lang w:val="zh-CN" w:eastAsia="zh-CN"/>
        </w:rPr>
        <w:t>%，偏差原因：</w:t>
      </w:r>
      <w:r>
        <w:rPr>
          <w:rFonts w:hint="eastAsia" w:ascii="仿宋" w:hAnsi="仿宋" w:eastAsia="仿宋" w:cs="仿宋"/>
          <w:bCs/>
          <w:color w:val="auto"/>
          <w:sz w:val="32"/>
          <w:szCs w:val="32"/>
          <w:lang w:val="en-US" w:eastAsia="zh-CN"/>
        </w:rPr>
        <w:t>无</w:t>
      </w:r>
      <w:r>
        <w:rPr>
          <w:rFonts w:hint="eastAsia" w:ascii="仿宋" w:hAnsi="仿宋" w:eastAsia="仿宋" w:cs="仿宋"/>
          <w:bCs/>
          <w:color w:val="auto"/>
          <w:sz w:val="32"/>
          <w:szCs w:val="32"/>
          <w:lang w:val="zh-CN" w:eastAsia="zh-CN"/>
        </w:rPr>
        <w:t>。</w:t>
      </w:r>
    </w:p>
    <w:p w14:paraId="5E37307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zh-CN" w:eastAsia="zh-CN"/>
        </w:rPr>
      </w:pPr>
      <w:r>
        <w:rPr>
          <w:rFonts w:hint="eastAsia" w:ascii="仿宋" w:hAnsi="仿宋" w:eastAsia="仿宋" w:cs="仿宋"/>
          <w:bCs/>
          <w:color w:val="auto"/>
          <w:sz w:val="32"/>
          <w:szCs w:val="32"/>
          <w:lang w:val="en-US" w:eastAsia="zh-CN"/>
        </w:rPr>
        <w:t>2、</w:t>
      </w:r>
      <w:r>
        <w:rPr>
          <w:rFonts w:hint="eastAsia" w:ascii="仿宋" w:hAnsi="仿宋" w:eastAsia="仿宋" w:cs="仿宋"/>
          <w:bCs/>
          <w:color w:val="auto"/>
          <w:sz w:val="32"/>
          <w:szCs w:val="32"/>
          <w:lang w:val="zh-CN" w:eastAsia="zh-CN"/>
        </w:rPr>
        <w:t>满意度指标：指标</w:t>
      </w:r>
      <w:r>
        <w:rPr>
          <w:rFonts w:hint="eastAsia" w:ascii="仿宋" w:hAnsi="仿宋" w:eastAsia="仿宋" w:cs="仿宋"/>
          <w:bCs/>
          <w:color w:val="auto"/>
          <w:sz w:val="32"/>
          <w:szCs w:val="32"/>
          <w:lang w:val="en-US" w:eastAsia="zh-CN"/>
        </w:rPr>
        <w:t>1：受益群体</w:t>
      </w:r>
      <w:r>
        <w:rPr>
          <w:rFonts w:hint="eastAsia" w:ascii="仿宋" w:hAnsi="仿宋" w:eastAsia="仿宋" w:cs="仿宋"/>
          <w:bCs/>
          <w:color w:val="auto"/>
          <w:sz w:val="32"/>
          <w:szCs w:val="32"/>
          <w:lang w:val="zh-CN" w:eastAsia="zh-CN"/>
        </w:rPr>
        <w:t>满意度，指标值：≥9</w:t>
      </w:r>
      <w:r>
        <w:rPr>
          <w:rFonts w:hint="eastAsia" w:ascii="仿宋" w:hAnsi="仿宋" w:eastAsia="仿宋" w:cs="仿宋"/>
          <w:bCs/>
          <w:color w:val="auto"/>
          <w:sz w:val="32"/>
          <w:szCs w:val="32"/>
          <w:lang w:val="en-US" w:eastAsia="zh-CN"/>
        </w:rPr>
        <w:t>8</w:t>
      </w:r>
      <w:r>
        <w:rPr>
          <w:rFonts w:hint="eastAsia" w:ascii="仿宋" w:hAnsi="仿宋" w:eastAsia="仿宋" w:cs="仿宋"/>
          <w:bCs/>
          <w:color w:val="auto"/>
          <w:sz w:val="32"/>
          <w:szCs w:val="32"/>
          <w:lang w:val="zh-CN" w:eastAsia="zh-CN"/>
        </w:rPr>
        <w:t>%，实际完成值9</w:t>
      </w:r>
      <w:r>
        <w:rPr>
          <w:rFonts w:hint="eastAsia" w:ascii="仿宋" w:hAnsi="仿宋" w:eastAsia="仿宋" w:cs="仿宋"/>
          <w:bCs/>
          <w:color w:val="auto"/>
          <w:sz w:val="32"/>
          <w:szCs w:val="32"/>
          <w:lang w:val="en-US" w:eastAsia="zh-CN"/>
        </w:rPr>
        <w:t>8</w:t>
      </w:r>
      <w:r>
        <w:rPr>
          <w:rFonts w:hint="eastAsia" w:ascii="仿宋" w:hAnsi="仿宋" w:eastAsia="仿宋" w:cs="仿宋"/>
          <w:bCs/>
          <w:color w:val="auto"/>
          <w:sz w:val="32"/>
          <w:szCs w:val="32"/>
          <w:lang w:val="zh-CN" w:eastAsia="zh-CN"/>
        </w:rPr>
        <w:t>%，指标完成率</w:t>
      </w:r>
      <w:r>
        <w:rPr>
          <w:rFonts w:hint="eastAsia" w:ascii="仿宋" w:hAnsi="仿宋" w:eastAsia="仿宋" w:cs="仿宋"/>
          <w:bCs/>
          <w:color w:val="auto"/>
          <w:sz w:val="32"/>
          <w:szCs w:val="32"/>
          <w:lang w:val="en-US" w:eastAsia="zh-CN"/>
        </w:rPr>
        <w:t>100</w:t>
      </w:r>
      <w:r>
        <w:rPr>
          <w:rFonts w:hint="eastAsia" w:ascii="仿宋" w:hAnsi="仿宋" w:eastAsia="仿宋" w:cs="仿宋"/>
          <w:bCs/>
          <w:color w:val="auto"/>
          <w:sz w:val="32"/>
          <w:szCs w:val="32"/>
          <w:lang w:val="zh-CN" w:eastAsia="zh-CN"/>
        </w:rPr>
        <w:t>%。</w:t>
      </w:r>
    </w:p>
    <w:p w14:paraId="2637C962">
      <w:pPr>
        <w:pStyle w:val="3"/>
        <w:spacing w:line="360" w:lineRule="auto"/>
        <w:rPr>
          <w:rFonts w:ascii="宋体" w:hAnsi="宋体" w:eastAsia="宋体"/>
          <w:sz w:val="32"/>
          <w:szCs w:val="32"/>
        </w:rPr>
      </w:pPr>
      <w:bookmarkStart w:id="18" w:name="_Toc68703842"/>
      <w:r>
        <w:rPr>
          <w:rFonts w:hint="eastAsia" w:ascii="宋体" w:hAnsi="宋体" w:eastAsia="宋体"/>
          <w:color w:val="auto"/>
          <w:sz w:val="32"/>
          <w:szCs w:val="32"/>
        </w:rPr>
        <w:t>五、主要经验及做法、存在的问题及</w:t>
      </w:r>
      <w:r>
        <w:rPr>
          <w:rFonts w:hint="eastAsia" w:ascii="宋体" w:hAnsi="宋体" w:eastAsia="宋体"/>
          <w:sz w:val="32"/>
          <w:szCs w:val="32"/>
        </w:rPr>
        <w:t>原因分析</w:t>
      </w:r>
      <w:bookmarkEnd w:id="18"/>
    </w:p>
    <w:p w14:paraId="6795551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bookmarkStart w:id="19" w:name="_Toc68703843"/>
      <w:r>
        <w:rPr>
          <w:rFonts w:hint="eastAsia" w:ascii="仿宋" w:hAnsi="仿宋" w:eastAsia="仿宋" w:cs="仿宋"/>
          <w:bCs/>
          <w:color w:val="auto"/>
          <w:sz w:val="32"/>
          <w:szCs w:val="32"/>
          <w:lang w:val="en-US" w:eastAsia="zh-CN"/>
        </w:rPr>
        <w:t>（一）主要经验及做法</w:t>
      </w:r>
      <w:bookmarkEnd w:id="19"/>
    </w:p>
    <w:p w14:paraId="189E451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bookmarkStart w:id="20" w:name="_Toc68703844"/>
      <w:r>
        <w:rPr>
          <w:rFonts w:hint="eastAsia" w:ascii="仿宋" w:hAnsi="仿宋" w:eastAsia="仿宋" w:cs="仿宋"/>
          <w:bCs/>
          <w:color w:val="auto"/>
          <w:sz w:val="32"/>
          <w:szCs w:val="32"/>
          <w:lang w:val="en-US" w:eastAsia="zh-CN"/>
        </w:rPr>
        <w:t xml:space="preserve"> 1、制定规范的实施方案，在实施中严格按照项目管理办法执行；</w:t>
      </w:r>
    </w:p>
    <w:p w14:paraId="73EA924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2、根据项目进度及时支付资金，确保资金及时到位。</w:t>
      </w:r>
    </w:p>
    <w:p w14:paraId="2E4A6246">
      <w:pPr>
        <w:pStyle w:val="4"/>
        <w:spacing w:line="360" w:lineRule="auto"/>
        <w:rPr>
          <w:rFonts w:hint="eastAsia" w:ascii="仿宋_GB2312" w:eastAsia="仿宋_GB2312"/>
          <w:b w:val="0"/>
          <w:bCs w:val="0"/>
        </w:rPr>
      </w:pPr>
      <w:r>
        <w:rPr>
          <w:rFonts w:hint="eastAsia" w:ascii="仿宋_GB2312" w:eastAsia="仿宋_GB2312"/>
          <w:b w:val="0"/>
          <w:bCs w:val="0"/>
        </w:rPr>
        <w:t>（二）存在的问题及原因分析</w:t>
      </w:r>
      <w:bookmarkEnd w:id="20"/>
    </w:p>
    <w:p w14:paraId="02993AA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default"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参与绩效管理工作的人员工作经验不足，绩效管理水平有待提高，绩效管理意识进一步提高，按照财政支出绩效管理的要求，绩效完善绩效评价的评价体系及工作流程，提高财政资金使用管理的水平和效率。</w:t>
      </w:r>
    </w:p>
    <w:p w14:paraId="6E19204C">
      <w:pPr>
        <w:pStyle w:val="3"/>
        <w:numPr>
          <w:ilvl w:val="0"/>
          <w:numId w:val="4"/>
        </w:numPr>
        <w:spacing w:line="360" w:lineRule="auto"/>
        <w:rPr>
          <w:rFonts w:hint="eastAsia" w:ascii="宋体" w:hAnsi="宋体" w:eastAsia="宋体"/>
          <w:sz w:val="32"/>
          <w:szCs w:val="32"/>
        </w:rPr>
      </w:pPr>
      <w:bookmarkStart w:id="21" w:name="_Toc68703845"/>
      <w:r>
        <w:rPr>
          <w:rFonts w:hint="eastAsia" w:ascii="宋体" w:hAnsi="宋体" w:eastAsia="宋体"/>
          <w:sz w:val="32"/>
          <w:szCs w:val="32"/>
          <w:lang w:val="en-US" w:eastAsia="zh-CN"/>
        </w:rPr>
        <w:t>有</w:t>
      </w:r>
      <w:r>
        <w:rPr>
          <w:rFonts w:hint="eastAsia" w:ascii="宋体" w:hAnsi="宋体" w:eastAsia="宋体"/>
          <w:sz w:val="32"/>
          <w:szCs w:val="32"/>
        </w:rPr>
        <w:t>关建议</w:t>
      </w:r>
      <w:bookmarkEnd w:id="21"/>
    </w:p>
    <w:p w14:paraId="33F67C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pPr>
      <w:r>
        <w:rPr>
          <w:rFonts w:hint="eastAsia" w:ascii="仿宋" w:hAnsi="仿宋" w:eastAsia="仿宋" w:cs="仿宋"/>
          <w:bCs/>
          <w:color w:val="auto"/>
          <w:sz w:val="32"/>
          <w:szCs w:val="32"/>
          <w:lang w:val="en-US" w:eastAsia="zh-CN"/>
        </w:rPr>
        <w:t>加大预算绩效管理培训力度，贯彻落实相关办法及制度，采取集中学习、讲座、专题会议等方式，加大对参与绩效管理工作的人员培训力度，进一步同意认识，充实业务知识、以达到预算绩效管理标准化、常态化的要求，最终实现提高绩效管理工作效率及质量的目标。</w:t>
      </w:r>
    </w:p>
    <w:p w14:paraId="0A0B0A6D">
      <w:pPr>
        <w:pStyle w:val="3"/>
        <w:spacing w:line="360" w:lineRule="auto"/>
        <w:rPr>
          <w:rFonts w:ascii="宋体" w:hAnsi="宋体" w:eastAsia="宋体"/>
          <w:sz w:val="32"/>
          <w:szCs w:val="32"/>
        </w:rPr>
      </w:pPr>
      <w:bookmarkStart w:id="22" w:name="_Toc68703846"/>
      <w:r>
        <w:rPr>
          <w:rFonts w:hint="eastAsia" w:ascii="宋体" w:hAnsi="宋体" w:eastAsia="宋体"/>
          <w:sz w:val="32"/>
          <w:szCs w:val="32"/>
        </w:rPr>
        <w:t>七、其他需要说明的问题</w:t>
      </w:r>
      <w:bookmarkEnd w:id="22"/>
    </w:p>
    <w:p w14:paraId="2FC9710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zh-CN" w:eastAsia="zh-CN"/>
        </w:rPr>
        <w:t>本次预算绩效评价所采集的数据因为采集时间、数据来源等诸多因素的影响，可能会出现一定的偏差，进而对评价结果存在影响。</w:t>
      </w:r>
    </w:p>
    <w:p w14:paraId="2ADDC66E">
      <w:pPr>
        <w:spacing w:line="360" w:lineRule="auto"/>
      </w:pPr>
    </w:p>
    <w:p w14:paraId="16F6EF67"/>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665D73"/>
    <w:multiLevelType w:val="singleLevel"/>
    <w:tmpl w:val="B5665D73"/>
    <w:lvl w:ilvl="0" w:tentative="0">
      <w:start w:val="6"/>
      <w:numFmt w:val="chineseCounting"/>
      <w:suff w:val="nothing"/>
      <w:lvlText w:val="%1、"/>
      <w:lvlJc w:val="left"/>
      <w:rPr>
        <w:rFonts w:hint="eastAsia"/>
      </w:rPr>
    </w:lvl>
  </w:abstractNum>
  <w:abstractNum w:abstractNumId="1">
    <w:nsid w:val="F2A621DE"/>
    <w:multiLevelType w:val="singleLevel"/>
    <w:tmpl w:val="F2A621DE"/>
    <w:lvl w:ilvl="0" w:tentative="0">
      <w:start w:val="1"/>
      <w:numFmt w:val="decimal"/>
      <w:suff w:val="nothing"/>
      <w:lvlText w:val="%1、"/>
      <w:lvlJc w:val="left"/>
    </w:lvl>
  </w:abstractNum>
  <w:abstractNum w:abstractNumId="2">
    <w:nsid w:val="2D6D235A"/>
    <w:multiLevelType w:val="singleLevel"/>
    <w:tmpl w:val="2D6D235A"/>
    <w:lvl w:ilvl="0" w:tentative="0">
      <w:start w:val="1"/>
      <w:numFmt w:val="decimal"/>
      <w:suff w:val="nothing"/>
      <w:lvlText w:val="%1、"/>
      <w:lvlJc w:val="left"/>
    </w:lvl>
  </w:abstractNum>
  <w:abstractNum w:abstractNumId="3">
    <w:nsid w:val="7BC03FB9"/>
    <w:multiLevelType w:val="multilevel"/>
    <w:tmpl w:val="7BC03FB9"/>
    <w:lvl w:ilvl="0" w:tentative="0">
      <w:start w:val="1"/>
      <w:numFmt w:val="chineseCountingThousand"/>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pStyle w:val="2"/>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5ZjY4MTZmMjdlZTdiNDk2YjE2YjM5MDdjZDkwNj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13A73456"/>
    <w:rsid w:val="15DA37C6"/>
    <w:rsid w:val="1F4B1EED"/>
    <w:rsid w:val="22B638CB"/>
    <w:rsid w:val="23FB465B"/>
    <w:rsid w:val="2732278A"/>
    <w:rsid w:val="38BE0728"/>
    <w:rsid w:val="3A223D84"/>
    <w:rsid w:val="3B3F37A1"/>
    <w:rsid w:val="3F3020FF"/>
    <w:rsid w:val="5506227B"/>
    <w:rsid w:val="622575EA"/>
    <w:rsid w:val="677964F7"/>
    <w:rsid w:val="6E543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autoRedefine/>
    <w:qFormat/>
    <w:uiPriority w:val="0"/>
    <w:pPr>
      <w:numPr>
        <w:ilvl w:val="2"/>
        <w:numId w:val="1"/>
      </w:numPr>
      <w:spacing w:line="360" w:lineRule="auto"/>
      <w:outlineLvl w:val="2"/>
    </w:pPr>
    <w:rPr>
      <w:rFonts w:eastAsia="黑体"/>
      <w:b/>
      <w:sz w:val="32"/>
      <w:szCs w:val="30"/>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8"/>
    <w:autoRedefine/>
    <w:unhideWhenUsed/>
    <w:qFormat/>
    <w:uiPriority w:val="99"/>
    <w:pPr>
      <w:tabs>
        <w:tab w:val="center" w:pos="4153"/>
        <w:tab w:val="right" w:pos="8306"/>
      </w:tabs>
      <w:snapToGrid w:val="0"/>
      <w:jc w:val="left"/>
    </w:pPr>
    <w:rPr>
      <w:sz w:val="18"/>
      <w:szCs w:val="18"/>
    </w:rPr>
  </w:style>
  <w:style w:type="paragraph" w:styleId="6">
    <w:name w:val="header"/>
    <w:basedOn w:val="1"/>
    <w:link w:val="1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footnote text"/>
    <w:basedOn w:val="1"/>
    <w:autoRedefine/>
    <w:qFormat/>
    <w:uiPriority w:val="0"/>
    <w:pPr>
      <w:snapToGrid w:val="0"/>
      <w:jc w:val="left"/>
    </w:pPr>
    <w:rPr>
      <w:sz w:val="18"/>
      <w:szCs w:val="18"/>
    </w:rPr>
  </w:style>
  <w:style w:type="paragraph" w:styleId="9">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autoRedefine/>
    <w:unhideWhenUsed/>
    <w:qFormat/>
    <w:uiPriority w:val="99"/>
    <w:rPr>
      <w:color w:val="0563C1" w:themeColor="hyperlink"/>
      <w:u w:val="single"/>
      <w14:textFill>
        <w14:solidFill>
          <w14:schemeClr w14:val="hlink"/>
        </w14:solidFill>
      </w14:textFill>
    </w:rPr>
  </w:style>
  <w:style w:type="character" w:customStyle="1" w:styleId="14">
    <w:name w:val="标题 1 字符"/>
    <w:basedOn w:val="12"/>
    <w:link w:val="3"/>
    <w:autoRedefine/>
    <w:qFormat/>
    <w:uiPriority w:val="9"/>
    <w:rPr>
      <w:rFonts w:ascii="Times New Roman" w:hAnsi="Times New Roman" w:eastAsia="仿宋_GB2312" w:cs="Times New Roman"/>
      <w:b/>
      <w:bCs/>
      <w:kern w:val="44"/>
      <w:sz w:val="44"/>
      <w:szCs w:val="44"/>
    </w:rPr>
  </w:style>
  <w:style w:type="character" w:customStyle="1" w:styleId="15">
    <w:name w:val="标题 2 字符"/>
    <w:basedOn w:val="12"/>
    <w:link w:val="4"/>
    <w:autoRedefine/>
    <w:qFormat/>
    <w:uiPriority w:val="9"/>
    <w:rPr>
      <w:rFonts w:asciiTheme="majorHAnsi" w:hAnsiTheme="majorHAnsi" w:eastAsiaTheme="majorEastAsia" w:cstheme="majorBidi"/>
      <w:b/>
      <w:bCs/>
      <w:sz w:val="32"/>
      <w:szCs w:val="32"/>
    </w:rPr>
  </w:style>
  <w:style w:type="paragraph" w:customStyle="1" w:styleId="16">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字符"/>
    <w:basedOn w:val="12"/>
    <w:link w:val="6"/>
    <w:autoRedefine/>
    <w:qFormat/>
    <w:uiPriority w:val="99"/>
    <w:rPr>
      <w:rFonts w:ascii="Times New Roman" w:hAnsi="Times New Roman" w:eastAsia="仿宋_GB2312" w:cs="Times New Roman"/>
      <w:sz w:val="18"/>
      <w:szCs w:val="18"/>
    </w:rPr>
  </w:style>
  <w:style w:type="character" w:customStyle="1" w:styleId="18">
    <w:name w:val="页脚 字符"/>
    <w:basedOn w:val="12"/>
    <w:link w:val="5"/>
    <w:autoRedefine/>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5673</Words>
  <Characters>5992</Characters>
  <Lines>52</Lines>
  <Paragraphs>14</Paragraphs>
  <TotalTime>0</TotalTime>
  <ScaleCrop>false</ScaleCrop>
  <LinksUpToDate>false</LinksUpToDate>
  <CharactersWithSpaces>6091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U</cp:lastModifiedBy>
  <dcterms:modified xsi:type="dcterms:W3CDTF">2024-11-14T08:06:57Z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5FD2A23BA83F4B38A0AFB37F48CD376C_13</vt:lpwstr>
  </property>
</Properties>
</file>