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20907">
      <w:pPr>
        <w:jc w:val="center"/>
        <w:rPr>
          <w:rFonts w:hint="default" w:ascii="Times New Roman" w:hAnsi="Times New Roman" w:eastAsia="宋体" w:cs="Times New Roman"/>
          <w:b/>
          <w:bCs/>
          <w:sz w:val="48"/>
          <w:szCs w:val="48"/>
        </w:rPr>
      </w:pPr>
    </w:p>
    <w:p w14:paraId="54EED71C">
      <w:pPr>
        <w:jc w:val="center"/>
        <w:rPr>
          <w:rFonts w:hint="default" w:ascii="Times New Roman" w:hAnsi="Times New Roman" w:eastAsia="宋体" w:cs="Times New Roman"/>
          <w:b/>
          <w:bCs/>
          <w:sz w:val="48"/>
          <w:szCs w:val="48"/>
        </w:rPr>
      </w:pPr>
    </w:p>
    <w:p w14:paraId="78D8E54B">
      <w:pPr>
        <w:jc w:val="center"/>
        <w:rPr>
          <w:rFonts w:hint="default" w:ascii="Times New Roman" w:hAnsi="Times New Roman" w:eastAsia="宋体" w:cs="Times New Roman"/>
          <w:b/>
          <w:bCs/>
          <w:sz w:val="48"/>
          <w:szCs w:val="48"/>
        </w:rPr>
      </w:pPr>
    </w:p>
    <w:p w14:paraId="42881999">
      <w:pPr>
        <w:jc w:val="center"/>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14:paraId="57BE8B41">
      <w:pPr>
        <w:jc w:val="center"/>
        <w:rPr>
          <w:rFonts w:hint="default" w:ascii="Times New Roman" w:hAnsi="Times New Roman" w:eastAsia="宋体" w:cs="Times New Roman"/>
          <w:b/>
          <w:bCs/>
          <w:sz w:val="48"/>
          <w:szCs w:val="48"/>
        </w:rPr>
      </w:pPr>
    </w:p>
    <w:p w14:paraId="49495361">
      <w:pPr>
        <w:widowControl/>
        <w:spacing w:line="560" w:lineRule="exact"/>
        <w:jc w:val="center"/>
        <w:rPr>
          <w:rFonts w:hint="default" w:ascii="Times New Roman" w:hAnsi="Times New Roman" w:cs="Times New Roman"/>
          <w:b/>
          <w:kern w:val="0"/>
          <w:sz w:val="50"/>
          <w:szCs w:val="50"/>
          <w:lang w:bidi="en-US"/>
        </w:rPr>
      </w:pPr>
      <w:r>
        <w:rPr>
          <w:rFonts w:hint="default" w:ascii="Times New Roman" w:hAnsi="Times New Roman" w:eastAsia="方正小标宋简体" w:cs="Times New Roman"/>
          <w:color w:val="000000"/>
          <w:kern w:val="0"/>
          <w:sz w:val="36"/>
          <w:szCs w:val="36"/>
        </w:rPr>
        <w:t>（202</w:t>
      </w:r>
      <w:r>
        <w:rPr>
          <w:rFonts w:hint="default" w:ascii="Times New Roman" w:hAnsi="Times New Roman" w:eastAsia="方正小标宋简体" w:cs="Times New Roman"/>
          <w:color w:val="000000"/>
          <w:kern w:val="0"/>
          <w:sz w:val="36"/>
          <w:szCs w:val="36"/>
          <w:lang w:val="en-US" w:eastAsia="zh-CN"/>
        </w:rPr>
        <w:t>3</w:t>
      </w:r>
      <w:r>
        <w:rPr>
          <w:rFonts w:hint="default" w:ascii="Times New Roman" w:hAnsi="Times New Roman" w:eastAsia="方正小标宋简体" w:cs="Times New Roman"/>
          <w:color w:val="000000"/>
          <w:kern w:val="0"/>
          <w:sz w:val="36"/>
          <w:szCs w:val="36"/>
        </w:rPr>
        <w:t>年度）</w:t>
      </w:r>
    </w:p>
    <w:p w14:paraId="133A1F9A">
      <w:pPr>
        <w:spacing w:line="480" w:lineRule="auto"/>
        <w:jc w:val="center"/>
        <w:rPr>
          <w:rFonts w:hint="default" w:ascii="Times New Roman" w:hAnsi="Times New Roman" w:cs="Times New Roman"/>
          <w:b/>
          <w:kern w:val="0"/>
          <w:sz w:val="50"/>
          <w:szCs w:val="50"/>
          <w:lang w:bidi="en-US"/>
        </w:rPr>
      </w:pPr>
    </w:p>
    <w:p w14:paraId="0D2CC809">
      <w:pPr>
        <w:spacing w:line="480" w:lineRule="auto"/>
        <w:jc w:val="center"/>
        <w:rPr>
          <w:rFonts w:hint="default" w:ascii="Times New Roman" w:hAnsi="Times New Roman" w:cs="Times New Roman"/>
          <w:b/>
          <w:kern w:val="0"/>
          <w:sz w:val="50"/>
          <w:szCs w:val="50"/>
          <w:lang w:bidi="en-US"/>
        </w:rPr>
      </w:pPr>
    </w:p>
    <w:p w14:paraId="1A9A0127">
      <w:pPr>
        <w:spacing w:line="480" w:lineRule="auto"/>
        <w:jc w:val="center"/>
        <w:rPr>
          <w:rFonts w:hint="default" w:ascii="Times New Roman" w:hAnsi="Times New Roman" w:cs="Times New Roman"/>
          <w:b/>
          <w:kern w:val="0"/>
          <w:sz w:val="50"/>
          <w:szCs w:val="50"/>
          <w:lang w:bidi="en-US"/>
        </w:rPr>
      </w:pPr>
    </w:p>
    <w:p w14:paraId="61A29D1B">
      <w:pPr>
        <w:pStyle w:val="2"/>
        <w:rPr>
          <w:rFonts w:hint="default"/>
        </w:rPr>
      </w:pPr>
    </w:p>
    <w:p w14:paraId="7A436CF6">
      <w:pPr>
        <w:spacing w:line="480" w:lineRule="auto"/>
        <w:jc w:val="center"/>
        <w:rPr>
          <w:rFonts w:hint="default" w:ascii="Times New Roman" w:hAnsi="Times New Roman" w:cs="Times New Roman"/>
          <w:b/>
          <w:kern w:val="0"/>
          <w:sz w:val="50"/>
          <w:szCs w:val="50"/>
          <w:lang w:bidi="en-US"/>
        </w:rPr>
      </w:pPr>
    </w:p>
    <w:p w14:paraId="6718CD1D">
      <w:pPr>
        <w:spacing w:line="480" w:lineRule="auto"/>
        <w:jc w:val="center"/>
        <w:rPr>
          <w:rFonts w:hint="default" w:ascii="Times New Roman" w:hAnsi="Times New Roman" w:cs="Times New Roman"/>
          <w:b/>
          <w:kern w:val="0"/>
          <w:sz w:val="50"/>
          <w:szCs w:val="50"/>
          <w:lang w:bidi="en-US"/>
        </w:rPr>
      </w:pPr>
    </w:p>
    <w:p w14:paraId="2E5DF870">
      <w:pPr>
        <w:spacing w:line="560" w:lineRule="exact"/>
        <w:ind w:firstLine="321" w:firstLineChars="100"/>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项目名称：</w:t>
      </w:r>
      <w:r>
        <w:rPr>
          <w:rFonts w:hint="default" w:ascii="Times New Roman" w:hAnsi="Times New Roman" w:eastAsia="宋体" w:cs="Times New Roman"/>
          <w:kern w:val="0"/>
          <w:sz w:val="32"/>
          <w:szCs w:val="32"/>
        </w:rPr>
        <w:t xml:space="preserve"> 2023年</w:t>
      </w:r>
      <w:bookmarkStart w:id="21" w:name="_GoBack"/>
      <w:bookmarkEnd w:id="21"/>
      <w:r>
        <w:rPr>
          <w:rFonts w:hint="eastAsia" w:eastAsia="宋体" w:cs="Times New Roman"/>
          <w:kern w:val="0"/>
          <w:sz w:val="32"/>
          <w:szCs w:val="32"/>
          <w:lang w:val="en-US" w:eastAsia="zh-CN"/>
        </w:rPr>
        <w:t>老干部局慰问经费</w:t>
      </w:r>
    </w:p>
    <w:p w14:paraId="107DBAE2">
      <w:pPr>
        <w:spacing w:line="560" w:lineRule="exact"/>
        <w:ind w:firstLine="321" w:firstLineChars="100"/>
        <w:rPr>
          <w:rFonts w:hint="eastAsia"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实施单位（公章）：</w:t>
      </w:r>
      <w:r>
        <w:rPr>
          <w:rFonts w:hint="default" w:ascii="Times New Roman" w:hAnsi="Times New Roman" w:eastAsia="宋体" w:cs="Times New Roman"/>
          <w:kern w:val="0"/>
          <w:sz w:val="32"/>
          <w:szCs w:val="32"/>
        </w:rPr>
        <w:t xml:space="preserve"> </w:t>
      </w:r>
      <w:r>
        <w:rPr>
          <w:rFonts w:hint="eastAsia" w:eastAsia="宋体" w:cs="Times New Roman"/>
          <w:kern w:val="0"/>
          <w:sz w:val="32"/>
          <w:szCs w:val="32"/>
          <w:lang w:val="en-US" w:eastAsia="zh-CN"/>
        </w:rPr>
        <w:t>焉耆县委老干部局</w:t>
      </w:r>
    </w:p>
    <w:p w14:paraId="4CB7B1F3">
      <w:pPr>
        <w:spacing w:line="560" w:lineRule="exact"/>
        <w:ind w:firstLine="321" w:firstLineChars="100"/>
        <w:rPr>
          <w:rFonts w:hint="eastAsia"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主管部门（公章）：</w:t>
      </w:r>
      <w:r>
        <w:rPr>
          <w:rFonts w:hint="default" w:ascii="Times New Roman" w:hAnsi="Times New Roman" w:eastAsia="宋体" w:cs="Times New Roman"/>
          <w:kern w:val="0"/>
          <w:sz w:val="32"/>
          <w:szCs w:val="32"/>
        </w:rPr>
        <w:t xml:space="preserve"> </w:t>
      </w:r>
      <w:r>
        <w:rPr>
          <w:rFonts w:hint="eastAsia" w:eastAsia="宋体" w:cs="Times New Roman"/>
          <w:kern w:val="0"/>
          <w:sz w:val="32"/>
          <w:szCs w:val="32"/>
          <w:lang w:val="en-US" w:eastAsia="zh-CN"/>
        </w:rPr>
        <w:t>焉耆县委老干部局</w:t>
      </w:r>
    </w:p>
    <w:p w14:paraId="1D29BC44">
      <w:pPr>
        <w:spacing w:line="560" w:lineRule="exact"/>
        <w:ind w:firstLine="321" w:firstLineChars="100"/>
        <w:rPr>
          <w:rFonts w:hint="eastAsia"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项目负责人（签章）：</w:t>
      </w:r>
      <w:r>
        <w:rPr>
          <w:rFonts w:hint="default" w:ascii="Times New Roman" w:hAnsi="Times New Roman" w:eastAsia="宋体" w:cs="Times New Roman"/>
          <w:kern w:val="0"/>
          <w:sz w:val="32"/>
          <w:szCs w:val="32"/>
        </w:rPr>
        <w:t xml:space="preserve"> </w:t>
      </w:r>
      <w:r>
        <w:rPr>
          <w:rFonts w:hint="eastAsia" w:eastAsia="宋体" w:cs="Times New Roman"/>
          <w:kern w:val="0"/>
          <w:sz w:val="32"/>
          <w:szCs w:val="32"/>
          <w:lang w:val="en-US" w:eastAsia="zh-CN"/>
        </w:rPr>
        <w:t>高琰</w:t>
      </w:r>
    </w:p>
    <w:p w14:paraId="60AFB02D">
      <w:pPr>
        <w:spacing w:line="560" w:lineRule="exact"/>
        <w:ind w:firstLine="321" w:firstLineChars="100"/>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w:t>
      </w:r>
      <w:r>
        <w:rPr>
          <w:rFonts w:hint="default" w:ascii="Times New Roman" w:hAnsi="Times New Roman" w:eastAsia="宋体" w:cs="Times New Roman"/>
          <w:color w:val="000000"/>
          <w:kern w:val="0"/>
          <w:sz w:val="32"/>
          <w:szCs w:val="32"/>
        </w:rPr>
        <w:t>202</w:t>
      </w:r>
      <w:r>
        <w:rPr>
          <w:rFonts w:hint="default" w:ascii="Times New Roman" w:hAnsi="Times New Roman" w:eastAsia="宋体" w:cs="Times New Roman"/>
          <w:color w:val="000000"/>
          <w:kern w:val="0"/>
          <w:sz w:val="32"/>
          <w:szCs w:val="32"/>
          <w:lang w:val="en-US" w:eastAsia="zh-CN"/>
        </w:rPr>
        <w:t>4</w:t>
      </w:r>
      <w:r>
        <w:rPr>
          <w:rFonts w:hint="default" w:ascii="Times New Roman" w:hAnsi="Times New Roman" w:eastAsia="宋体" w:cs="Times New Roman"/>
          <w:color w:val="000000"/>
          <w:kern w:val="0"/>
          <w:sz w:val="32"/>
          <w:szCs w:val="32"/>
        </w:rPr>
        <w:t>年0</w:t>
      </w:r>
      <w:r>
        <w:rPr>
          <w:rFonts w:hint="eastAsia" w:eastAsia="宋体" w:cs="Times New Roman"/>
          <w:color w:val="000000"/>
          <w:kern w:val="0"/>
          <w:sz w:val="32"/>
          <w:szCs w:val="32"/>
          <w:lang w:val="en-US" w:eastAsia="zh-CN"/>
        </w:rPr>
        <w:t>5</w:t>
      </w:r>
      <w:r>
        <w:rPr>
          <w:rFonts w:hint="default" w:ascii="Times New Roman" w:hAnsi="Times New Roman" w:eastAsia="宋体" w:cs="Times New Roman"/>
          <w:color w:val="000000"/>
          <w:kern w:val="0"/>
          <w:sz w:val="32"/>
          <w:szCs w:val="32"/>
        </w:rPr>
        <w:t>月</w:t>
      </w:r>
      <w:r>
        <w:rPr>
          <w:rFonts w:hint="eastAsia" w:eastAsia="宋体" w:cs="Times New Roman"/>
          <w:color w:val="000000"/>
          <w:kern w:val="0"/>
          <w:sz w:val="32"/>
          <w:szCs w:val="32"/>
          <w:lang w:val="en-US" w:eastAsia="zh-CN"/>
        </w:rPr>
        <w:t>15</w:t>
      </w:r>
      <w:r>
        <w:rPr>
          <w:rFonts w:hint="default" w:ascii="Times New Roman" w:hAnsi="Times New Roman" w:eastAsia="宋体" w:cs="Times New Roman"/>
          <w:color w:val="000000"/>
          <w:kern w:val="0"/>
          <w:sz w:val="32"/>
          <w:szCs w:val="32"/>
        </w:rPr>
        <w:t>日</w:t>
      </w:r>
    </w:p>
    <w:p w14:paraId="7E2C3222">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sdt>
      <w:sdtPr>
        <w:rPr>
          <w:rFonts w:hint="default"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hint="default" w:ascii="Times New Roman" w:hAnsi="Times New Roman" w:eastAsia="仿宋_GB2312" w:cs="Times New Roman"/>
          <w:b/>
          <w:bCs/>
          <w:color w:val="auto"/>
          <w:kern w:val="2"/>
          <w:sz w:val="30"/>
          <w:szCs w:val="24"/>
          <w:lang w:val="zh-CN"/>
        </w:rPr>
      </w:sdtEndPr>
      <w:sdtContent>
        <w:p w14:paraId="5B964B32">
          <w:pPr>
            <w:pStyle w:val="17"/>
            <w:jc w:val="center"/>
            <w:rPr>
              <w:rFonts w:hint="default" w:ascii="Times New Roman" w:hAnsi="Times New Roman" w:eastAsia="宋体" w:cs="Times New Roman"/>
              <w:b/>
              <w:bCs/>
              <w:color w:val="auto"/>
              <w:lang w:val="zh-CN"/>
            </w:rPr>
          </w:pPr>
          <w:r>
            <w:rPr>
              <w:rFonts w:hint="default" w:ascii="Times New Roman" w:hAnsi="Times New Roman" w:eastAsia="宋体" w:cs="Times New Roman"/>
              <w:b/>
              <w:bCs/>
              <w:color w:val="auto"/>
              <w:lang w:val="zh-CN"/>
            </w:rPr>
            <w:t>目录</w:t>
          </w:r>
        </w:p>
        <w:p w14:paraId="28B29A45">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"_Toc68703827" </w:instrText>
          </w:r>
          <w:r>
            <w:rPr>
              <w:rFonts w:hint="default" w:ascii="Times New Roman" w:hAnsi="Times New Roman" w:cs="Times New Roman"/>
            </w:rPr>
            <w:fldChar w:fldCharType="separate"/>
          </w:r>
          <w:r>
            <w:rPr>
              <w:rStyle w:val="14"/>
              <w:rFonts w:hint="default" w:ascii="Times New Roman" w:hAnsi="Times New Roman" w:eastAsia="宋体" w:cs="Times New Roman"/>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7F5A65CA">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"_Toc68703828"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663BD227">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"_Toc68703829"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0AB4CA3B">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"_Toc68703830" </w:instrText>
          </w:r>
          <w:r>
            <w:rPr>
              <w:rFonts w:hint="default" w:ascii="Times New Roman" w:hAnsi="Times New Roman" w:cs="Times New Roman"/>
            </w:rPr>
            <w:fldChar w:fldCharType="separate"/>
          </w:r>
          <w:r>
            <w:rPr>
              <w:rStyle w:val="14"/>
              <w:rFonts w:hint="default" w:ascii="Times New Roman" w:hAnsi="Times New Roman" w:eastAsia="宋体" w:cs="Times New Roman"/>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452F21F0">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"_Toc68703831"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3F0E1502">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"_Toc68703832"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（二）绩效评价原则、评价指标体系、评价方法、评价标准等。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4504E1D4">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"_Toc68703833"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_Toc68703833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fldChar w:fldCharType="end"/>
          </w:r>
        </w:p>
        <w:p w14:paraId="0429F22B">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"_Toc68703834" </w:instrText>
          </w:r>
          <w:r>
            <w:rPr>
              <w:rFonts w:hint="default" w:ascii="Times New Roman" w:hAnsi="Times New Roman" w:cs="Times New Roman"/>
            </w:rPr>
            <w:fldChar w:fldCharType="separate"/>
          </w:r>
          <w:r>
            <w:rPr>
              <w:rStyle w:val="14"/>
              <w:rFonts w:hint="default" w:ascii="Times New Roman" w:hAnsi="Times New Roman" w:eastAsia="宋体" w:cs="Times New Roman"/>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353B121F">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"_Toc68703835"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（一）综合评价情况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_Toc68703835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54E50D07">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"_Toc68703836"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_Toc68703836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69C00F05">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"_Toc68703837" </w:instrText>
          </w:r>
          <w:r>
            <w:rPr>
              <w:rFonts w:hint="default" w:ascii="Times New Roman" w:hAnsi="Times New Roman" w:cs="Times New Roman"/>
            </w:rPr>
            <w:fldChar w:fldCharType="separate"/>
          </w:r>
          <w:r>
            <w:rPr>
              <w:rStyle w:val="14"/>
              <w:rFonts w:hint="default" w:ascii="Times New Roman" w:hAnsi="Times New Roman" w:eastAsia="宋体" w:cs="Times New Roman"/>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_Toc68703837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53D5BFC6">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"_Toc68703838"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_Toc68703838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036C69B9">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"_Toc68703839"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14:paraId="422DAC83">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"_Toc68703840"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6EB5ED27">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"_Toc68703841"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41571F31">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"_Toc68703842" </w:instrText>
          </w:r>
          <w:r>
            <w:rPr>
              <w:rFonts w:hint="default" w:ascii="Times New Roman" w:hAnsi="Times New Roman" w:cs="Times New Roman"/>
            </w:rPr>
            <w:fldChar w:fldCharType="separate"/>
          </w:r>
          <w:r>
            <w:rPr>
              <w:rStyle w:val="14"/>
              <w:rFonts w:hint="default" w:ascii="Times New Roman" w:hAnsi="Times New Roman" w:eastAsia="宋体" w:cs="Times New Roman"/>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1C454AE6">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"_Toc68703843"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6A5CE0D7">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"_Toc68703844" </w:instrText>
          </w:r>
          <w:r>
            <w:rPr>
              <w:rFonts w:hint="default" w:ascii="Times New Roman" w:hAnsi="Times New Roman" w:cs="Times New Roman"/>
            </w:rPr>
            <w:fldChar w:fldCharType="separate"/>
          </w:r>
          <w:r>
            <w:rPr>
              <w:rStyle w:val="14"/>
              <w:rFonts w:hint="default" w:ascii="Times New Roman" w:hAnsi="Times New Roman" w:eastAsia="仿宋_GB2312" w:cs="Times New Roman"/>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65C8DDFB">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"_Toc68703845" </w:instrText>
          </w:r>
          <w:r>
            <w:rPr>
              <w:rFonts w:hint="default" w:ascii="Times New Roman" w:hAnsi="Times New Roman" w:cs="Times New Roman"/>
            </w:rPr>
            <w:fldChar w:fldCharType="separate"/>
          </w:r>
          <w:r>
            <w:rPr>
              <w:rStyle w:val="14"/>
              <w:rFonts w:hint="default" w:ascii="Times New Roman" w:hAnsi="Times New Roman" w:eastAsia="宋体" w:cs="Times New Roman"/>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79986C5F">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"_Toc68703846" </w:instrText>
          </w:r>
          <w:r>
            <w:rPr>
              <w:rFonts w:hint="default" w:ascii="Times New Roman" w:hAnsi="Times New Roman" w:cs="Times New Roman"/>
            </w:rPr>
            <w:fldChar w:fldCharType="separate"/>
          </w:r>
          <w:r>
            <w:rPr>
              <w:rStyle w:val="14"/>
              <w:rFonts w:hint="default" w:ascii="Times New Roman" w:hAnsi="Times New Roman" w:eastAsia="宋体" w:cs="Times New Roman"/>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334F0756">
          <w:pPr>
            <w:rPr>
              <w:rFonts w:hint="default" w:ascii="Times New Roman" w:hAnsi="Times New Roman" w:cs="Times New Roman"/>
            </w:rPr>
          </w:pPr>
          <w:r>
            <w:rPr>
              <w:rFonts w:hint="default" w:ascii="Times New Roman" w:hAnsi="Times New Roman" w:cs="Times New Roman"/>
              <w:b/>
              <w:bCs/>
              <w:lang w:val="zh-CN"/>
            </w:rPr>
            <w:fldChar w:fldCharType="end"/>
          </w:r>
        </w:p>
      </w:sdtContent>
    </w:sdt>
    <w:p w14:paraId="35BC06E8">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14:paraId="362B7941">
      <w:pPr>
        <w:jc w:val="center"/>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项目支出绩效评价报告</w:t>
      </w:r>
    </w:p>
    <w:p w14:paraId="4CE3D999">
      <w:pPr>
        <w:jc w:val="center"/>
        <w:rPr>
          <w:rFonts w:hint="default" w:ascii="Times New Roman" w:hAnsi="Times New Roman" w:cs="Times New Roman"/>
          <w:szCs w:val="30"/>
        </w:rPr>
      </w:pPr>
    </w:p>
    <w:p w14:paraId="63C3A0E4">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14:paraId="20D0F64D">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14:paraId="56E99F7B">
      <w:pPr>
        <w:spacing w:line="360" w:lineRule="auto"/>
        <w:ind w:firstLine="600" w:firstLineChars="200"/>
        <w:rPr>
          <w:rFonts w:hint="default" w:ascii="Times New Roman" w:hAnsi="Times New Roman" w:cs="Times New Roman"/>
        </w:rPr>
      </w:pPr>
      <w:r>
        <w:rPr>
          <w:rFonts w:hint="default" w:ascii="Times New Roman" w:hAnsi="Times New Roman" w:cs="Times New Roman"/>
        </w:rPr>
        <w:t>1、项目背景</w:t>
      </w:r>
    </w:p>
    <w:p w14:paraId="4C348D20">
      <w:pPr>
        <w:spacing w:line="360" w:lineRule="auto"/>
        <w:ind w:firstLine="600" w:firstLineChars="200"/>
        <w:rPr>
          <w:rFonts w:hint="default" w:ascii="Times New Roman" w:hAnsi="Times New Roman" w:cs="Times New Roman"/>
        </w:rPr>
      </w:pPr>
      <w:r>
        <w:rPr>
          <w:rFonts w:hint="default" w:ascii="Times New Roman" w:hAnsi="Times New Roman" w:cs="Times New Roman"/>
        </w:rPr>
        <w:t>焉耆县老干部工作坚持以习近平新时代中国特色社会主义思想为指导，深入贯彻落实党的二十大精神，认真贯彻落实习近平总书记视察新疆重要讲话重要指示批示精神，全面落实新时代党的建设总要求和新时代党的组织路线，认真落实全国、自治区、自治州组织部长会议和全国、自治区、自治州老干部局长会议精神，完整准确贯彻新时代党的治疆方略，坚持稳中求进、守正创新、真抓实干，一体推进离退休干部党的建设、发挥作用、服务管理和老干部工作部门自身建设，持续加强信息化精准化规范化建设，推动新时代全县老干部工作高质量发展。</w:t>
      </w:r>
    </w:p>
    <w:p w14:paraId="4EC8FCEE">
      <w:pPr>
        <w:spacing w:line="360" w:lineRule="auto"/>
        <w:ind w:firstLine="600" w:firstLineChars="200"/>
        <w:rPr>
          <w:rFonts w:hint="default" w:ascii="Times New Roman" w:hAnsi="Times New Roman" w:cs="Times New Roman"/>
        </w:rPr>
      </w:pPr>
      <w:r>
        <w:rPr>
          <w:rFonts w:hint="default" w:ascii="Times New Roman" w:hAnsi="Times New Roman" w:cs="Times New Roman"/>
        </w:rPr>
        <w:t>2、主要内容及实施情况</w:t>
      </w:r>
    </w:p>
    <w:p w14:paraId="3F1ECD55">
      <w:pPr>
        <w:pageBreakBefore w:val="0"/>
        <w:kinsoku/>
        <w:wordWrap/>
        <w:overflowPunct/>
        <w:topLinePunct w:val="0"/>
        <w:autoSpaceDE/>
        <w:autoSpaceDN/>
        <w:bidi w:val="0"/>
        <w:adjustRightInd/>
        <w:spacing w:line="580" w:lineRule="exact"/>
        <w:ind w:firstLine="579" w:firstLineChars="181"/>
        <w:textAlignment w:val="auto"/>
        <w:rPr>
          <w:rFonts w:hint="eastAsia" w:eastAsia="仿宋" w:cs="Times New Roman"/>
          <w:sz w:val="32"/>
          <w:szCs w:val="32"/>
          <w:lang w:val="en-US" w:eastAsia="zh-CN"/>
        </w:rPr>
      </w:pPr>
      <w:r>
        <w:rPr>
          <w:rFonts w:hint="default" w:ascii="Times New Roman" w:hAnsi="Times New Roman" w:eastAsia="仿宋" w:cs="Times New Roman"/>
          <w:sz w:val="32"/>
          <w:szCs w:val="32"/>
        </w:rPr>
        <w:t>主要内容：</w:t>
      </w:r>
      <w:r>
        <w:rPr>
          <w:rFonts w:hint="eastAsia" w:eastAsia="仿宋" w:cs="Times New Roman"/>
          <w:sz w:val="32"/>
          <w:szCs w:val="32"/>
          <w:lang w:val="en-US" w:eastAsia="zh-CN"/>
        </w:rPr>
        <w:t>本年度春节对全县老干部进行走访慰问。</w:t>
      </w:r>
    </w:p>
    <w:p w14:paraId="6941AF69">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实施情况：</w:t>
      </w:r>
      <w:r>
        <w:rPr>
          <w:rFonts w:hint="default" w:ascii="Times New Roman" w:hAnsi="Times New Roman" w:eastAsia="仿宋" w:cs="Times New Roman"/>
          <w:sz w:val="32"/>
          <w:szCs w:val="32"/>
          <w:highlight w:val="none"/>
        </w:rPr>
        <w:t>全年按照工作计划，进行了</w:t>
      </w:r>
      <w:r>
        <w:rPr>
          <w:rFonts w:hint="eastAsia" w:eastAsia="仿宋" w:cs="Times New Roman"/>
          <w:sz w:val="32"/>
          <w:szCs w:val="32"/>
          <w:highlight w:val="none"/>
          <w:lang w:val="en-US" w:eastAsia="zh-CN"/>
        </w:rPr>
        <w:t>走访慰问8</w:t>
      </w:r>
      <w:r>
        <w:rPr>
          <w:rFonts w:hint="default" w:ascii="Times New Roman" w:hAnsi="Times New Roman" w:eastAsia="仿宋" w:cs="Times New Roman"/>
          <w:sz w:val="32"/>
          <w:szCs w:val="32"/>
          <w:highlight w:val="none"/>
        </w:rPr>
        <w:t>次，圆满完成了202</w:t>
      </w:r>
      <w:r>
        <w:rPr>
          <w:rFonts w:hint="default" w:ascii="Times New Roman" w:hAnsi="Times New Roman" w:eastAsia="仿宋" w:cs="Times New Roman"/>
          <w:sz w:val="32"/>
          <w:szCs w:val="32"/>
          <w:highlight w:val="none"/>
          <w:lang w:val="en-US" w:eastAsia="zh-CN"/>
        </w:rPr>
        <w:t>3</w:t>
      </w:r>
      <w:r>
        <w:rPr>
          <w:rFonts w:hint="eastAsia" w:eastAsia="仿宋" w:cs="Times New Roman"/>
          <w:sz w:val="32"/>
          <w:szCs w:val="32"/>
          <w:highlight w:val="none"/>
          <w:lang w:val="en-US" w:eastAsia="zh-CN"/>
        </w:rPr>
        <w:t>年度各项慰问</w:t>
      </w:r>
      <w:r>
        <w:rPr>
          <w:rFonts w:hint="default" w:ascii="Times New Roman" w:hAnsi="Times New Roman" w:eastAsia="仿宋" w:cs="Times New Roman"/>
          <w:sz w:val="32"/>
          <w:szCs w:val="32"/>
          <w:highlight w:val="none"/>
        </w:rPr>
        <w:t>工作，提供良好服务和保障，改善</w:t>
      </w:r>
      <w:r>
        <w:rPr>
          <w:rFonts w:hint="eastAsia" w:eastAsia="仿宋" w:cs="Times New Roman"/>
          <w:sz w:val="32"/>
          <w:szCs w:val="32"/>
          <w:highlight w:val="none"/>
          <w:lang w:val="en-US" w:eastAsia="zh-CN"/>
        </w:rPr>
        <w:t>70位老干部</w:t>
      </w:r>
      <w:r>
        <w:rPr>
          <w:rFonts w:hint="default" w:ascii="Times New Roman" w:hAnsi="Times New Roman" w:eastAsia="仿宋" w:cs="Times New Roman"/>
          <w:sz w:val="32"/>
          <w:szCs w:val="32"/>
          <w:highlight w:val="none"/>
        </w:rPr>
        <w:t>生活条件。</w:t>
      </w:r>
    </w:p>
    <w:p w14:paraId="608D0F2A">
      <w:pPr>
        <w:spacing w:line="360" w:lineRule="auto"/>
        <w:ind w:firstLine="600" w:firstLineChars="200"/>
        <w:rPr>
          <w:rFonts w:hint="default" w:ascii="Times New Roman" w:hAnsi="Times New Roman" w:cs="Times New Roman"/>
        </w:rPr>
      </w:pPr>
      <w:r>
        <w:rPr>
          <w:rFonts w:hint="default" w:ascii="Times New Roman" w:hAnsi="Times New Roman" w:cs="Times New Roman"/>
        </w:rPr>
        <w:t>4、资金投入和使用情况</w:t>
      </w:r>
    </w:p>
    <w:p w14:paraId="56C0463D">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资金投入情况：该项目年初预算数</w:t>
      </w:r>
      <w:r>
        <w:rPr>
          <w:rFonts w:hint="eastAsia"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万元，全年预算数</w:t>
      </w:r>
      <w:r>
        <w:rPr>
          <w:rFonts w:hint="eastAsia" w:eastAsia="仿宋" w:cs="Times New Roman"/>
          <w:sz w:val="32"/>
          <w:szCs w:val="32"/>
          <w:highlight w:val="none"/>
          <w:lang w:val="en-US" w:eastAsia="zh-CN"/>
        </w:rPr>
        <w:t>4.31</w:t>
      </w:r>
      <w:r>
        <w:rPr>
          <w:rFonts w:hint="default" w:ascii="Times New Roman" w:hAnsi="Times New Roman" w:eastAsia="仿宋" w:cs="Times New Roman"/>
          <w:sz w:val="32"/>
          <w:szCs w:val="32"/>
          <w:highlight w:val="none"/>
        </w:rPr>
        <w:t>万元，实际总投入</w:t>
      </w:r>
      <w:r>
        <w:rPr>
          <w:rFonts w:hint="eastAsia" w:eastAsia="仿宋" w:cs="Times New Roman"/>
          <w:sz w:val="32"/>
          <w:szCs w:val="32"/>
          <w:highlight w:val="none"/>
          <w:lang w:val="en-US" w:eastAsia="zh-CN"/>
        </w:rPr>
        <w:t>4.31</w:t>
      </w:r>
      <w:r>
        <w:rPr>
          <w:rFonts w:hint="default" w:ascii="Times New Roman" w:hAnsi="Times New Roman" w:eastAsia="仿宋" w:cs="Times New Roman"/>
          <w:sz w:val="32"/>
          <w:szCs w:val="32"/>
          <w:highlight w:val="none"/>
        </w:rPr>
        <w:t>万元，该项目资金已全部落实到位，资金来源为财政资金。</w:t>
      </w:r>
    </w:p>
    <w:p w14:paraId="4A3AC708">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资金使用情况：该项目年初预算数</w:t>
      </w:r>
      <w:r>
        <w:rPr>
          <w:rFonts w:hint="eastAsia"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万元，全年预算数</w:t>
      </w:r>
      <w:r>
        <w:rPr>
          <w:rFonts w:hint="eastAsia" w:eastAsia="仿宋" w:cs="Times New Roman"/>
          <w:sz w:val="32"/>
          <w:szCs w:val="32"/>
          <w:highlight w:val="none"/>
          <w:lang w:val="en-US" w:eastAsia="zh-CN"/>
        </w:rPr>
        <w:t>4.31</w:t>
      </w:r>
      <w:r>
        <w:rPr>
          <w:rFonts w:hint="default" w:ascii="Times New Roman" w:hAnsi="Times New Roman" w:eastAsia="仿宋" w:cs="Times New Roman"/>
          <w:sz w:val="32"/>
          <w:szCs w:val="32"/>
          <w:highlight w:val="none"/>
        </w:rPr>
        <w:t xml:space="preserve">万元，全年执行数 </w:t>
      </w:r>
      <w:r>
        <w:rPr>
          <w:rFonts w:hint="eastAsia" w:eastAsia="仿宋" w:cs="Times New Roman"/>
          <w:sz w:val="32"/>
          <w:szCs w:val="32"/>
          <w:highlight w:val="none"/>
          <w:lang w:val="en-US" w:eastAsia="zh-CN"/>
        </w:rPr>
        <w:t>4.31</w:t>
      </w:r>
      <w:r>
        <w:rPr>
          <w:rFonts w:hint="default" w:ascii="Times New Roman" w:hAnsi="Times New Roman" w:eastAsia="仿宋" w:cs="Times New Roman"/>
          <w:sz w:val="32"/>
          <w:szCs w:val="32"/>
          <w:highlight w:val="none"/>
        </w:rPr>
        <w:t>万元，预算执行率为100%，用于：</w:t>
      </w:r>
      <w:r>
        <w:rPr>
          <w:rFonts w:hint="eastAsia" w:eastAsia="仿宋" w:cs="Times New Roman"/>
          <w:sz w:val="32"/>
          <w:szCs w:val="32"/>
          <w:highlight w:val="none"/>
          <w:lang w:val="en-US" w:eastAsia="zh-CN"/>
        </w:rPr>
        <w:t>老干部慰问经费4.31万元</w:t>
      </w:r>
      <w:r>
        <w:rPr>
          <w:rFonts w:hint="default" w:ascii="Times New Roman" w:hAnsi="Times New Roman" w:eastAsia="仿宋" w:cs="Times New Roman"/>
          <w:sz w:val="32"/>
          <w:szCs w:val="32"/>
          <w:highlight w:val="none"/>
        </w:rPr>
        <w:t>。</w:t>
      </w:r>
    </w:p>
    <w:p w14:paraId="1BA0FD68">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bookmarkStart w:id="2" w:name="_Toc68703829"/>
      <w:r>
        <w:rPr>
          <w:rFonts w:hint="default" w:ascii="Times New Roman" w:hAnsi="Times New Roman" w:eastAsia="仿宋" w:cs="Times New Roman"/>
          <w:sz w:val="32"/>
          <w:szCs w:val="32"/>
        </w:rPr>
        <w:t>（二）项目绩效目标。</w:t>
      </w:r>
      <w:bookmarkEnd w:id="2"/>
    </w:p>
    <w:p w14:paraId="3CEBAD39">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1、总体目标：做好“两节”慰问工作、特殊困难帮扶，慰问老干部近70人，慰问</w:t>
      </w:r>
      <w:r>
        <w:rPr>
          <w:rFonts w:hint="eastAsia" w:eastAsia="仿宋" w:cs="Times New Roman"/>
          <w:sz w:val="32"/>
          <w:szCs w:val="32"/>
          <w:lang w:val="en-US" w:eastAsia="zh-CN"/>
        </w:rPr>
        <w:t>8</w:t>
      </w:r>
      <w:r>
        <w:rPr>
          <w:rFonts w:hint="default" w:ascii="Times New Roman" w:hAnsi="Times New Roman" w:eastAsia="仿宋" w:cs="Times New Roman"/>
          <w:sz w:val="32"/>
          <w:szCs w:val="32"/>
        </w:rPr>
        <w:t>次，协同有关部门处理老干部逝世后的善后事宜，教育和照顾老干部的遗属，提高老干部的生活质量，使全县老干部满意度达到95%以上。</w:t>
      </w:r>
    </w:p>
    <w:p w14:paraId="1053E5D0">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cs="Times New Roman"/>
          <w:highlight w:val="none"/>
        </w:rPr>
      </w:pPr>
      <w:r>
        <w:rPr>
          <w:rFonts w:hint="default" w:ascii="Times New Roman" w:hAnsi="Times New Roman" w:eastAsia="仿宋" w:cs="Times New Roman"/>
          <w:sz w:val="32"/>
          <w:szCs w:val="32"/>
        </w:rPr>
        <w:t>2、阶段性目标：</w:t>
      </w:r>
      <w:r>
        <w:rPr>
          <w:rFonts w:hint="eastAsia" w:eastAsia="仿宋" w:cs="Times New Roman"/>
          <w:sz w:val="32"/>
          <w:szCs w:val="32"/>
          <w:highlight w:val="none"/>
          <w:lang w:val="en-US" w:eastAsia="zh-CN"/>
        </w:rPr>
        <w:t>第一阶段：</w:t>
      </w:r>
      <w:r>
        <w:rPr>
          <w:rFonts w:hint="default" w:ascii="Times New Roman" w:hAnsi="Times New Roman" w:eastAsia="仿宋" w:cs="Times New Roman"/>
          <w:sz w:val="32"/>
          <w:szCs w:val="32"/>
          <w:highlight w:val="none"/>
        </w:rPr>
        <w:t>年初</w:t>
      </w:r>
      <w:r>
        <w:rPr>
          <w:rFonts w:hint="eastAsia" w:eastAsia="仿宋" w:cs="Times New Roman"/>
          <w:sz w:val="32"/>
          <w:szCs w:val="32"/>
          <w:highlight w:val="none"/>
          <w:lang w:val="en-US" w:eastAsia="zh-CN"/>
        </w:rPr>
        <w:t>制定春节慰问方案，第二阶段：根据实际情况，向县财经委员会申请慰问经费，第三阶段：县财政拨付慰问经费，由县领导同县委老干部局对全县离退休老干部进行节日慰问8次，共70人次。</w:t>
      </w:r>
    </w:p>
    <w:p w14:paraId="080D62A9">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highlight w:val="none"/>
        </w:rPr>
      </w:pPr>
      <w:bookmarkStart w:id="3" w:name="_Toc68703830"/>
      <w:r>
        <w:rPr>
          <w:rFonts w:hint="default" w:ascii="Times New Roman" w:hAnsi="Times New Roman" w:eastAsia="宋体" w:cs="Times New Roman"/>
          <w:sz w:val="32"/>
          <w:szCs w:val="32"/>
          <w:highlight w:val="none"/>
        </w:rPr>
        <w:t>二、绩效评价工作开展情况</w:t>
      </w:r>
      <w:bookmarkEnd w:id="3"/>
    </w:p>
    <w:p w14:paraId="4C813F44">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4" w:name="_Toc68703831"/>
      <w:r>
        <w:rPr>
          <w:rFonts w:hint="default" w:ascii="Times New Roman" w:hAnsi="Times New Roman" w:eastAsia="仿宋_GB2312" w:cs="Times New Roman"/>
          <w:b w:val="0"/>
          <w:bCs w:val="0"/>
        </w:rPr>
        <w:t>（一）绩效评价目的、对象和范围。</w:t>
      </w:r>
      <w:bookmarkEnd w:id="4"/>
    </w:p>
    <w:p w14:paraId="2C29C46C">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1、绩效评价目的：</w:t>
      </w:r>
    </w:p>
    <w:p w14:paraId="1D79163E">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通过绩效评价，客观地评判项目的管理绩效，了解和掌握202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w:t>
      </w:r>
      <w:r>
        <w:rPr>
          <w:rFonts w:hint="eastAsia" w:eastAsia="仿宋" w:cs="Times New Roman"/>
          <w:sz w:val="32"/>
          <w:szCs w:val="32"/>
          <w:lang w:val="en-US" w:eastAsia="zh-CN"/>
        </w:rPr>
        <w:t>慰问</w:t>
      </w:r>
      <w:r>
        <w:rPr>
          <w:rFonts w:hint="default" w:ascii="Times New Roman" w:hAnsi="Times New Roman" w:eastAsia="仿宋" w:cs="Times New Roman"/>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2D67E4DB">
      <w:pPr>
        <w:spacing w:line="360" w:lineRule="auto"/>
        <w:ind w:firstLine="600" w:firstLineChars="200"/>
        <w:rPr>
          <w:rFonts w:hint="default" w:ascii="Times New Roman" w:hAnsi="Times New Roman" w:cs="Times New Roman"/>
        </w:rPr>
      </w:pPr>
      <w:r>
        <w:rPr>
          <w:rFonts w:hint="default" w:ascii="Times New Roman" w:hAnsi="Times New Roman" w:cs="Times New Roman"/>
        </w:rPr>
        <w:t>2、绩效评价对象：</w:t>
      </w:r>
    </w:p>
    <w:p w14:paraId="521753FF">
      <w:pPr>
        <w:pageBreakBefore w:val="0"/>
        <w:kinsoku/>
        <w:wordWrap/>
        <w:overflowPunct/>
        <w:topLinePunct w:val="0"/>
        <w:autoSpaceDE/>
        <w:autoSpaceDN/>
        <w:bidi w:val="0"/>
        <w:adjustRightInd/>
        <w:spacing w:line="580" w:lineRule="exact"/>
        <w:ind w:firstLine="579" w:firstLineChars="181"/>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w:t>
      </w:r>
      <w:r>
        <w:rPr>
          <w:rFonts w:hint="eastAsia" w:eastAsia="仿宋" w:cs="Times New Roman"/>
          <w:sz w:val="32"/>
          <w:szCs w:val="32"/>
          <w:lang w:val="en-US" w:eastAsia="zh-CN"/>
        </w:rPr>
        <w:t>老干部局慰问经费。</w:t>
      </w:r>
    </w:p>
    <w:p w14:paraId="4D774A3D">
      <w:pPr>
        <w:spacing w:line="360" w:lineRule="auto"/>
        <w:ind w:firstLine="600" w:firstLineChars="200"/>
        <w:rPr>
          <w:rFonts w:hint="default" w:ascii="Times New Roman" w:hAnsi="Times New Roman" w:cs="Times New Roman"/>
        </w:rPr>
      </w:pPr>
      <w:r>
        <w:rPr>
          <w:rFonts w:hint="default" w:ascii="Times New Roman" w:hAnsi="Times New Roman" w:cs="Times New Roman"/>
        </w:rPr>
        <w:t>3、绩效评价范围：</w:t>
      </w:r>
    </w:p>
    <w:p w14:paraId="0C755A5C">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本次评价从项目决策（包括绩效目标、决策过程）、项目管理（包括项目资金、项目实施）、项目产出（包括项目产出数量、产出质量、产出时效和产出成本）项目效益四个维度进行20</w:t>
      </w:r>
      <w:r>
        <w:rPr>
          <w:rFonts w:hint="default" w:ascii="Times New Roman" w:hAnsi="Times New Roman" w:eastAsia="仿宋" w:cs="Times New Roman"/>
          <w:bCs/>
          <w:sz w:val="32"/>
          <w:szCs w:val="32"/>
          <w:lang w:val="en-US" w:eastAsia="zh-CN"/>
        </w:rPr>
        <w:t>23</w:t>
      </w:r>
      <w:r>
        <w:rPr>
          <w:rFonts w:hint="default" w:ascii="Times New Roman" w:hAnsi="Times New Roman" w:eastAsia="仿宋" w:cs="Times New Roman"/>
          <w:bCs/>
          <w:sz w:val="32"/>
          <w:szCs w:val="32"/>
        </w:rPr>
        <w:t>年</w:t>
      </w:r>
      <w:r>
        <w:rPr>
          <w:rFonts w:hint="eastAsia" w:eastAsia="仿宋" w:cs="Times New Roman"/>
          <w:bCs/>
          <w:sz w:val="32"/>
          <w:szCs w:val="32"/>
          <w:lang w:val="en-US" w:eastAsia="zh-CN"/>
        </w:rPr>
        <w:t>慰问</w:t>
      </w:r>
      <w:r>
        <w:rPr>
          <w:rFonts w:hint="default" w:ascii="Times New Roman" w:hAnsi="Times New Roman" w:eastAsia="仿宋" w:cs="Times New Roman"/>
          <w:bCs/>
          <w:sz w:val="32"/>
          <w:szCs w:val="32"/>
        </w:rPr>
        <w:t>经费评价，评价核心为专项资金的支出完成情况和效果。</w:t>
      </w:r>
    </w:p>
    <w:p w14:paraId="2F4ADFAB">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5" w:name="_Toc68703832"/>
      <w:r>
        <w:rPr>
          <w:rFonts w:hint="default" w:ascii="Times New Roman" w:hAnsi="Times New Roman" w:eastAsia="仿宋_GB2312" w:cs="Times New Roman"/>
          <w:b w:val="0"/>
          <w:bCs w:val="0"/>
        </w:rPr>
        <w:t>（二）绩效评价原则、评价指标体系、评价方法、评价标准等。</w:t>
      </w:r>
      <w:bookmarkEnd w:id="5"/>
    </w:p>
    <w:p w14:paraId="4DE7C151">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1、绩效评价原则</w:t>
      </w:r>
    </w:p>
    <w:p w14:paraId="3D81F6F6">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（1）科学公正。绩效评价应当运用科学合理的方法，按照规范的程序，对项目绩效进行客观、公正的反映。</w:t>
      </w:r>
    </w:p>
    <w:p w14:paraId="68D491D7">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2C2F38E">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（3）激励约束。绩效评价结果应与预算安排、政策调整、改进管理实质性挂钩，体现奖优罚劣和激励相容导向，有效要安排、低效要压减、无效要问责。</w:t>
      </w:r>
    </w:p>
    <w:p w14:paraId="626C404A">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（4）公开透明。绩效评价结果应依法依规公开，并自觉接受社会监督。</w:t>
      </w:r>
    </w:p>
    <w:p w14:paraId="0BDDDD0B">
      <w:pPr>
        <w:pageBreakBefore w:val="0"/>
        <w:kinsoku/>
        <w:wordWrap/>
        <w:overflowPunct/>
        <w:topLinePunct w:val="0"/>
        <w:autoSpaceDE/>
        <w:autoSpaceDN/>
        <w:bidi w:val="0"/>
        <w:adjustRightInd/>
        <w:spacing w:line="580" w:lineRule="exact"/>
        <w:ind w:firstLine="64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本次项目支出绩效自评采用以上评价原则，根据《财政部关于印发&lt;财政支出绩效评价管理暂行办法&gt;的通知》（财预〔2011〕285号）、财政部《项目支出绩效评价管理办法》（财预﹝2020﹞10号）、关于印发《自治州财政支出绩效评价管理暂行办法》的通知（巴财预〔2019〕82号），我单位组织评价小组，对202</w:t>
      </w:r>
      <w:r>
        <w:rPr>
          <w:rFonts w:hint="default" w:ascii="Times New Roman" w:hAnsi="Times New Roman" w:eastAsia="仿宋" w:cs="Times New Roman"/>
          <w:bCs/>
          <w:sz w:val="32"/>
          <w:szCs w:val="32"/>
          <w:lang w:val="en-US" w:eastAsia="zh-CN"/>
        </w:rPr>
        <w:t>3</w:t>
      </w:r>
      <w:r>
        <w:rPr>
          <w:rFonts w:hint="default" w:ascii="Times New Roman" w:hAnsi="Times New Roman" w:eastAsia="仿宋" w:cs="Times New Roman"/>
          <w:bCs/>
          <w:sz w:val="32"/>
          <w:szCs w:val="32"/>
        </w:rPr>
        <w:t>年</w:t>
      </w:r>
      <w:r>
        <w:rPr>
          <w:rFonts w:hint="eastAsia" w:eastAsia="仿宋" w:cs="Times New Roman"/>
          <w:bCs/>
          <w:sz w:val="32"/>
          <w:szCs w:val="32"/>
          <w:lang w:val="en-US" w:eastAsia="zh-CN"/>
        </w:rPr>
        <w:t>慰问</w:t>
      </w:r>
      <w:r>
        <w:rPr>
          <w:rFonts w:hint="default" w:ascii="Times New Roman" w:hAnsi="Times New Roman" w:eastAsia="仿宋" w:cs="Times New Roman"/>
          <w:bCs/>
          <w:sz w:val="32"/>
          <w:szCs w:val="32"/>
        </w:rPr>
        <w:t>经费项目实施情况评价，部门评价和财政评价在单位自评的基础上开展，职责明确，各有侧重，相互衔接。根据绩效评价结果体现奖优罚劣和激励相容导向。绩效评价结果依法依规公开，并自觉接受社会监督，对项目绩效进行客观、公正的反映。</w:t>
      </w:r>
    </w:p>
    <w:p w14:paraId="3B47C3EB">
      <w:pPr>
        <w:spacing w:line="360" w:lineRule="auto"/>
        <w:ind w:firstLine="600" w:firstLineChars="200"/>
        <w:rPr>
          <w:rFonts w:hint="default" w:ascii="Times New Roman" w:hAnsi="Times New Roman" w:cs="Times New Roman"/>
        </w:rPr>
      </w:pPr>
      <w:r>
        <w:rPr>
          <w:rFonts w:hint="default" w:ascii="Times New Roman" w:hAnsi="Times New Roman" w:cs="Times New Roman"/>
        </w:rPr>
        <w:t>2、评价指标体系（附表说明）</w:t>
      </w:r>
    </w:p>
    <w:p w14:paraId="5D5E6CD9">
      <w:pPr>
        <w:pStyle w:val="5"/>
        <w:spacing w:before="0" w:after="0" w:line="240" w:lineRule="auto"/>
        <w:jc w:val="center"/>
        <w:rPr>
          <w:rFonts w:hint="default" w:ascii="Times New Roman" w:hAnsi="Times New Roman" w:eastAsia="仿宋_GB2312" w:cs="Times New Roman"/>
          <w:b w:val="0"/>
          <w:bCs w:val="0"/>
          <w:sz w:val="30"/>
          <w:szCs w:val="24"/>
        </w:rPr>
      </w:pPr>
      <w:r>
        <w:rPr>
          <w:rFonts w:hint="default" w:ascii="Times New Roman" w:hAnsi="Times New Roman" w:eastAsia="仿宋" w:cs="Times New Roman"/>
          <w:b w:val="0"/>
          <w:bCs w:val="0"/>
          <w:sz w:val="30"/>
          <w:szCs w:val="24"/>
        </w:rPr>
        <w:t>202</w:t>
      </w:r>
      <w:r>
        <w:rPr>
          <w:rFonts w:hint="default" w:ascii="Times New Roman" w:hAnsi="Times New Roman" w:eastAsia="仿宋" w:cs="Times New Roman"/>
          <w:b w:val="0"/>
          <w:bCs w:val="0"/>
          <w:sz w:val="30"/>
          <w:szCs w:val="24"/>
          <w:lang w:val="en-US" w:eastAsia="zh-CN"/>
        </w:rPr>
        <w:t>3</w:t>
      </w:r>
      <w:r>
        <w:rPr>
          <w:rFonts w:hint="default" w:ascii="Times New Roman" w:hAnsi="Times New Roman" w:eastAsia="仿宋" w:cs="Times New Roman"/>
          <w:b w:val="0"/>
          <w:bCs w:val="0"/>
          <w:sz w:val="30"/>
          <w:szCs w:val="24"/>
        </w:rPr>
        <w:t>年</w:t>
      </w:r>
      <w:r>
        <w:rPr>
          <w:rFonts w:hint="eastAsia" w:ascii="Times New Roman" w:hAnsi="Times New Roman" w:eastAsia="仿宋" w:cs="Times New Roman"/>
          <w:b w:val="0"/>
          <w:bCs w:val="0"/>
          <w:sz w:val="30"/>
          <w:szCs w:val="24"/>
          <w:lang w:val="en-US" w:eastAsia="zh-CN"/>
        </w:rPr>
        <w:t>老干部局慰问</w:t>
      </w:r>
      <w:r>
        <w:rPr>
          <w:rFonts w:hint="default" w:ascii="Times New Roman" w:hAnsi="Times New Roman" w:eastAsia="仿宋" w:cs="Times New Roman"/>
          <w:b w:val="0"/>
          <w:bCs w:val="0"/>
          <w:sz w:val="30"/>
          <w:szCs w:val="24"/>
        </w:rPr>
        <w:t>经费</w:t>
      </w:r>
      <w:r>
        <w:rPr>
          <w:rFonts w:hint="default" w:ascii="Times New Roman" w:hAnsi="Times New Roman" w:eastAsia="仿宋_GB2312" w:cs="Times New Roman"/>
          <w:b w:val="0"/>
          <w:bCs w:val="0"/>
          <w:sz w:val="30"/>
          <w:szCs w:val="24"/>
        </w:rPr>
        <w:t>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35B2D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4C6FE94F">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478" w:type="dxa"/>
            <w:shd w:val="clear" w:color="auto" w:fill="FFFFFF"/>
            <w:vAlign w:val="center"/>
          </w:tcPr>
          <w:p w14:paraId="592EA841">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875" w:type="dxa"/>
            <w:tcBorders>
              <w:right w:val="single" w:color="auto" w:sz="4" w:space="0"/>
            </w:tcBorders>
            <w:shd w:val="clear" w:color="auto" w:fill="FFFFFF"/>
            <w:vAlign w:val="center"/>
          </w:tcPr>
          <w:p w14:paraId="3E41CE9F">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3885" w:type="dxa"/>
            <w:tcBorders>
              <w:right w:val="single" w:color="auto" w:sz="4" w:space="0"/>
            </w:tcBorders>
            <w:shd w:val="clear" w:color="auto" w:fill="FFFFFF"/>
          </w:tcPr>
          <w:p w14:paraId="1D6CC1D7">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990" w:type="dxa"/>
            <w:tcBorders>
              <w:left w:val="single" w:color="auto" w:sz="4" w:space="0"/>
            </w:tcBorders>
            <w:shd w:val="clear" w:color="auto" w:fill="FFFFFF"/>
          </w:tcPr>
          <w:p w14:paraId="4F34E28C">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分值</w:t>
            </w:r>
          </w:p>
        </w:tc>
        <w:tc>
          <w:tcPr>
            <w:tcW w:w="874" w:type="dxa"/>
            <w:shd w:val="clear" w:color="auto" w:fill="FFFFFF"/>
          </w:tcPr>
          <w:p w14:paraId="5EB15983">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得分</w:t>
            </w:r>
          </w:p>
        </w:tc>
      </w:tr>
      <w:tr w14:paraId="0B5CD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5A89898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决策</w:t>
            </w:r>
          </w:p>
        </w:tc>
        <w:tc>
          <w:tcPr>
            <w:tcW w:w="1478" w:type="dxa"/>
            <w:vMerge w:val="restart"/>
            <w:shd w:val="clear" w:color="auto" w:fill="FFFFFF"/>
            <w:vAlign w:val="center"/>
          </w:tcPr>
          <w:p w14:paraId="739C586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　</w:t>
            </w:r>
          </w:p>
        </w:tc>
        <w:tc>
          <w:tcPr>
            <w:tcW w:w="1875" w:type="dxa"/>
            <w:tcBorders>
              <w:right w:val="single" w:color="auto" w:sz="4" w:space="0"/>
            </w:tcBorders>
            <w:shd w:val="clear" w:color="auto" w:fill="FFFFFF"/>
            <w:vAlign w:val="center"/>
          </w:tcPr>
          <w:p w14:paraId="23F52A3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立项依据</w:t>
            </w:r>
          </w:p>
          <w:p w14:paraId="257F28C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充分性</w:t>
            </w:r>
          </w:p>
        </w:tc>
        <w:tc>
          <w:tcPr>
            <w:tcW w:w="3885" w:type="dxa"/>
            <w:tcBorders>
              <w:right w:val="single" w:color="auto" w:sz="4" w:space="0"/>
            </w:tcBorders>
            <w:shd w:val="clear" w:color="auto" w:fill="FFFFFF"/>
            <w:vAlign w:val="center"/>
          </w:tcPr>
          <w:p w14:paraId="505CFDF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1AF71B1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tcBorders>
              <w:bottom w:val="single" w:color="auto" w:sz="4" w:space="0"/>
            </w:tcBorders>
            <w:shd w:val="clear" w:color="auto" w:fill="FFFFFF"/>
          </w:tcPr>
          <w:p w14:paraId="6A71647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123B5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7EC9D439">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20E14F4B">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415C0A0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立项程序</w:t>
            </w:r>
          </w:p>
          <w:p w14:paraId="062CD5A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规范性</w:t>
            </w:r>
          </w:p>
        </w:tc>
        <w:tc>
          <w:tcPr>
            <w:tcW w:w="3885" w:type="dxa"/>
            <w:tcBorders>
              <w:right w:val="single" w:color="auto" w:sz="4" w:space="0"/>
            </w:tcBorders>
            <w:shd w:val="clear" w:color="auto" w:fill="FFFFFF"/>
            <w:vAlign w:val="center"/>
          </w:tcPr>
          <w:p w14:paraId="4964D79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21BD7302">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shd w:val="clear" w:color="auto" w:fill="FFFFFF"/>
          </w:tcPr>
          <w:p w14:paraId="4CFEA2AD">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67A1E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02BE1003">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0D6DF5A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tc>
        <w:tc>
          <w:tcPr>
            <w:tcW w:w="1875" w:type="dxa"/>
            <w:tcBorders>
              <w:right w:val="single" w:color="auto" w:sz="4" w:space="0"/>
            </w:tcBorders>
            <w:shd w:val="clear" w:color="auto" w:fill="FFFFFF"/>
            <w:vAlign w:val="center"/>
          </w:tcPr>
          <w:p w14:paraId="0818A22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p w14:paraId="77AFF97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000000" w:fill="FFFFFF"/>
            <w:vAlign w:val="center"/>
          </w:tcPr>
          <w:p w14:paraId="1C141AC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10BBB04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shd w:val="clear" w:color="000000" w:fill="FFFFFF"/>
          </w:tcPr>
          <w:p w14:paraId="0CE80CF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52AEC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19E9F989">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1FE7D486">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52DAADC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绩效指标</w:t>
            </w:r>
          </w:p>
          <w:p w14:paraId="4018F2F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明确性</w:t>
            </w:r>
          </w:p>
        </w:tc>
        <w:tc>
          <w:tcPr>
            <w:tcW w:w="3885" w:type="dxa"/>
            <w:tcBorders>
              <w:right w:val="single" w:color="auto" w:sz="4" w:space="0"/>
            </w:tcBorders>
            <w:shd w:val="clear" w:color="000000" w:fill="FFFFFF"/>
            <w:vAlign w:val="center"/>
          </w:tcPr>
          <w:p w14:paraId="70CCB75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1507173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tcBorders>
              <w:bottom w:val="single" w:color="auto" w:sz="4" w:space="0"/>
            </w:tcBorders>
            <w:shd w:val="clear" w:color="000000" w:fill="FFFFFF"/>
          </w:tcPr>
          <w:p w14:paraId="3A0DB86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6D0511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58F0A0D6">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1F724D9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资金投入</w:t>
            </w:r>
          </w:p>
          <w:p w14:paraId="53AFC0E9">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14:paraId="32F7F35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预算编制</w:t>
            </w:r>
          </w:p>
          <w:p w14:paraId="5C70F1F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科学性</w:t>
            </w:r>
          </w:p>
        </w:tc>
        <w:tc>
          <w:tcPr>
            <w:tcW w:w="3885" w:type="dxa"/>
            <w:tcBorders>
              <w:right w:val="single" w:color="auto" w:sz="4" w:space="0"/>
            </w:tcBorders>
            <w:shd w:val="clear" w:color="auto" w:fill="FFFFFF"/>
            <w:vAlign w:val="center"/>
          </w:tcPr>
          <w:p w14:paraId="24BC50D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2B399A3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tcBorders>
              <w:bottom w:val="single" w:color="auto" w:sz="4" w:space="0"/>
            </w:tcBorders>
            <w:shd w:val="clear" w:color="auto" w:fill="FFFFFF"/>
          </w:tcPr>
          <w:p w14:paraId="0ACE45F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6FDC0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45274B8">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4473C29F">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7A9A36A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资金分配</w:t>
            </w:r>
          </w:p>
          <w:p w14:paraId="016AC2F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auto" w:fill="FFFFFF"/>
            <w:vAlign w:val="center"/>
          </w:tcPr>
          <w:p w14:paraId="7231F21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06340062">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74" w:type="dxa"/>
            <w:shd w:val="clear" w:color="auto" w:fill="FFFFFF"/>
          </w:tcPr>
          <w:p w14:paraId="6F1870C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079A3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7C8E365A">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过程</w:t>
            </w:r>
          </w:p>
        </w:tc>
        <w:tc>
          <w:tcPr>
            <w:tcW w:w="1478" w:type="dxa"/>
            <w:vMerge w:val="restart"/>
            <w:shd w:val="clear" w:color="auto" w:fill="FFFFFF"/>
            <w:vAlign w:val="center"/>
          </w:tcPr>
          <w:p w14:paraId="63EFDA3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14:paraId="71CAFC3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资金到位率</w:t>
            </w:r>
          </w:p>
        </w:tc>
        <w:tc>
          <w:tcPr>
            <w:tcW w:w="3885" w:type="dxa"/>
            <w:tcBorders>
              <w:right w:val="single" w:color="auto" w:sz="4" w:space="0"/>
            </w:tcBorders>
            <w:shd w:val="clear" w:color="000000" w:fill="FFFFFF"/>
            <w:vAlign w:val="center"/>
          </w:tcPr>
          <w:p w14:paraId="594EE15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4AE2CA7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063DA6EB">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16B69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403F0A9E">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0AB5E83C">
            <w:pPr>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125A186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预算执行率</w:t>
            </w:r>
          </w:p>
        </w:tc>
        <w:tc>
          <w:tcPr>
            <w:tcW w:w="3885" w:type="dxa"/>
            <w:tcBorders>
              <w:right w:val="single" w:color="auto" w:sz="4" w:space="0"/>
            </w:tcBorders>
            <w:shd w:val="clear" w:color="auto" w:fill="FFFFFF"/>
            <w:vAlign w:val="center"/>
          </w:tcPr>
          <w:p w14:paraId="28238F8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4C709A3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auto" w:fill="FFFFFF"/>
          </w:tcPr>
          <w:p w14:paraId="22C80AA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350F2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59CC9DA0">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10FBCD7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14:paraId="5F8EC1B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资金使用</w:t>
            </w:r>
          </w:p>
          <w:p w14:paraId="290542A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合规性</w:t>
            </w:r>
          </w:p>
        </w:tc>
        <w:tc>
          <w:tcPr>
            <w:tcW w:w="3885" w:type="dxa"/>
            <w:tcBorders>
              <w:right w:val="single" w:color="auto" w:sz="4" w:space="0"/>
            </w:tcBorders>
            <w:shd w:val="clear" w:color="000000" w:fill="FFFFFF"/>
            <w:vAlign w:val="center"/>
          </w:tcPr>
          <w:p w14:paraId="43486A3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437774BB">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1D631C09">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3D2AA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6D3BDF6B">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14:paraId="08740F4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组织实施</w:t>
            </w:r>
          </w:p>
          <w:p w14:paraId="1AB60118">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14:paraId="5428767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管理制度</w:t>
            </w:r>
          </w:p>
          <w:p w14:paraId="0389099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健全性</w:t>
            </w:r>
          </w:p>
        </w:tc>
        <w:tc>
          <w:tcPr>
            <w:tcW w:w="3885" w:type="dxa"/>
            <w:tcBorders>
              <w:right w:val="single" w:color="auto" w:sz="4" w:space="0"/>
            </w:tcBorders>
            <w:shd w:val="clear" w:color="000000" w:fill="FFFFFF"/>
            <w:vAlign w:val="center"/>
          </w:tcPr>
          <w:p w14:paraId="212F2E1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60BB8F1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3EAC5D5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54681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287E7937">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0FD8AD0A">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37B9609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制度执行</w:t>
            </w:r>
          </w:p>
          <w:p w14:paraId="209753B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有效性</w:t>
            </w:r>
          </w:p>
        </w:tc>
        <w:tc>
          <w:tcPr>
            <w:tcW w:w="3885" w:type="dxa"/>
            <w:tcBorders>
              <w:right w:val="single" w:color="auto" w:sz="4" w:space="0"/>
            </w:tcBorders>
            <w:shd w:val="clear" w:color="000000" w:fill="FFFFFF"/>
            <w:vAlign w:val="center"/>
          </w:tcPr>
          <w:p w14:paraId="333B422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752D659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74" w:type="dxa"/>
            <w:tcBorders>
              <w:bottom w:val="single" w:color="auto" w:sz="4" w:space="0"/>
            </w:tcBorders>
            <w:shd w:val="clear" w:color="000000" w:fill="FFFFFF"/>
          </w:tcPr>
          <w:p w14:paraId="33CCC52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654EF8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6A78F3D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w:t>
            </w:r>
          </w:p>
        </w:tc>
        <w:tc>
          <w:tcPr>
            <w:tcW w:w="1478" w:type="dxa"/>
            <w:shd w:val="clear" w:color="auto" w:fill="FFFFFF"/>
            <w:vAlign w:val="center"/>
          </w:tcPr>
          <w:p w14:paraId="4DB6726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产出数量</w:t>
            </w:r>
          </w:p>
        </w:tc>
        <w:tc>
          <w:tcPr>
            <w:tcW w:w="1875" w:type="dxa"/>
            <w:tcBorders>
              <w:right w:val="single" w:color="auto" w:sz="4" w:space="0"/>
            </w:tcBorders>
            <w:shd w:val="clear" w:color="auto" w:fill="FFFFFF"/>
            <w:vAlign w:val="center"/>
          </w:tcPr>
          <w:p w14:paraId="1A8E764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实际完成率</w:t>
            </w:r>
          </w:p>
        </w:tc>
        <w:tc>
          <w:tcPr>
            <w:tcW w:w="3885" w:type="dxa"/>
            <w:tcBorders>
              <w:right w:val="single" w:color="auto" w:sz="4" w:space="0"/>
            </w:tcBorders>
            <w:shd w:val="clear" w:color="000000" w:fill="FFFFFF"/>
            <w:vAlign w:val="center"/>
          </w:tcPr>
          <w:p w14:paraId="16C098F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402706A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1952E632">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56054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3E2FA485">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103A8E4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产出质量</w:t>
            </w:r>
          </w:p>
        </w:tc>
        <w:tc>
          <w:tcPr>
            <w:tcW w:w="1875" w:type="dxa"/>
            <w:tcBorders>
              <w:right w:val="single" w:color="auto" w:sz="4" w:space="0"/>
            </w:tcBorders>
            <w:shd w:val="clear" w:color="auto" w:fill="FFFFFF"/>
            <w:vAlign w:val="center"/>
          </w:tcPr>
          <w:p w14:paraId="4FE8485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质量达标率</w:t>
            </w:r>
          </w:p>
        </w:tc>
        <w:tc>
          <w:tcPr>
            <w:tcW w:w="3885" w:type="dxa"/>
            <w:tcBorders>
              <w:right w:val="single" w:color="auto" w:sz="4" w:space="0"/>
            </w:tcBorders>
            <w:shd w:val="clear" w:color="000000" w:fill="FFFFFF"/>
            <w:vAlign w:val="center"/>
          </w:tcPr>
          <w:p w14:paraId="11F92BE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610AB8D5">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04320DF2">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19161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6AEF12DF">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2F9FD749">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产出时效</w:t>
            </w:r>
          </w:p>
        </w:tc>
        <w:tc>
          <w:tcPr>
            <w:tcW w:w="1875" w:type="dxa"/>
            <w:tcBorders>
              <w:right w:val="single" w:color="auto" w:sz="4" w:space="0"/>
            </w:tcBorders>
            <w:shd w:val="clear" w:color="auto" w:fill="FFFFFF"/>
            <w:vAlign w:val="center"/>
          </w:tcPr>
          <w:p w14:paraId="3621CC8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完成及时性</w:t>
            </w:r>
          </w:p>
        </w:tc>
        <w:tc>
          <w:tcPr>
            <w:tcW w:w="3885" w:type="dxa"/>
            <w:tcBorders>
              <w:right w:val="single" w:color="auto" w:sz="4" w:space="0"/>
            </w:tcBorders>
            <w:shd w:val="clear" w:color="000000" w:fill="FFFFFF"/>
            <w:vAlign w:val="center"/>
          </w:tcPr>
          <w:p w14:paraId="5B839DA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6C39D25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000000" w:fill="FFFFFF"/>
          </w:tcPr>
          <w:p w14:paraId="23989F8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6AB14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DEB7085">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14:paraId="0B8C462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产出成本</w:t>
            </w:r>
          </w:p>
        </w:tc>
        <w:tc>
          <w:tcPr>
            <w:tcW w:w="1875" w:type="dxa"/>
            <w:tcBorders>
              <w:right w:val="single" w:color="auto" w:sz="4" w:space="0"/>
            </w:tcBorders>
            <w:shd w:val="clear" w:color="auto" w:fill="FFFFFF"/>
            <w:vAlign w:val="center"/>
          </w:tcPr>
          <w:p w14:paraId="195F4DE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成本节约率</w:t>
            </w:r>
          </w:p>
        </w:tc>
        <w:tc>
          <w:tcPr>
            <w:tcW w:w="3885" w:type="dxa"/>
            <w:tcBorders>
              <w:right w:val="single" w:color="auto" w:sz="4" w:space="0"/>
            </w:tcBorders>
            <w:shd w:val="clear" w:color="auto" w:fill="FFFFFF"/>
            <w:vAlign w:val="center"/>
          </w:tcPr>
          <w:p w14:paraId="5EB29C7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23D0C1F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74" w:type="dxa"/>
            <w:shd w:val="clear" w:color="auto" w:fill="FFFFFF"/>
          </w:tcPr>
          <w:p w14:paraId="1B07FA0E">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29EC3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1011D0F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效益　</w:t>
            </w:r>
          </w:p>
        </w:tc>
        <w:tc>
          <w:tcPr>
            <w:tcW w:w="1478" w:type="dxa"/>
            <w:vMerge w:val="restart"/>
            <w:shd w:val="clear" w:color="auto" w:fill="FFFFFF"/>
            <w:vAlign w:val="center"/>
          </w:tcPr>
          <w:p w14:paraId="3807A85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项目效益　</w:t>
            </w:r>
          </w:p>
        </w:tc>
        <w:tc>
          <w:tcPr>
            <w:tcW w:w="1875" w:type="dxa"/>
            <w:tcBorders>
              <w:right w:val="single" w:color="auto" w:sz="4" w:space="0"/>
            </w:tcBorders>
            <w:shd w:val="clear" w:color="auto" w:fill="FFFFFF"/>
            <w:vAlign w:val="center"/>
          </w:tcPr>
          <w:p w14:paraId="10653E6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实施效益</w:t>
            </w:r>
          </w:p>
        </w:tc>
        <w:tc>
          <w:tcPr>
            <w:tcW w:w="3885" w:type="dxa"/>
            <w:tcBorders>
              <w:right w:val="single" w:color="auto" w:sz="4" w:space="0"/>
            </w:tcBorders>
            <w:shd w:val="clear" w:color="auto" w:fill="FFFFFF"/>
            <w:vAlign w:val="center"/>
          </w:tcPr>
          <w:p w14:paraId="0CFCA1C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项目实施所产生的效益。</w:t>
            </w:r>
          </w:p>
        </w:tc>
        <w:tc>
          <w:tcPr>
            <w:tcW w:w="990" w:type="dxa"/>
            <w:tcBorders>
              <w:left w:val="single" w:color="auto" w:sz="4" w:space="0"/>
            </w:tcBorders>
            <w:shd w:val="clear" w:color="auto" w:fill="FFFFFF"/>
          </w:tcPr>
          <w:p w14:paraId="5EB7E57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c>
          <w:tcPr>
            <w:tcW w:w="874" w:type="dxa"/>
            <w:shd w:val="clear" w:color="auto" w:fill="FFFFFF"/>
          </w:tcPr>
          <w:p w14:paraId="5C6A8266">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r>
      <w:tr w14:paraId="08FE5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2A641E34">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14:paraId="13293498">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14:paraId="4913406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满意度</w:t>
            </w:r>
          </w:p>
        </w:tc>
        <w:tc>
          <w:tcPr>
            <w:tcW w:w="3885" w:type="dxa"/>
            <w:tcBorders>
              <w:right w:val="single" w:color="auto" w:sz="4" w:space="0"/>
            </w:tcBorders>
            <w:shd w:val="clear" w:color="000000" w:fill="FFFFFF"/>
            <w:vAlign w:val="center"/>
          </w:tcPr>
          <w:p w14:paraId="2B82040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社会公众或服务对象对项目实施效果的满意程度。</w:t>
            </w:r>
          </w:p>
        </w:tc>
        <w:tc>
          <w:tcPr>
            <w:tcW w:w="990" w:type="dxa"/>
            <w:tcBorders>
              <w:left w:val="single" w:color="auto" w:sz="4" w:space="0"/>
            </w:tcBorders>
            <w:shd w:val="clear" w:color="000000" w:fill="FFFFFF"/>
          </w:tcPr>
          <w:p w14:paraId="0A58265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74" w:type="dxa"/>
            <w:shd w:val="clear" w:color="000000" w:fill="FFFFFF"/>
          </w:tcPr>
          <w:p w14:paraId="6B0C289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1A0AC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2DCB0EF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b/>
                <w:bCs/>
                <w:color w:val="000000"/>
                <w:kern w:val="0"/>
                <w:sz w:val="22"/>
              </w:rPr>
              <w:t>总分</w:t>
            </w:r>
          </w:p>
        </w:tc>
        <w:tc>
          <w:tcPr>
            <w:tcW w:w="3885" w:type="dxa"/>
            <w:tcBorders>
              <w:right w:val="single" w:color="auto" w:sz="4" w:space="0"/>
            </w:tcBorders>
            <w:shd w:val="clear" w:color="auto" w:fill="FFFFFF"/>
          </w:tcPr>
          <w:p w14:paraId="2370E888">
            <w:pPr>
              <w:widowControl/>
              <w:spacing w:line="0" w:lineRule="atLeast"/>
              <w:jc w:val="center"/>
              <w:rPr>
                <w:rFonts w:hint="default" w:ascii="Times New Roman" w:hAnsi="Times New Roman" w:cs="Times New Roman"/>
                <w:color w:val="000000"/>
                <w:kern w:val="0"/>
                <w:sz w:val="22"/>
              </w:rPr>
            </w:pPr>
          </w:p>
        </w:tc>
        <w:tc>
          <w:tcPr>
            <w:tcW w:w="990" w:type="dxa"/>
            <w:tcBorders>
              <w:left w:val="single" w:color="auto" w:sz="4" w:space="0"/>
            </w:tcBorders>
            <w:shd w:val="clear" w:color="auto" w:fill="FFFFFF"/>
            <w:vAlign w:val="center"/>
          </w:tcPr>
          <w:p w14:paraId="3E9EDB77">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c>
          <w:tcPr>
            <w:tcW w:w="874" w:type="dxa"/>
            <w:shd w:val="clear" w:color="auto" w:fill="FFFFFF"/>
            <w:vAlign w:val="center"/>
          </w:tcPr>
          <w:p w14:paraId="575212F9">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r>
    </w:tbl>
    <w:p w14:paraId="0D91160D">
      <w:pPr>
        <w:spacing w:line="360" w:lineRule="auto"/>
        <w:ind w:firstLine="600" w:firstLineChars="200"/>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评价方法</w:t>
      </w:r>
    </w:p>
    <w:p w14:paraId="14A39FDC">
      <w:pPr>
        <w:spacing w:line="360" w:lineRule="auto"/>
        <w:ind w:firstLine="600" w:firstLineChars="200"/>
        <w:rPr>
          <w:rFonts w:hint="default" w:ascii="Times New Roman" w:hAnsi="Times New Roman" w:cs="Times New Roman"/>
        </w:rPr>
      </w:pPr>
      <w:r>
        <w:rPr>
          <w:rFonts w:hint="default" w:ascii="Times New Roman" w:hAnsi="Times New Roman" w:cs="Times New Roman"/>
        </w:rPr>
        <w:t>比较法。是指将实施情况与绩效目标、历史情况、不同部门和地区同类支出情况进行比较的方法。</w:t>
      </w:r>
    </w:p>
    <w:p w14:paraId="27D1F6F4">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项目支出绩效自评采用比较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w:t>
      </w:r>
    </w:p>
    <w:p w14:paraId="2EB52A18">
      <w:pPr>
        <w:spacing w:line="360" w:lineRule="auto"/>
        <w:ind w:firstLine="600" w:firstLineChars="200"/>
        <w:rPr>
          <w:rFonts w:hint="default" w:ascii="Times New Roman" w:hAnsi="Times New Roman" w:cs="Times New Roman"/>
        </w:rPr>
      </w:pPr>
      <w:r>
        <w:rPr>
          <w:rFonts w:hint="default" w:ascii="Times New Roman" w:hAnsi="Times New Roman" w:cs="Times New Roman"/>
        </w:rPr>
        <w:t>原因是：比较法能通过对年初设置的三级指标内容、历年该项目完成历史情况与当年完成情况进行对比，可以清楚明了体现出项目实施情况，在此基础上进行评价。</w:t>
      </w:r>
    </w:p>
    <w:p w14:paraId="71FC6D04">
      <w:pPr>
        <w:spacing w:line="360" w:lineRule="auto"/>
        <w:ind w:firstLine="600" w:firstLineChars="200"/>
        <w:rPr>
          <w:rFonts w:hint="default" w:ascii="Times New Roman" w:hAnsi="Times New Roman" w:cs="Times New Roman"/>
        </w:rPr>
      </w:pPr>
      <w:r>
        <w:rPr>
          <w:rFonts w:hint="default" w:ascii="Times New Roman" w:hAnsi="Times New Roman" w:cs="Times New Roman"/>
        </w:rPr>
        <w:t>4、评价标准</w:t>
      </w:r>
    </w:p>
    <w:p w14:paraId="17CEEC6B">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计划标准。指以预先制定的目标、计划、预算、定额等作为评价标准。</w:t>
      </w:r>
    </w:p>
    <w:p w14:paraId="25DC8957">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cs="Times New Roman"/>
          <w:bCs/>
          <w:color w:val="FF0000"/>
          <w:sz w:val="32"/>
          <w:szCs w:val="32"/>
        </w:rPr>
      </w:pPr>
      <w:r>
        <w:rPr>
          <w:rFonts w:hint="default" w:ascii="Times New Roman" w:hAnsi="Times New Roman" w:eastAsia="仿宋" w:cs="Times New Roman"/>
          <w:sz w:val="32"/>
          <w:szCs w:val="32"/>
        </w:rP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14:paraId="16228511">
      <w:pPr>
        <w:pageBreakBefore w:val="0"/>
        <w:numPr>
          <w:ilvl w:val="0"/>
          <w:numId w:val="0"/>
        </w:numPr>
        <w:kinsoku/>
        <w:wordWrap/>
        <w:overflowPunct/>
        <w:topLinePunct w:val="0"/>
        <w:autoSpaceDE/>
        <w:autoSpaceDN/>
        <w:bidi w:val="0"/>
        <w:adjustRightInd/>
        <w:spacing w:line="580" w:lineRule="exact"/>
        <w:textAlignment w:val="auto"/>
        <w:rPr>
          <w:rFonts w:hint="default" w:ascii="Times New Roman" w:hAnsi="Times New Roman" w:eastAsia="仿宋_GB2312" w:cs="Times New Roman"/>
          <w:b w:val="0"/>
          <w:bCs w:val="0"/>
        </w:rPr>
      </w:pPr>
      <w:bookmarkStart w:id="6" w:name="_Toc68703833"/>
      <w:r>
        <w:rPr>
          <w:rFonts w:hint="eastAsia" w:cs="Times New Roman"/>
          <w:b w:val="0"/>
          <w:bCs w:val="0"/>
          <w:lang w:eastAsia="zh-CN"/>
        </w:rPr>
        <w:t>（</w:t>
      </w:r>
      <w:r>
        <w:rPr>
          <w:rFonts w:hint="eastAsia" w:cs="Times New Roman"/>
          <w:b w:val="0"/>
          <w:bCs w:val="0"/>
          <w:lang w:val="en-US" w:eastAsia="zh-CN"/>
        </w:rPr>
        <w:t>三</w:t>
      </w:r>
      <w:r>
        <w:rPr>
          <w:rFonts w:hint="eastAsia" w:cs="Times New Roman"/>
          <w:b w:val="0"/>
          <w:bCs w:val="0"/>
          <w:lang w:eastAsia="zh-CN"/>
        </w:rPr>
        <w:t>）</w:t>
      </w:r>
      <w:r>
        <w:rPr>
          <w:rFonts w:hint="default" w:ascii="Times New Roman" w:hAnsi="Times New Roman" w:eastAsia="仿宋_GB2312" w:cs="Times New Roman"/>
          <w:b w:val="0"/>
          <w:bCs w:val="0"/>
        </w:rPr>
        <w:t>绩效评价工作过程。</w:t>
      </w:r>
      <w:bookmarkEnd w:id="6"/>
    </w:p>
    <w:p w14:paraId="50F3E3D2">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1、前期准备：</w:t>
      </w:r>
      <w:r>
        <w:rPr>
          <w:rFonts w:hint="default" w:ascii="Times New Roman" w:hAnsi="Times New Roman" w:eastAsia="仿宋" w:cs="Times New Roman"/>
          <w:sz w:val="32"/>
          <w:szCs w:val="32"/>
          <w:lang w:val="zh-CN"/>
        </w:rPr>
        <w:t>评价组通过前期调研</w:t>
      </w:r>
      <w:r>
        <w:rPr>
          <w:rFonts w:hint="default" w:ascii="Times New Roman" w:hAnsi="Times New Roman" w:eastAsia="仿宋" w:cs="Times New Roman"/>
          <w:sz w:val="32"/>
          <w:szCs w:val="32"/>
        </w:rPr>
        <w:t>确定绩效评价对象和范围，</w:t>
      </w:r>
      <w:r>
        <w:rPr>
          <w:rFonts w:hint="default" w:ascii="Times New Roman" w:hAnsi="Times New Roman" w:eastAsia="仿宋" w:cs="Times New Roman"/>
          <w:sz w:val="32"/>
          <w:szCs w:val="32"/>
          <w:lang w:val="zh-CN"/>
        </w:rPr>
        <w:t>确定了评价的目的、方法以及评价的原则，根据项目的内容和特征制定了评价指标体系及评价标准以及评价实施方案，修正并确定所需资料清单，最终确定</w:t>
      </w:r>
      <w:r>
        <w:rPr>
          <w:rFonts w:hint="default" w:ascii="Times New Roman" w:hAnsi="Times New Roman" w:eastAsia="仿宋" w:cs="Times New Roman"/>
          <w:sz w:val="32"/>
          <w:szCs w:val="32"/>
        </w:rPr>
        <w:t>绩效评价工作方案；</w:t>
      </w:r>
    </w:p>
    <w:p w14:paraId="528EB34A">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2、组织实施：评价组收集绩效评价相关数据资料，进行现场调研、座谈；并与项目实施负责人沟通，了解资金的内容、操作流程、管理机制、资金使用方向等情况，分析形成初步结论。 </w:t>
      </w:r>
    </w:p>
    <w:p w14:paraId="372EF057">
      <w:pPr>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3、分析评价：</w:t>
      </w:r>
      <w:r>
        <w:rPr>
          <w:rFonts w:hint="default" w:ascii="Times New Roman" w:hAnsi="Times New Roman" w:eastAsia="仿宋" w:cs="Times New Roman"/>
          <w:sz w:val="32"/>
          <w:szCs w:val="32"/>
          <w:lang w:val="en-US" w:eastAsia="zh-CN"/>
        </w:rPr>
        <w:t>评价组按照绩效评价的原则和规范，对取得的资料进行审查核实，对采集的数据进行分析，按照绩效评价指标评分表逐项进行打分、分析，汇总各方评价结果，综合分析并形成评价结论。</w:t>
      </w:r>
    </w:p>
    <w:p w14:paraId="73C01014">
      <w:pPr>
        <w:pStyle w:val="9"/>
        <w:rPr>
          <w:rFonts w:hint="default" w:ascii="Times New Roman" w:hAnsi="Times New Roman" w:cs="Times New Roman"/>
        </w:rPr>
      </w:pPr>
    </w:p>
    <w:p w14:paraId="599AF0EF">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sz w:val="32"/>
          <w:szCs w:val="32"/>
        </w:rPr>
      </w:pPr>
      <w:bookmarkStart w:id="7" w:name="_Toc68703834"/>
      <w:r>
        <w:rPr>
          <w:rFonts w:hint="default" w:ascii="Times New Roman" w:hAnsi="Times New Roman" w:eastAsia="仿宋" w:cs="Times New Roman"/>
          <w:sz w:val="32"/>
          <w:szCs w:val="32"/>
        </w:rPr>
        <w:t>三、综合评价情况及评价结论</w:t>
      </w:r>
      <w:bookmarkEnd w:id="7"/>
    </w:p>
    <w:p w14:paraId="27D83D84">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8" w:name="_Toc68703835"/>
      <w:r>
        <w:rPr>
          <w:rFonts w:hint="default" w:ascii="Times New Roman" w:hAnsi="Times New Roman" w:eastAsia="仿宋_GB2312" w:cs="Times New Roman"/>
          <w:b w:val="0"/>
          <w:bCs w:val="0"/>
        </w:rPr>
        <w:t>（一）综合评价情况</w:t>
      </w:r>
      <w:bookmarkEnd w:id="8"/>
    </w:p>
    <w:p w14:paraId="57CF2ABD">
      <w:pPr>
        <w:spacing w:line="360" w:lineRule="auto"/>
        <w:ind w:firstLine="600" w:firstLineChars="200"/>
        <w:jc w:val="center"/>
        <w:rPr>
          <w:rFonts w:hint="default" w:ascii="Times New Roman" w:hAnsi="Times New Roman" w:cs="Times New Roman"/>
          <w:color w:val="FF0000"/>
        </w:rPr>
      </w:pPr>
      <w:r>
        <w:rPr>
          <w:rFonts w:hint="default" w:ascii="Times New Roman" w:hAnsi="Times New Roman" w:eastAsia="仿宋" w:cs="Times New Roman"/>
          <w:color w:val="000000" w:themeColor="text1"/>
          <w14:textFill>
            <w14:solidFill>
              <w14:schemeClr w14:val="tx1"/>
            </w14:solidFill>
          </w14:textFill>
        </w:rPr>
        <w:t>本项目严格按照科学公正、统筹兼顾、激励约束、公开透明绩效评价原则，采用比较法评价方法，坚持计划绩效评价标准对本项目的立项、项绩效目标、资金投入、资金管理、组织实施、产出数量、产出质量、产出时效、产出成本、项目效益进行了综合评价。</w:t>
      </w:r>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w:t>
      </w:r>
      <w:r>
        <w:rPr>
          <w:rFonts w:hint="eastAsia" w:eastAsia="仿宋" w:cs="Times New Roman"/>
          <w:lang w:val="en-US" w:eastAsia="zh-CN"/>
        </w:rPr>
        <w:t>老干部局慰问</w:t>
      </w:r>
      <w:r>
        <w:rPr>
          <w:rFonts w:hint="default" w:ascii="Times New Roman" w:hAnsi="Times New Roman" w:eastAsia="仿宋" w:cs="Times New Roman"/>
        </w:rPr>
        <w:t>经费项目评价得分情况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65E09C1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79EB4E3">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F3994CA">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5C81DB7">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7DDE7B5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770278">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25865FE">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56399AB">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5AE075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7D5A866">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6B296DD">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A88C74">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4002320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B47A55">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8B1783D">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F546CFA">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r>
      <w:tr w14:paraId="7C9FFE7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95C4E41">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FDD45C0">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8CDF919">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09FC02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EAC205">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03699EC">
            <w:pPr>
              <w:jc w:val="center"/>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9058FA6">
            <w:pPr>
              <w:jc w:val="center"/>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r>
    </w:tbl>
    <w:p w14:paraId="0EED2D57">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rPr>
        <w:t>（二）评价结论</w:t>
      </w:r>
      <w:bookmarkEnd w:id="9"/>
    </w:p>
    <w:p w14:paraId="1791A07B">
      <w:pPr>
        <w:spacing w:line="360" w:lineRule="auto"/>
        <w:ind w:firstLine="600" w:firstLineChars="200"/>
        <w:jc w:val="left"/>
        <w:rPr>
          <w:rFonts w:hint="default" w:ascii="Times New Roman" w:hAnsi="Times New Roman" w:eastAsia="仿宋" w:cs="Times New Roman"/>
          <w:color w:val="000000" w:themeColor="text1"/>
          <w14:textFill>
            <w14:solidFill>
              <w14:schemeClr w14:val="tx1"/>
            </w14:solidFill>
          </w14:textFill>
        </w:rPr>
      </w:pPr>
      <w:r>
        <w:rPr>
          <w:rFonts w:hint="default" w:ascii="Times New Roman" w:hAnsi="Times New Roman" w:eastAsia="仿宋" w:cs="Times New Roman"/>
          <w:color w:val="000000" w:themeColor="text1"/>
          <w14:textFill>
            <w14:solidFill>
              <w14:schemeClr w14:val="tx1"/>
            </w14:solidFill>
          </w14:textFill>
        </w:rPr>
        <w:t>本项目的项目决策、项目过程、项目产出、项目效益均达到了预期要求，最终得分为100分，项目达成年度指标。</w:t>
      </w:r>
    </w:p>
    <w:p w14:paraId="45808B70">
      <w:pPr>
        <w:pStyle w:val="4"/>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sz w:val="32"/>
          <w:szCs w:val="32"/>
        </w:rPr>
      </w:pPr>
      <w:bookmarkStart w:id="10" w:name="_Toc68703837"/>
      <w:r>
        <w:rPr>
          <w:rFonts w:hint="default" w:ascii="Times New Roman" w:hAnsi="Times New Roman" w:eastAsia="仿宋" w:cs="Times New Roman"/>
          <w:sz w:val="32"/>
          <w:szCs w:val="32"/>
        </w:rPr>
        <w:t>四、绩效评价指标分析</w:t>
      </w:r>
      <w:bookmarkEnd w:id="10"/>
    </w:p>
    <w:p w14:paraId="553D6751">
      <w:pPr>
        <w:pStyle w:val="5"/>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1" w:name="_Toc68703838"/>
      <w:r>
        <w:rPr>
          <w:rFonts w:hint="default" w:ascii="Times New Roman" w:hAnsi="Times New Roman" w:eastAsia="仿宋_GB2312" w:cs="Times New Roman"/>
          <w:b w:val="0"/>
          <w:bCs w:val="0"/>
        </w:rPr>
        <w:t>（一）项目决策情况。</w:t>
      </w:r>
      <w:bookmarkEnd w:id="11"/>
    </w:p>
    <w:p w14:paraId="507827AB">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1、立项依据充分性</w:t>
      </w:r>
    </w:p>
    <w:p w14:paraId="5608BA7E">
      <w:pPr>
        <w:spacing w:line="360" w:lineRule="auto"/>
        <w:ind w:firstLine="600" w:firstLineChars="200"/>
        <w:rPr>
          <w:rFonts w:hint="default" w:ascii="Times New Roman" w:hAnsi="Times New Roman" w:cs="Times New Roman"/>
        </w:rPr>
      </w:pPr>
      <w:r>
        <w:rPr>
          <w:rFonts w:hint="default" w:ascii="Times New Roman" w:hAnsi="Times New Roman" w:cs="Times New Roman"/>
        </w:rPr>
        <w:t>焉耆县老干部工作坚持以习近平新时代中国特色社会主义思想为指导，深入贯彻落实党的二十大精神，认真贯彻落实习近平总书记视察新疆重要讲话重要指示批示精神，全面落实新时代党的建设总要求和新时代党的组织路线，认真落实全国、自治区、自治州组织部长会议和全国、自治区、自治州老干部局长会议精神，完整准确贯彻新时代党的治疆方略，坚持稳中求进、守正创新、真抓实干，一体推进离退休干部党的建设、发挥作用、服务管理和老干部工作部门自身建设，持续加强信息化精准化规范化建设，推动新时代全县老干部工作高质量发展。</w:t>
      </w:r>
    </w:p>
    <w:p w14:paraId="24EA7A4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2、立项程序规范性</w:t>
      </w:r>
    </w:p>
    <w:p w14:paraId="4337A88A">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该项目按照规定的程序申请设立，具有完整的审批文件、材料。</w:t>
      </w:r>
    </w:p>
    <w:p w14:paraId="789ADA4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3、绩效目标合理性</w:t>
      </w:r>
    </w:p>
    <w:p w14:paraId="5952D1FC">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w:t>
      </w:r>
      <w:r>
        <w:rPr>
          <w:rFonts w:hint="eastAsia" w:eastAsia="仿宋" w:cs="Times New Roman"/>
          <w:lang w:val="en-US" w:eastAsia="zh-CN"/>
        </w:rPr>
        <w:t>老干部局慰问</w:t>
      </w:r>
      <w:r>
        <w:rPr>
          <w:rFonts w:hint="default" w:ascii="Times New Roman" w:hAnsi="Times New Roman" w:eastAsia="仿宋" w:cs="Times New Roman"/>
        </w:rPr>
        <w:t>经费项目设立了项目绩效目标，与202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w:t>
      </w:r>
      <w:r>
        <w:rPr>
          <w:rFonts w:hint="eastAsia" w:eastAsia="仿宋" w:cs="Times New Roman"/>
          <w:lang w:val="en-US" w:eastAsia="zh-CN"/>
        </w:rPr>
        <w:t>慰问</w:t>
      </w:r>
      <w:r>
        <w:rPr>
          <w:rFonts w:hint="default" w:ascii="Times New Roman" w:hAnsi="Times New Roman" w:eastAsia="仿宋" w:cs="Times New Roman"/>
        </w:rPr>
        <w:t>调查工作具有相关性，项目的预期产出效益和效果也均能符合正常的业绩水平，并且与预算确定的项目投资额或资金量相匹配。</w:t>
      </w:r>
    </w:p>
    <w:p w14:paraId="700BA9D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4、绩效指标明确性</w:t>
      </w:r>
    </w:p>
    <w:p w14:paraId="129EFE90">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bookmarkStart w:id="12" w:name="_Hlk68699917"/>
      <w:r>
        <w:rPr>
          <w:rFonts w:hint="default" w:ascii="Times New Roman" w:hAnsi="Times New Roman" w:eastAsia="仿宋" w:cs="Times New Roman"/>
        </w:rPr>
        <w:t>202</w:t>
      </w:r>
      <w:r>
        <w:rPr>
          <w:rFonts w:hint="default" w:ascii="Times New Roman" w:hAnsi="Times New Roman" w:eastAsia="仿宋" w:cs="Times New Roman"/>
          <w:lang w:val="en-US" w:eastAsia="zh-CN"/>
        </w:rPr>
        <w:t>3</w:t>
      </w:r>
      <w:r>
        <w:rPr>
          <w:rFonts w:hint="default" w:ascii="Times New Roman" w:hAnsi="Times New Roman" w:eastAsia="仿宋" w:cs="Times New Roman"/>
        </w:rPr>
        <w:t>年度</w:t>
      </w:r>
      <w:r>
        <w:rPr>
          <w:rFonts w:hint="eastAsia" w:eastAsia="仿宋" w:cs="Times New Roman"/>
          <w:lang w:val="en-US" w:eastAsia="zh-CN"/>
        </w:rPr>
        <w:t>慰问经费</w:t>
      </w:r>
      <w:r>
        <w:rPr>
          <w:rFonts w:hint="default" w:ascii="Times New Roman" w:hAnsi="Times New Roman" w:eastAsia="仿宋" w:cs="Times New Roman"/>
        </w:rPr>
        <w:t>项目将项目绩效目标细化分解为具体的绩效指标，一级指标共</w:t>
      </w:r>
      <w:r>
        <w:rPr>
          <w:rFonts w:hint="eastAsia" w:eastAsia="仿宋" w:cs="Times New Roman"/>
          <w:lang w:val="en-US" w:eastAsia="zh-CN"/>
        </w:rPr>
        <w:t>4</w:t>
      </w:r>
      <w:r>
        <w:rPr>
          <w:rFonts w:hint="default" w:ascii="Times New Roman" w:hAnsi="Times New Roman" w:eastAsia="仿宋" w:cs="Times New Roman"/>
        </w:rPr>
        <w:t>条，二级指标共</w:t>
      </w:r>
      <w:r>
        <w:rPr>
          <w:rFonts w:hint="eastAsia" w:eastAsia="仿宋" w:cs="Times New Roman"/>
          <w:lang w:val="en-US" w:eastAsia="zh-CN"/>
        </w:rPr>
        <w:t>6</w:t>
      </w:r>
      <w:r>
        <w:rPr>
          <w:rFonts w:hint="default" w:ascii="Times New Roman" w:hAnsi="Times New Roman" w:eastAsia="仿宋" w:cs="Times New Roman"/>
        </w:rPr>
        <w:t>条，三级指标共</w:t>
      </w:r>
      <w:r>
        <w:rPr>
          <w:rFonts w:hint="eastAsia" w:eastAsia="仿宋" w:cs="Times New Roman"/>
          <w:lang w:val="en-US" w:eastAsia="zh-CN"/>
        </w:rPr>
        <w:t>7</w:t>
      </w:r>
      <w:r>
        <w:rPr>
          <w:rFonts w:hint="default" w:ascii="Times New Roman" w:hAnsi="Times New Roman" w:eastAsia="仿宋" w:cs="Times New Roman"/>
        </w:rPr>
        <w:t>条，其中量化指标条数共</w:t>
      </w:r>
      <w:r>
        <w:rPr>
          <w:rFonts w:hint="eastAsia" w:eastAsia="仿宋" w:cs="Times New Roman"/>
          <w:lang w:val="en-US" w:eastAsia="zh-CN"/>
        </w:rPr>
        <w:t>7</w:t>
      </w:r>
      <w:r>
        <w:rPr>
          <w:rFonts w:hint="default" w:ascii="Times New Roman" w:hAnsi="Times New Roman" w:eastAsia="仿宋" w:cs="Times New Roman"/>
        </w:rPr>
        <w:t>条，所有绩效指标均通过清晰、可衡量的指标值予以体现，并且做到了与项目目标任务数或计划数相对应。</w:t>
      </w:r>
      <w:bookmarkEnd w:id="12"/>
    </w:p>
    <w:p w14:paraId="3E0A152A">
      <w:pPr>
        <w:spacing w:line="360" w:lineRule="auto"/>
        <w:ind w:firstLine="600" w:firstLineChars="200"/>
        <w:rPr>
          <w:rFonts w:hint="default" w:ascii="Times New Roman" w:hAnsi="Times New Roman" w:cs="Times New Roman"/>
        </w:rPr>
      </w:pPr>
      <w:r>
        <w:rPr>
          <w:rFonts w:hint="default" w:ascii="Times New Roman" w:hAnsi="Times New Roman" w:cs="Times New Roman"/>
        </w:rPr>
        <w:t>5、预算编制科学性</w:t>
      </w:r>
    </w:p>
    <w:p w14:paraId="449DC394">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该项目预算编制经过科学论证；预算内容与项目内容匹配；预算额度测算依据充分，符合标准编制；预算确定的项目投资额或资金量与工作任务相匹配。</w:t>
      </w:r>
    </w:p>
    <w:p w14:paraId="18A8BB3F">
      <w:pPr>
        <w:spacing w:line="360" w:lineRule="auto"/>
        <w:ind w:firstLine="600" w:firstLineChars="200"/>
        <w:rPr>
          <w:rFonts w:hint="default" w:ascii="Times New Roman" w:hAnsi="Times New Roman" w:cs="Times New Roman"/>
        </w:rPr>
      </w:pPr>
      <w:r>
        <w:rPr>
          <w:rFonts w:hint="default" w:ascii="Times New Roman" w:hAnsi="Times New Roman" w:cs="Times New Roman"/>
        </w:rPr>
        <w:t>6、资金分配合理性</w:t>
      </w:r>
    </w:p>
    <w:p w14:paraId="6D61BDB1">
      <w:pPr>
        <w:pageBreakBefore w:val="0"/>
        <w:kinsoku/>
        <w:wordWrap/>
        <w:overflowPunct/>
        <w:topLinePunct w:val="0"/>
        <w:autoSpaceDE/>
        <w:autoSpaceDN/>
        <w:bidi w:val="0"/>
        <w:adjustRightInd/>
        <w:spacing w:line="580" w:lineRule="exact"/>
        <w:ind w:firstLine="600" w:firstLineChars="200"/>
        <w:textAlignment w:val="auto"/>
        <w:rPr>
          <w:rFonts w:hint="eastAsia" w:eastAsia="仿宋" w:cs="Times New Roman"/>
          <w:lang w:val="en-US" w:eastAsia="zh-CN"/>
        </w:rPr>
      </w:pPr>
      <w:bookmarkStart w:id="13" w:name="_Toc68703839"/>
      <w:r>
        <w:rPr>
          <w:rFonts w:hint="default" w:ascii="Times New Roman" w:hAnsi="Times New Roman" w:eastAsia="仿宋" w:cs="Times New Roman"/>
        </w:rPr>
        <w:t>该项目预算资金分配依据充分；资金分配额度合理，与项目单位实际相适应。</w:t>
      </w:r>
      <w:r>
        <w:rPr>
          <w:rFonts w:hint="eastAsia" w:eastAsia="仿宋" w:cs="Times New Roman"/>
          <w:lang w:val="en-US" w:eastAsia="zh-CN"/>
        </w:rPr>
        <w:t>计划8次慰问使用4.31万元。</w:t>
      </w:r>
    </w:p>
    <w:p w14:paraId="48CA6352">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（二）项目过程情况。</w:t>
      </w:r>
      <w:bookmarkEnd w:id="13"/>
    </w:p>
    <w:p w14:paraId="57A79B8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1、资金到位率：</w:t>
      </w:r>
    </w:p>
    <w:p w14:paraId="5993D575">
      <w:pPr>
        <w:pageBreakBefore w:val="0"/>
        <w:kinsoku/>
        <w:wordWrap/>
        <w:overflowPunct/>
        <w:topLinePunct w:val="0"/>
        <w:autoSpaceDE/>
        <w:autoSpaceDN/>
        <w:bidi w:val="0"/>
        <w:adjustRightInd/>
        <w:spacing w:line="580" w:lineRule="exact"/>
        <w:ind w:firstLine="600" w:firstLineChars="200"/>
        <w:textAlignment w:val="auto"/>
        <w:rPr>
          <w:rFonts w:hint="default" w:ascii="Times New Roman" w:hAnsi="Times New Roman" w:eastAsia="仿宋" w:cs="Times New Roman"/>
        </w:rPr>
      </w:pPr>
      <w:r>
        <w:rPr>
          <w:rFonts w:hint="default" w:ascii="Times New Roman" w:hAnsi="Times New Roman" w:eastAsia="仿宋" w:cs="Times New Roman"/>
        </w:rPr>
        <w:t>实际到位资金</w:t>
      </w:r>
      <w:r>
        <w:rPr>
          <w:rFonts w:hint="eastAsia" w:eastAsia="仿宋" w:cs="Times New Roman"/>
          <w:lang w:val="en-US" w:eastAsia="zh-CN"/>
        </w:rPr>
        <w:t>4.31</w:t>
      </w:r>
      <w:r>
        <w:rPr>
          <w:rFonts w:hint="default" w:ascii="Times New Roman" w:hAnsi="Times New Roman" w:eastAsia="仿宋" w:cs="Times New Roman"/>
        </w:rPr>
        <w:t>万元，预算资金</w:t>
      </w:r>
      <w:r>
        <w:rPr>
          <w:rFonts w:hint="eastAsia" w:eastAsia="仿宋" w:cs="Times New Roman"/>
          <w:lang w:val="en-US" w:eastAsia="zh-CN"/>
        </w:rPr>
        <w:t>4.31</w:t>
      </w:r>
      <w:r>
        <w:rPr>
          <w:rFonts w:hint="default" w:ascii="Times New Roman" w:hAnsi="Times New Roman" w:eastAsia="仿宋" w:cs="Times New Roman"/>
        </w:rPr>
        <w:t>万元，资金到位率100.00%</w:t>
      </w:r>
    </w:p>
    <w:p w14:paraId="4B28B17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2、预算执行率</w:t>
      </w:r>
    </w:p>
    <w:p w14:paraId="40768C34">
      <w:pPr>
        <w:spacing w:line="560" w:lineRule="exact"/>
        <w:ind w:firstLine="640" w:firstLineChars="200"/>
        <w:jc w:val="left"/>
        <w:rPr>
          <w:rFonts w:hint="default" w:ascii="Times New Roman" w:hAnsi="Times New Roman" w:eastAsia="仿宋_GB2312" w:cs="Times New Roman"/>
          <w:color w:val="333333"/>
          <w:sz w:val="32"/>
          <w:szCs w:val="32"/>
          <w:highlight w:val="none"/>
        </w:rPr>
      </w:pPr>
      <w:r>
        <w:rPr>
          <w:rFonts w:hint="default" w:ascii="Times New Roman" w:hAnsi="Times New Roman" w:eastAsia="仿宋_GB2312" w:cs="Times New Roman"/>
          <w:color w:val="333333"/>
          <w:sz w:val="32"/>
          <w:szCs w:val="32"/>
          <w:highlight w:val="none"/>
        </w:rPr>
        <w:t>年初预算数</w:t>
      </w:r>
      <w:r>
        <w:rPr>
          <w:rFonts w:hint="eastAsia" w:cs="Times New Roman"/>
          <w:color w:val="333333"/>
          <w:sz w:val="32"/>
          <w:szCs w:val="32"/>
          <w:highlight w:val="none"/>
          <w:lang w:val="en-US" w:eastAsia="zh-CN"/>
        </w:rPr>
        <w:t>0</w:t>
      </w:r>
      <w:r>
        <w:rPr>
          <w:rFonts w:hint="default" w:ascii="Times New Roman" w:hAnsi="Times New Roman" w:eastAsia="仿宋_GB2312" w:cs="Times New Roman"/>
          <w:color w:val="333333"/>
          <w:sz w:val="32"/>
          <w:szCs w:val="32"/>
          <w:highlight w:val="none"/>
        </w:rPr>
        <w:t>万元，全年预算数</w:t>
      </w:r>
      <w:r>
        <w:rPr>
          <w:rFonts w:hint="eastAsia" w:cs="Times New Roman"/>
          <w:color w:val="333333"/>
          <w:sz w:val="32"/>
          <w:szCs w:val="32"/>
          <w:highlight w:val="none"/>
          <w:lang w:val="en-US" w:eastAsia="zh-CN"/>
        </w:rPr>
        <w:t>4.31</w:t>
      </w:r>
      <w:r>
        <w:rPr>
          <w:rFonts w:hint="default" w:ascii="Times New Roman" w:hAnsi="Times New Roman" w:eastAsia="仿宋_GB2312" w:cs="Times New Roman"/>
          <w:color w:val="333333"/>
          <w:sz w:val="32"/>
          <w:szCs w:val="32"/>
          <w:highlight w:val="none"/>
        </w:rPr>
        <w:t>万元，全年执行数</w:t>
      </w:r>
      <w:r>
        <w:rPr>
          <w:rFonts w:hint="eastAsia" w:cs="Times New Roman"/>
          <w:color w:val="333333"/>
          <w:sz w:val="32"/>
          <w:szCs w:val="32"/>
          <w:highlight w:val="none"/>
          <w:lang w:val="en-US" w:eastAsia="zh-CN"/>
        </w:rPr>
        <w:t>4.31</w:t>
      </w:r>
      <w:r>
        <w:rPr>
          <w:rFonts w:hint="default" w:ascii="Times New Roman" w:hAnsi="Times New Roman" w:eastAsia="仿宋_GB2312" w:cs="Times New Roman"/>
          <w:color w:val="333333"/>
          <w:sz w:val="32"/>
          <w:szCs w:val="32"/>
          <w:highlight w:val="none"/>
        </w:rPr>
        <w:t>万元，预算执行率为100.00%。</w:t>
      </w:r>
    </w:p>
    <w:p w14:paraId="08ED1F9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3、资金使用合规性</w:t>
      </w:r>
    </w:p>
    <w:p w14:paraId="55AEC2FC">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资金使用符合国家财经法规和财务管理制度以及有关专项资金管理办法的规定；资金的拨付具有完整的审批程序和手续；资金使用符合项目预算批复或合同规定的用途；该项目资金不存在截留、挤占、挪用、虚列支出等问题情况。</w:t>
      </w:r>
    </w:p>
    <w:p w14:paraId="17794BC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rPr>
        <w:t>4、管理制度健全性</w:t>
      </w:r>
    </w:p>
    <w:p w14:paraId="2F01D7F4">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该项目具有相应的财务和业务管理制度，《</w:t>
      </w:r>
      <w:r>
        <w:rPr>
          <w:rFonts w:hint="eastAsia" w:cs="Times New Roman"/>
          <w:color w:val="333333"/>
          <w:sz w:val="32"/>
          <w:szCs w:val="32"/>
          <w:lang w:val="en-US" w:eastAsia="zh-CN"/>
        </w:rPr>
        <w:t>焉耆县委老干部局</w:t>
      </w:r>
      <w:r>
        <w:rPr>
          <w:rFonts w:hint="default" w:ascii="Times New Roman" w:hAnsi="Times New Roman" w:eastAsia="仿宋_GB2312" w:cs="Times New Roman"/>
          <w:color w:val="333333"/>
          <w:sz w:val="32"/>
          <w:szCs w:val="32"/>
        </w:rPr>
        <w:t>财务管理制度》，本单位财务和业务管理制度合法、合规、完整。</w:t>
      </w:r>
    </w:p>
    <w:p w14:paraId="6B190F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制度执行有效性</w:t>
      </w:r>
    </w:p>
    <w:p w14:paraId="70C4BB45">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该项目执行严格遵守相关法律法规和相关管理规定；项目调整及支出调整手续完备；项目采购合同、验收单等资料齐全并及时归档；项目实施的人员条件、场地设备、信息支撑等完全落实到位。</w:t>
      </w:r>
    </w:p>
    <w:p w14:paraId="6E7A94E5">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bookmarkStart w:id="14" w:name="_Toc68703840"/>
      <w:r>
        <w:rPr>
          <w:rFonts w:hint="default" w:ascii="Times New Roman" w:hAnsi="Times New Roman" w:eastAsia="仿宋_GB2312" w:cs="Times New Roman"/>
          <w:b w:val="0"/>
          <w:bCs w:val="0"/>
        </w:rPr>
        <w:t>（三）项目产出情况。</w:t>
      </w:r>
      <w:bookmarkEnd w:id="14"/>
    </w:p>
    <w:p w14:paraId="5B38F9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cs="Times New Roman"/>
          <w:color w:val="333333"/>
          <w:sz w:val="32"/>
          <w:szCs w:val="32"/>
          <w:lang w:val="en-US" w:eastAsia="zh-CN"/>
        </w:rPr>
      </w:pPr>
      <w:bookmarkStart w:id="15" w:name="_Toc68703841"/>
      <w:r>
        <w:rPr>
          <w:rFonts w:hint="default" w:ascii="Times New Roman" w:hAnsi="Times New Roman" w:eastAsia="仿宋_GB2312" w:cs="Times New Roman"/>
          <w:color w:val="333333"/>
          <w:sz w:val="32"/>
          <w:szCs w:val="32"/>
        </w:rPr>
        <w:t>1、数量指标：指标1：</w:t>
      </w:r>
      <w:r>
        <w:rPr>
          <w:rFonts w:hint="eastAsia" w:cs="Times New Roman"/>
          <w:color w:val="333333"/>
          <w:sz w:val="32"/>
          <w:szCs w:val="32"/>
          <w:lang w:val="en-US" w:eastAsia="zh-CN"/>
        </w:rPr>
        <w:t>慰问老干部人数</w:t>
      </w:r>
      <w:r>
        <w:rPr>
          <w:rFonts w:hint="default" w:ascii="Times New Roman" w:hAnsi="Times New Roman" w:eastAsia="仿宋_GB2312" w:cs="Times New Roman"/>
          <w:color w:val="333333"/>
          <w:sz w:val="32"/>
          <w:szCs w:val="32"/>
        </w:rPr>
        <w:t xml:space="preserve">，指标值： </w:t>
      </w:r>
      <w:r>
        <w:rPr>
          <w:rFonts w:hint="eastAsia" w:cs="Times New Roman"/>
          <w:color w:val="333333"/>
          <w:sz w:val="32"/>
          <w:szCs w:val="32"/>
          <w:lang w:val="en-US" w:eastAsia="zh-CN"/>
        </w:rPr>
        <w:t>≥70人</w:t>
      </w:r>
      <w:r>
        <w:rPr>
          <w:rFonts w:hint="default" w:ascii="Times New Roman" w:hAnsi="Times New Roman" w:eastAsia="仿宋_GB2312" w:cs="Times New Roman"/>
          <w:color w:val="333333"/>
          <w:sz w:val="32"/>
          <w:szCs w:val="32"/>
        </w:rPr>
        <w:t>，实际完成值</w:t>
      </w:r>
      <w:r>
        <w:rPr>
          <w:rFonts w:hint="eastAsia" w:cs="Times New Roman"/>
          <w:color w:val="333333"/>
          <w:sz w:val="32"/>
          <w:szCs w:val="32"/>
          <w:lang w:val="en-US" w:eastAsia="zh-CN"/>
        </w:rPr>
        <w:t>=70人</w:t>
      </w:r>
      <w:r>
        <w:rPr>
          <w:rFonts w:hint="default" w:ascii="Times New Roman" w:hAnsi="Times New Roman" w:eastAsia="仿宋_GB2312" w:cs="Times New Roman"/>
          <w:color w:val="333333"/>
          <w:sz w:val="32"/>
          <w:szCs w:val="32"/>
        </w:rPr>
        <w:t xml:space="preserve">，指标完成率 100 %，偏差原因：无偏差。 </w:t>
      </w:r>
      <w:r>
        <w:rPr>
          <w:rFonts w:hint="eastAsia" w:cs="Times New Roman"/>
          <w:color w:val="333333"/>
          <w:sz w:val="32"/>
          <w:szCs w:val="32"/>
          <w:lang w:val="en-US" w:eastAsia="zh-CN"/>
        </w:rPr>
        <w:t xml:space="preserve">   </w:t>
      </w:r>
    </w:p>
    <w:p w14:paraId="5341AA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1、数量指标：指标</w:t>
      </w:r>
      <w:r>
        <w:rPr>
          <w:rFonts w:hint="eastAsia" w:cs="Times New Roman"/>
          <w:color w:val="333333"/>
          <w:sz w:val="32"/>
          <w:szCs w:val="32"/>
          <w:lang w:val="en-US" w:eastAsia="zh-CN"/>
        </w:rPr>
        <w:t>2</w:t>
      </w:r>
      <w:r>
        <w:rPr>
          <w:rFonts w:hint="default" w:ascii="Times New Roman" w:hAnsi="Times New Roman" w:eastAsia="仿宋_GB2312" w:cs="Times New Roman"/>
          <w:color w:val="333333"/>
          <w:sz w:val="32"/>
          <w:szCs w:val="32"/>
        </w:rPr>
        <w:t>：</w:t>
      </w:r>
      <w:r>
        <w:rPr>
          <w:rFonts w:hint="eastAsia" w:cs="Times New Roman"/>
          <w:color w:val="333333"/>
          <w:sz w:val="32"/>
          <w:szCs w:val="32"/>
          <w:lang w:val="en-US" w:eastAsia="zh-CN"/>
        </w:rPr>
        <w:t>慰问老干部</w:t>
      </w:r>
      <w:r>
        <w:rPr>
          <w:rFonts w:hint="default" w:ascii="Times New Roman" w:hAnsi="Times New Roman" w:eastAsia="仿宋_GB2312" w:cs="Times New Roman"/>
          <w:color w:val="333333"/>
          <w:sz w:val="32"/>
          <w:szCs w:val="32"/>
        </w:rPr>
        <w:t xml:space="preserve">次数，指标值： </w:t>
      </w:r>
      <w:r>
        <w:rPr>
          <w:rFonts w:hint="eastAsia" w:cs="Times New Roman"/>
          <w:color w:val="333333"/>
          <w:sz w:val="32"/>
          <w:szCs w:val="32"/>
          <w:lang w:val="en-US" w:eastAsia="zh-CN"/>
        </w:rPr>
        <w:t>≥8</w:t>
      </w:r>
      <w:r>
        <w:rPr>
          <w:rFonts w:hint="default" w:ascii="Times New Roman" w:hAnsi="Times New Roman" w:eastAsia="仿宋_GB2312" w:cs="Times New Roman"/>
          <w:color w:val="333333"/>
          <w:sz w:val="32"/>
          <w:szCs w:val="32"/>
        </w:rPr>
        <w:t>次，实际完成值</w:t>
      </w:r>
      <w:r>
        <w:rPr>
          <w:rFonts w:hint="eastAsia" w:cs="Times New Roman"/>
          <w:color w:val="333333"/>
          <w:sz w:val="32"/>
          <w:szCs w:val="32"/>
          <w:lang w:val="en-US" w:eastAsia="zh-CN"/>
        </w:rPr>
        <w:t>8</w:t>
      </w:r>
      <w:r>
        <w:rPr>
          <w:rFonts w:hint="default" w:ascii="Times New Roman" w:hAnsi="Times New Roman" w:eastAsia="仿宋_GB2312" w:cs="Times New Roman"/>
          <w:color w:val="333333"/>
          <w:sz w:val="32"/>
          <w:szCs w:val="32"/>
        </w:rPr>
        <w:t xml:space="preserve">次，指标完成率 100 %，偏差原因：无偏差。  </w:t>
      </w:r>
    </w:p>
    <w:p w14:paraId="55CA5A50">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2、质量指标：指标1：</w:t>
      </w:r>
      <w:r>
        <w:rPr>
          <w:rFonts w:hint="eastAsia" w:cs="Times New Roman"/>
          <w:color w:val="333333"/>
          <w:sz w:val="32"/>
          <w:szCs w:val="32"/>
          <w:lang w:val="en-US" w:eastAsia="zh-CN"/>
        </w:rPr>
        <w:t>慰问老干部覆盖率</w:t>
      </w:r>
      <w:r>
        <w:rPr>
          <w:rFonts w:hint="default" w:ascii="Times New Roman" w:hAnsi="Times New Roman" w:eastAsia="仿宋_GB2312" w:cs="Times New Roman"/>
          <w:color w:val="333333"/>
          <w:sz w:val="32"/>
          <w:szCs w:val="32"/>
        </w:rPr>
        <w:t xml:space="preserve">，指标值 </w:t>
      </w:r>
      <w:r>
        <w:rPr>
          <w:rFonts w:hint="eastAsia" w:cs="Times New Roman"/>
          <w:color w:val="333333"/>
          <w:sz w:val="32"/>
          <w:szCs w:val="32"/>
          <w:lang w:val="en-US" w:eastAsia="zh-CN"/>
        </w:rPr>
        <w:t>≥95%</w:t>
      </w:r>
      <w:r>
        <w:rPr>
          <w:rFonts w:hint="default" w:ascii="Times New Roman" w:hAnsi="Times New Roman" w:eastAsia="仿宋_GB2312" w:cs="Times New Roman"/>
          <w:color w:val="333333"/>
          <w:sz w:val="32"/>
          <w:szCs w:val="32"/>
        </w:rPr>
        <w:t xml:space="preserve"> ，实际完成值</w:t>
      </w:r>
      <w:r>
        <w:rPr>
          <w:rFonts w:hint="eastAsia" w:cs="Times New Roman"/>
          <w:color w:val="333333"/>
          <w:sz w:val="32"/>
          <w:szCs w:val="32"/>
          <w:lang w:val="en-US" w:eastAsia="zh-CN"/>
        </w:rPr>
        <w:t>=95</w:t>
      </w:r>
      <w:r>
        <w:rPr>
          <w:rFonts w:hint="default" w:ascii="Times New Roman" w:hAnsi="Times New Roman" w:eastAsia="仿宋_GB2312" w:cs="Times New Roman"/>
          <w:color w:val="333333"/>
          <w:sz w:val="32"/>
          <w:szCs w:val="32"/>
        </w:rPr>
        <w:t>%，指标完成率</w:t>
      </w:r>
      <w:r>
        <w:rPr>
          <w:rFonts w:hint="default" w:ascii="Times New Roman" w:hAnsi="Times New Roman" w:eastAsia="仿宋_GB2312" w:cs="Times New Roman"/>
          <w:color w:val="333333"/>
          <w:sz w:val="32"/>
          <w:szCs w:val="32"/>
          <w:lang w:val="en-US" w:eastAsia="zh-CN"/>
        </w:rPr>
        <w:t>100</w:t>
      </w:r>
      <w:r>
        <w:rPr>
          <w:rFonts w:hint="default" w:ascii="Times New Roman" w:hAnsi="Times New Roman" w:eastAsia="仿宋_GB2312" w:cs="Times New Roman"/>
          <w:color w:val="333333"/>
          <w:sz w:val="32"/>
          <w:szCs w:val="32"/>
        </w:rPr>
        <w:t xml:space="preserve">%。  </w:t>
      </w:r>
    </w:p>
    <w:p w14:paraId="7EEEF783">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3、时效指标：指标1：</w:t>
      </w:r>
      <w:r>
        <w:rPr>
          <w:rFonts w:hint="eastAsia" w:cs="Times New Roman"/>
          <w:color w:val="333333"/>
          <w:sz w:val="32"/>
          <w:szCs w:val="32"/>
          <w:lang w:val="en-US" w:eastAsia="zh-CN"/>
        </w:rPr>
        <w:t>慰问老干部</w:t>
      </w:r>
      <w:r>
        <w:rPr>
          <w:rFonts w:hint="default" w:ascii="Times New Roman" w:hAnsi="Times New Roman" w:eastAsia="仿宋_GB2312" w:cs="Times New Roman"/>
          <w:color w:val="333333"/>
          <w:sz w:val="32"/>
          <w:szCs w:val="32"/>
        </w:rPr>
        <w:t>及时率，指标值： ≥95% ，实际完成值</w:t>
      </w:r>
      <w:r>
        <w:rPr>
          <w:rFonts w:hint="eastAsia" w:cs="Times New Roman"/>
          <w:color w:val="333333"/>
          <w:sz w:val="32"/>
          <w:szCs w:val="32"/>
          <w:lang w:val="en-US" w:eastAsia="zh-CN"/>
        </w:rPr>
        <w:t>=</w:t>
      </w:r>
      <w:r>
        <w:rPr>
          <w:rFonts w:hint="default" w:ascii="Times New Roman" w:hAnsi="Times New Roman" w:eastAsia="仿宋_GB2312" w:cs="Times New Roman"/>
          <w:color w:val="333333"/>
          <w:sz w:val="32"/>
          <w:szCs w:val="32"/>
          <w:lang w:val="en-US" w:eastAsia="zh-CN"/>
        </w:rPr>
        <w:t>95</w:t>
      </w:r>
      <w:r>
        <w:rPr>
          <w:rFonts w:hint="default" w:ascii="Times New Roman" w:hAnsi="Times New Roman" w:eastAsia="仿宋_GB2312" w:cs="Times New Roman"/>
          <w:color w:val="333333"/>
          <w:sz w:val="32"/>
          <w:szCs w:val="32"/>
        </w:rPr>
        <w:t>%，指标完成率10</w:t>
      </w:r>
      <w:r>
        <w:rPr>
          <w:rFonts w:hint="default" w:ascii="Times New Roman" w:hAnsi="Times New Roman" w:eastAsia="仿宋_GB2312" w:cs="Times New Roman"/>
          <w:color w:val="333333"/>
          <w:sz w:val="32"/>
          <w:szCs w:val="32"/>
          <w:lang w:val="en-US" w:eastAsia="zh-CN"/>
        </w:rPr>
        <w:t>0</w:t>
      </w:r>
      <w:r>
        <w:rPr>
          <w:rFonts w:hint="default" w:ascii="Times New Roman" w:hAnsi="Times New Roman" w:eastAsia="仿宋_GB2312" w:cs="Times New Roman"/>
          <w:color w:val="333333"/>
          <w:sz w:val="32"/>
          <w:szCs w:val="32"/>
        </w:rPr>
        <w:t xml:space="preserve">%。  </w:t>
      </w:r>
    </w:p>
    <w:p w14:paraId="2AA951D4">
      <w:pPr>
        <w:shd w:val="clear" w:fill="FFFFFF" w:themeFill="background1"/>
        <w:spacing w:line="560" w:lineRule="exact"/>
        <w:ind w:firstLine="640" w:firstLineChars="200"/>
        <w:jc w:val="left"/>
        <w:rPr>
          <w:rFonts w:hint="default" w:ascii="Times New Roman" w:hAnsi="Times New Roman" w:eastAsia="仿宋_GB2312" w:cs="Times New Roman"/>
          <w:color w:val="333333"/>
          <w:sz w:val="32"/>
          <w:szCs w:val="32"/>
        </w:rPr>
      </w:pPr>
      <w:r>
        <w:rPr>
          <w:rFonts w:hint="eastAsia" w:ascii="Times New Roman" w:hAnsi="Times New Roman" w:cs="Times New Roman"/>
          <w:color w:val="333333"/>
          <w:sz w:val="32"/>
          <w:szCs w:val="32"/>
          <w:lang w:val="en-US" w:eastAsia="zh-CN"/>
        </w:rPr>
        <w:t>4</w:t>
      </w:r>
      <w:r>
        <w:rPr>
          <w:rFonts w:hint="default" w:ascii="Times New Roman" w:hAnsi="Times New Roman" w:eastAsia="仿宋_GB2312" w:cs="Times New Roman"/>
          <w:color w:val="333333"/>
          <w:sz w:val="32"/>
          <w:szCs w:val="32"/>
        </w:rPr>
        <w:t>、</w:t>
      </w:r>
      <w:r>
        <w:rPr>
          <w:rFonts w:hint="eastAsia" w:ascii="Times New Roman" w:hAnsi="Times New Roman" w:cs="Times New Roman"/>
          <w:color w:val="333333"/>
          <w:sz w:val="32"/>
          <w:szCs w:val="32"/>
          <w:lang w:val="en-US" w:eastAsia="zh-CN"/>
        </w:rPr>
        <w:t>成本</w:t>
      </w:r>
      <w:r>
        <w:rPr>
          <w:rFonts w:hint="default" w:ascii="Times New Roman" w:hAnsi="Times New Roman" w:eastAsia="仿宋_GB2312" w:cs="Times New Roman"/>
          <w:color w:val="333333"/>
          <w:sz w:val="32"/>
          <w:szCs w:val="32"/>
        </w:rPr>
        <w:t>指标：指标1：</w:t>
      </w:r>
      <w:r>
        <w:rPr>
          <w:rFonts w:hint="eastAsia" w:cs="Times New Roman"/>
          <w:color w:val="333333"/>
          <w:sz w:val="32"/>
          <w:szCs w:val="32"/>
          <w:lang w:val="en-US" w:eastAsia="zh-CN"/>
        </w:rPr>
        <w:t>预算控制</w:t>
      </w:r>
      <w:r>
        <w:rPr>
          <w:rFonts w:hint="default" w:ascii="Times New Roman" w:hAnsi="Times New Roman" w:eastAsia="仿宋_GB2312" w:cs="Times New Roman"/>
          <w:color w:val="333333"/>
          <w:sz w:val="32"/>
          <w:szCs w:val="32"/>
        </w:rPr>
        <w:t>率，指标值：</w:t>
      </w:r>
      <w:r>
        <w:rPr>
          <w:rFonts w:hint="eastAsia" w:ascii="Times New Roman" w:hAnsi="Times New Roman" w:cs="Times New Roman"/>
          <w:color w:val="333333"/>
          <w:sz w:val="32"/>
          <w:szCs w:val="32"/>
          <w:lang w:val="en-US" w:eastAsia="zh-CN"/>
        </w:rPr>
        <w:t>≤100%</w:t>
      </w:r>
      <w:r>
        <w:rPr>
          <w:rFonts w:hint="default" w:ascii="Times New Roman" w:hAnsi="Times New Roman" w:eastAsia="仿宋_GB2312" w:cs="Times New Roman"/>
          <w:color w:val="333333"/>
          <w:sz w:val="32"/>
          <w:szCs w:val="32"/>
        </w:rPr>
        <w:t xml:space="preserve"> ，实际完成值</w:t>
      </w:r>
      <w:r>
        <w:rPr>
          <w:rFonts w:hint="eastAsia" w:ascii="Times New Roman" w:hAnsi="Times New Roman" w:cs="Times New Roman"/>
          <w:color w:val="333333"/>
          <w:sz w:val="32"/>
          <w:szCs w:val="32"/>
          <w:lang w:val="en-US" w:eastAsia="zh-CN"/>
        </w:rPr>
        <w:t>=100%</w:t>
      </w:r>
      <w:r>
        <w:rPr>
          <w:rFonts w:hint="default" w:ascii="Times New Roman" w:hAnsi="Times New Roman" w:eastAsia="仿宋_GB2312" w:cs="Times New Roman"/>
          <w:color w:val="333333"/>
          <w:sz w:val="32"/>
          <w:szCs w:val="32"/>
        </w:rPr>
        <w:t>，指标完成率10</w:t>
      </w:r>
      <w:r>
        <w:rPr>
          <w:rFonts w:hint="default" w:ascii="Times New Roman" w:hAnsi="Times New Roman" w:eastAsia="仿宋_GB2312" w:cs="Times New Roman"/>
          <w:color w:val="333333"/>
          <w:sz w:val="32"/>
          <w:szCs w:val="32"/>
          <w:lang w:val="en-US" w:eastAsia="zh-CN"/>
        </w:rPr>
        <w:t>0</w:t>
      </w:r>
      <w:r>
        <w:rPr>
          <w:rFonts w:hint="default" w:ascii="Times New Roman" w:hAnsi="Times New Roman" w:eastAsia="仿宋_GB2312" w:cs="Times New Roman"/>
          <w:color w:val="333333"/>
          <w:sz w:val="32"/>
          <w:szCs w:val="32"/>
        </w:rPr>
        <w:t>%。</w:t>
      </w:r>
    </w:p>
    <w:p w14:paraId="55BAAD9E">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（四）项目效益情况。</w:t>
      </w:r>
      <w:bookmarkEnd w:id="15"/>
    </w:p>
    <w:p w14:paraId="305B097D">
      <w:pPr>
        <w:pStyle w:val="2"/>
        <w:ind w:left="0" w:leftChars="0" w:firstLine="640" w:firstLineChars="200"/>
        <w:rPr>
          <w:rFonts w:hint="default" w:ascii="Times New Roman" w:hAnsi="Times New Roman" w:eastAsia="仿宋_GB2312" w:cs="Times New Roman"/>
          <w:color w:val="333333"/>
          <w:sz w:val="32"/>
          <w:szCs w:val="32"/>
        </w:rPr>
      </w:pPr>
      <w:bookmarkStart w:id="16" w:name="_Toc68703842"/>
      <w:r>
        <w:rPr>
          <w:rFonts w:hint="eastAsia" w:ascii="Times New Roman" w:eastAsia="仿宋_GB2312" w:cs="Times New Roman"/>
          <w:color w:val="333333"/>
          <w:sz w:val="32"/>
          <w:szCs w:val="32"/>
          <w:lang w:val="en-US" w:eastAsia="zh-CN"/>
        </w:rPr>
        <w:t>1</w:t>
      </w:r>
      <w:r>
        <w:rPr>
          <w:rFonts w:hint="default" w:ascii="Times New Roman" w:hAnsi="Times New Roman" w:eastAsia="仿宋_GB2312" w:cs="Times New Roman"/>
          <w:color w:val="333333"/>
          <w:sz w:val="32"/>
          <w:szCs w:val="32"/>
        </w:rPr>
        <w:t>、</w:t>
      </w:r>
      <w:r>
        <w:rPr>
          <w:rFonts w:hint="eastAsia" w:ascii="Times New Roman" w:hAnsi="Times New Roman" w:eastAsia="仿宋_GB2312" w:cs="Times New Roman"/>
          <w:color w:val="333333"/>
          <w:sz w:val="32"/>
          <w:szCs w:val="32"/>
          <w:lang w:val="en-US" w:eastAsia="zh-CN"/>
        </w:rPr>
        <w:t>效益</w:t>
      </w:r>
      <w:r>
        <w:rPr>
          <w:rFonts w:hint="default" w:ascii="Times New Roman" w:hAnsi="Times New Roman" w:eastAsia="仿宋_GB2312" w:cs="Times New Roman"/>
          <w:color w:val="333333"/>
          <w:sz w:val="32"/>
          <w:szCs w:val="32"/>
        </w:rPr>
        <w:t>指标：指标1：</w:t>
      </w:r>
      <w:r>
        <w:rPr>
          <w:rFonts w:hint="eastAsia" w:cs="Times New Roman"/>
          <w:color w:val="333333"/>
          <w:sz w:val="32"/>
          <w:szCs w:val="32"/>
          <w:lang w:val="en-US" w:eastAsia="zh-CN"/>
        </w:rPr>
        <w:t>提高老干部生活质量</w:t>
      </w:r>
      <w:r>
        <w:rPr>
          <w:rFonts w:hint="default" w:ascii="Times New Roman" w:hAnsi="Times New Roman" w:eastAsia="仿宋_GB2312" w:cs="Times New Roman"/>
          <w:color w:val="333333"/>
          <w:sz w:val="32"/>
          <w:szCs w:val="32"/>
        </w:rPr>
        <w:t>，指标值：</w:t>
      </w:r>
      <w:r>
        <w:rPr>
          <w:rFonts w:hint="eastAsia" w:ascii="Times New Roman" w:hAnsi="Times New Roman" w:cs="Times New Roman"/>
          <w:color w:val="333333"/>
          <w:sz w:val="32"/>
          <w:szCs w:val="32"/>
          <w:lang w:val="en-US" w:eastAsia="zh-CN"/>
        </w:rPr>
        <w:t>有所提高</w:t>
      </w:r>
      <w:r>
        <w:rPr>
          <w:rFonts w:hint="default" w:ascii="Times New Roman" w:hAnsi="Times New Roman" w:eastAsia="仿宋_GB2312" w:cs="Times New Roman"/>
          <w:color w:val="333333"/>
          <w:sz w:val="32"/>
          <w:szCs w:val="32"/>
        </w:rPr>
        <w:t xml:space="preserve"> ，实际完成值</w:t>
      </w:r>
      <w:r>
        <w:rPr>
          <w:rFonts w:hint="eastAsia" w:ascii="Times New Roman" w:hAnsi="Times New Roman" w:cs="Times New Roman"/>
          <w:color w:val="333333"/>
          <w:sz w:val="32"/>
          <w:szCs w:val="32"/>
          <w:lang w:val="en-US" w:eastAsia="zh-CN"/>
        </w:rPr>
        <w:t>达成目标</w:t>
      </w:r>
      <w:r>
        <w:rPr>
          <w:rFonts w:hint="default" w:ascii="Times New Roman" w:hAnsi="Times New Roman" w:eastAsia="仿宋_GB2312" w:cs="Times New Roman"/>
          <w:color w:val="333333"/>
          <w:sz w:val="32"/>
          <w:szCs w:val="32"/>
        </w:rPr>
        <w:t>，指标完成率10</w:t>
      </w:r>
      <w:r>
        <w:rPr>
          <w:rFonts w:hint="default" w:ascii="Times New Roman" w:hAnsi="Times New Roman" w:eastAsia="仿宋_GB2312" w:cs="Times New Roman"/>
          <w:color w:val="333333"/>
          <w:sz w:val="32"/>
          <w:szCs w:val="32"/>
          <w:lang w:val="en-US" w:eastAsia="zh-CN"/>
        </w:rPr>
        <w:t>0</w:t>
      </w:r>
      <w:r>
        <w:rPr>
          <w:rFonts w:hint="default" w:ascii="Times New Roman" w:hAnsi="Times New Roman" w:eastAsia="仿宋_GB2312" w:cs="Times New Roman"/>
          <w:color w:val="333333"/>
          <w:sz w:val="32"/>
          <w:szCs w:val="32"/>
        </w:rPr>
        <w:t>%。</w:t>
      </w:r>
    </w:p>
    <w:p w14:paraId="66B608A8">
      <w:pPr>
        <w:pStyle w:val="2"/>
        <w:ind w:left="0" w:leftChars="0" w:firstLine="640" w:firstLineChars="200"/>
        <w:rPr>
          <w:rFonts w:hint="default" w:ascii="Times New Roman" w:hAnsi="Times New Roman" w:eastAsia="仿宋_GB2312" w:cs="Times New Roman"/>
          <w:color w:val="333333"/>
          <w:sz w:val="32"/>
          <w:szCs w:val="32"/>
        </w:rPr>
      </w:pPr>
      <w:r>
        <w:rPr>
          <w:rFonts w:hint="eastAsia" w:ascii="Times New Roman" w:eastAsia="仿宋_GB2312" w:cs="Times New Roman"/>
          <w:color w:val="333333"/>
          <w:sz w:val="32"/>
          <w:szCs w:val="32"/>
          <w:lang w:val="en-US" w:eastAsia="zh-CN"/>
        </w:rPr>
        <w:t>2</w:t>
      </w:r>
      <w:r>
        <w:rPr>
          <w:rFonts w:hint="default" w:ascii="Times New Roman" w:hAnsi="Times New Roman" w:eastAsia="仿宋_GB2312" w:cs="Times New Roman"/>
          <w:color w:val="333333"/>
          <w:sz w:val="32"/>
          <w:szCs w:val="32"/>
        </w:rPr>
        <w:t>、</w:t>
      </w:r>
      <w:r>
        <w:rPr>
          <w:rFonts w:hint="eastAsia" w:ascii="Times New Roman" w:hAnsi="Times New Roman" w:eastAsia="仿宋_GB2312" w:cs="Times New Roman"/>
          <w:color w:val="333333"/>
          <w:sz w:val="32"/>
          <w:szCs w:val="32"/>
          <w:lang w:val="en-US" w:eastAsia="zh-CN"/>
        </w:rPr>
        <w:t>满意度</w:t>
      </w:r>
      <w:r>
        <w:rPr>
          <w:rFonts w:hint="default" w:ascii="Times New Roman" w:hAnsi="Times New Roman" w:eastAsia="仿宋_GB2312" w:cs="Times New Roman"/>
          <w:color w:val="333333"/>
          <w:sz w:val="32"/>
          <w:szCs w:val="32"/>
        </w:rPr>
        <w:t>指标：指标1：</w:t>
      </w:r>
      <w:r>
        <w:rPr>
          <w:rFonts w:hint="eastAsia" w:cs="Times New Roman"/>
          <w:color w:val="333333"/>
          <w:sz w:val="32"/>
          <w:szCs w:val="32"/>
          <w:lang w:val="en-US" w:eastAsia="zh-CN"/>
        </w:rPr>
        <w:t>老干部满意度</w:t>
      </w:r>
      <w:r>
        <w:rPr>
          <w:rFonts w:hint="default" w:ascii="Times New Roman" w:hAnsi="Times New Roman" w:eastAsia="仿宋_GB2312" w:cs="Times New Roman"/>
          <w:color w:val="333333"/>
          <w:sz w:val="32"/>
          <w:szCs w:val="32"/>
        </w:rPr>
        <w:t>，指标值： ≥95% ，实际完成值</w:t>
      </w:r>
      <w:r>
        <w:rPr>
          <w:rFonts w:hint="eastAsia" w:cs="Times New Roman"/>
          <w:color w:val="333333"/>
          <w:sz w:val="32"/>
          <w:szCs w:val="32"/>
          <w:lang w:val="en-US" w:eastAsia="zh-CN"/>
        </w:rPr>
        <w:t>=95</w:t>
      </w:r>
      <w:r>
        <w:rPr>
          <w:rFonts w:hint="default" w:ascii="Times New Roman" w:hAnsi="Times New Roman" w:eastAsia="仿宋_GB2312" w:cs="Times New Roman"/>
          <w:color w:val="333333"/>
          <w:sz w:val="32"/>
          <w:szCs w:val="32"/>
        </w:rPr>
        <w:t>%，指标完成率10</w:t>
      </w:r>
      <w:r>
        <w:rPr>
          <w:rFonts w:hint="default" w:ascii="Times New Roman" w:hAnsi="Times New Roman" w:eastAsia="仿宋_GB2312" w:cs="Times New Roman"/>
          <w:color w:val="333333"/>
          <w:sz w:val="32"/>
          <w:szCs w:val="32"/>
          <w:lang w:val="en-US" w:eastAsia="zh-CN"/>
        </w:rPr>
        <w:t>0</w:t>
      </w:r>
      <w:r>
        <w:rPr>
          <w:rFonts w:hint="default" w:ascii="Times New Roman" w:hAnsi="Times New Roman" w:eastAsia="仿宋_GB2312" w:cs="Times New Roman"/>
          <w:color w:val="333333"/>
          <w:sz w:val="32"/>
          <w:szCs w:val="32"/>
        </w:rPr>
        <w:t>%。</w:t>
      </w:r>
    </w:p>
    <w:p w14:paraId="27623AAE">
      <w:pPr>
        <w:pStyle w:val="4"/>
        <w:keepNext/>
        <w:keepLines/>
        <w:pageBreakBefore w:val="0"/>
        <w:widowControl w:val="0"/>
        <w:kinsoku/>
        <w:wordWrap/>
        <w:overflowPunct/>
        <w:topLinePunct w:val="0"/>
        <w:autoSpaceDE/>
        <w:autoSpaceDN/>
        <w:bidi w:val="0"/>
        <w:adjustRightInd/>
        <w:snapToGrid/>
        <w:spacing w:before="0" w:after="0" w:line="560" w:lineRule="atLeast"/>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五、主要经验及做法、存在的问题及原因分析</w:t>
      </w:r>
      <w:bookmarkEnd w:id="16"/>
    </w:p>
    <w:p w14:paraId="11A45650">
      <w:pPr>
        <w:pStyle w:val="5"/>
        <w:keepNext/>
        <w:keepLines/>
        <w:pageBreakBefore w:val="0"/>
        <w:widowControl w:val="0"/>
        <w:kinsoku/>
        <w:wordWrap/>
        <w:overflowPunct/>
        <w:topLinePunct w:val="0"/>
        <w:autoSpaceDE/>
        <w:autoSpaceDN/>
        <w:bidi w:val="0"/>
        <w:adjustRightInd/>
        <w:snapToGrid/>
        <w:spacing w:before="0" w:after="0" w:line="560" w:lineRule="atLeast"/>
        <w:textAlignment w:val="auto"/>
        <w:rPr>
          <w:rFonts w:hint="default" w:ascii="Times New Roman" w:hAnsi="Times New Roman" w:eastAsia="仿宋_GB2312" w:cs="Times New Roman"/>
          <w:b w:val="0"/>
          <w:bCs w:val="0"/>
        </w:rPr>
      </w:pPr>
      <w:bookmarkStart w:id="17" w:name="_Toc68703843"/>
      <w:r>
        <w:rPr>
          <w:rFonts w:hint="default" w:ascii="Times New Roman" w:hAnsi="Times New Roman" w:eastAsia="仿宋_GB2312" w:cs="Times New Roman"/>
          <w:b w:val="0"/>
          <w:bCs w:val="0"/>
        </w:rPr>
        <w:t>（一）主要经验及做法</w:t>
      </w:r>
      <w:bookmarkEnd w:id="17"/>
    </w:p>
    <w:p w14:paraId="39EB3D41">
      <w:pPr>
        <w:spacing w:line="560" w:lineRule="exact"/>
        <w:ind w:firstLine="640" w:firstLineChars="200"/>
        <w:jc w:val="left"/>
        <w:rPr>
          <w:rFonts w:hint="default" w:ascii="Times New Roman" w:hAnsi="Times New Roman" w:eastAsia="仿宋_GB2312" w:cs="Times New Roman"/>
          <w:color w:val="333333"/>
          <w:sz w:val="32"/>
          <w:szCs w:val="32"/>
        </w:rPr>
      </w:pPr>
      <w:bookmarkStart w:id="18" w:name="_Toc68703844"/>
      <w:r>
        <w:rPr>
          <w:rFonts w:hint="default" w:ascii="Times New Roman" w:hAnsi="Times New Roman" w:eastAsia="仿宋_GB2312" w:cs="Times New Roman"/>
          <w:color w:val="333333"/>
          <w:sz w:val="32"/>
          <w:szCs w:val="32"/>
        </w:rPr>
        <w:t>1、项目实施过程中，按照年度计划规范地组织实施，有条不紊开展相关工作，并做好资料收集整理工作。</w:t>
      </w:r>
    </w:p>
    <w:p w14:paraId="51E24A7C">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2、加强领导，落实责任。单位领导高度重视，分工明确，工作进度做出具体规定，将责任落实到具体部门，工作落实到具体项目，确保自评工作组织到位，责任到位，项目到位。</w:t>
      </w:r>
    </w:p>
    <w:p w14:paraId="3B5A57DA">
      <w:pPr>
        <w:pStyle w:val="5"/>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（二）存在的问题及原因分析</w:t>
      </w:r>
      <w:bookmarkEnd w:id="18"/>
    </w:p>
    <w:p w14:paraId="54BE4209">
      <w:pPr>
        <w:spacing w:line="560" w:lineRule="exact"/>
        <w:ind w:firstLine="640" w:firstLineChars="200"/>
        <w:jc w:val="left"/>
        <w:rPr>
          <w:rFonts w:hint="eastAsia" w:cs="Times New Roman"/>
          <w:color w:val="333333"/>
          <w:sz w:val="32"/>
          <w:szCs w:val="32"/>
          <w:highlight w:val="none"/>
          <w:lang w:eastAsia="zh-CN"/>
        </w:rPr>
      </w:pPr>
      <w:bookmarkStart w:id="19" w:name="_Toc68703845"/>
      <w:r>
        <w:rPr>
          <w:rFonts w:hint="eastAsia" w:cs="Times New Roman"/>
          <w:color w:val="333333"/>
          <w:sz w:val="32"/>
          <w:szCs w:val="32"/>
          <w:highlight w:val="none"/>
          <w:lang w:val="en-US" w:eastAsia="zh-CN"/>
        </w:rPr>
        <w:t>存在问题：</w:t>
      </w:r>
      <w:r>
        <w:rPr>
          <w:rFonts w:hint="eastAsia" w:cs="Times New Roman"/>
          <w:color w:val="333333"/>
          <w:sz w:val="32"/>
          <w:szCs w:val="32"/>
          <w:highlight w:val="none"/>
          <w:lang w:eastAsia="zh-CN"/>
        </w:rPr>
        <w:t>财政绩效管理工作水平有提升空间。</w:t>
      </w:r>
    </w:p>
    <w:p w14:paraId="48C7EC18">
      <w:pPr>
        <w:spacing w:line="560" w:lineRule="exact"/>
        <w:ind w:firstLine="640" w:firstLineChars="200"/>
        <w:jc w:val="left"/>
        <w:rPr>
          <w:rFonts w:hint="default" w:ascii="Times New Roman" w:hAnsi="Times New Roman" w:eastAsia="仿宋_GB2312" w:cs="Times New Roman"/>
          <w:color w:val="333333"/>
          <w:sz w:val="32"/>
          <w:szCs w:val="32"/>
          <w:highlight w:val="yellow"/>
        </w:rPr>
      </w:pPr>
      <w:r>
        <w:rPr>
          <w:rFonts w:hint="eastAsia" w:cs="Times New Roman"/>
          <w:color w:val="333333"/>
          <w:sz w:val="32"/>
          <w:szCs w:val="32"/>
          <w:highlight w:val="none"/>
          <w:lang w:val="en-US" w:eastAsia="zh-CN"/>
        </w:rPr>
        <w:t>原因分析：</w:t>
      </w:r>
      <w:r>
        <w:rPr>
          <w:rFonts w:hint="eastAsia" w:cs="Times New Roman"/>
          <w:color w:val="333333"/>
          <w:sz w:val="32"/>
          <w:szCs w:val="32"/>
          <w:highlight w:val="none"/>
          <w:lang w:eastAsia="zh-CN"/>
        </w:rPr>
        <w:t>应加强财政支出绩效管理要求学习，建立科学的财政资金效益考评制度体系，不断完善绩效评价体系及工作流程，提供财政资金使用水平和效率。</w:t>
      </w:r>
    </w:p>
    <w:p w14:paraId="28A5C7B2">
      <w:pPr>
        <w:pStyle w:val="4"/>
        <w:keepNext/>
        <w:keepLines/>
        <w:pageBreakBefore w:val="0"/>
        <w:widowControl w:val="0"/>
        <w:numPr>
          <w:ilvl w:val="0"/>
          <w:numId w:val="1"/>
        </w:numPr>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有关建议</w:t>
      </w:r>
      <w:bookmarkEnd w:id="19"/>
    </w:p>
    <w:p w14:paraId="4C039CEE">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15F45AB0">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sz w:val="32"/>
          <w:szCs w:val="32"/>
        </w:rPr>
      </w:pPr>
      <w:bookmarkStart w:id="20" w:name="_Toc68703846"/>
      <w:r>
        <w:rPr>
          <w:rFonts w:hint="default" w:ascii="Times New Roman" w:hAnsi="Times New Roman" w:eastAsia="宋体" w:cs="Times New Roman"/>
          <w:sz w:val="32"/>
          <w:szCs w:val="32"/>
        </w:rPr>
        <w:t>七、其他需要说明的问题</w:t>
      </w:r>
      <w:bookmarkEnd w:id="20"/>
    </w:p>
    <w:p w14:paraId="46FA9DE6">
      <w:pPr>
        <w:spacing w:line="560" w:lineRule="exact"/>
        <w:ind w:firstLine="640" w:firstLineChars="200"/>
        <w:jc w:val="left"/>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本次预算绩效评价所采集的数据因为采集时间、数据来源等诸多因素的影响，可能会出现一定的偏差，进而对评价结果存在影响。</w:t>
      </w:r>
    </w:p>
    <w:p w14:paraId="2B089104">
      <w:pPr>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7C3263"/>
    <w:multiLevelType w:val="singleLevel"/>
    <w:tmpl w:val="507C326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RkZmFhYWJhYWJjZGI0ZmFjMzU1ZGNhMjg1MzU1Y2IifQ=="/>
  </w:docVars>
  <w:rsids>
    <w:rsidRoot w:val="007D49C5"/>
    <w:rsid w:val="000B223C"/>
    <w:rsid w:val="00376D6A"/>
    <w:rsid w:val="004850D4"/>
    <w:rsid w:val="00571796"/>
    <w:rsid w:val="00614288"/>
    <w:rsid w:val="007D49C5"/>
    <w:rsid w:val="008032CD"/>
    <w:rsid w:val="008464B5"/>
    <w:rsid w:val="008C631D"/>
    <w:rsid w:val="00977705"/>
    <w:rsid w:val="00987A38"/>
    <w:rsid w:val="00A56B3B"/>
    <w:rsid w:val="00BA7845"/>
    <w:rsid w:val="00EF1FE3"/>
    <w:rsid w:val="03CE3F23"/>
    <w:rsid w:val="05077533"/>
    <w:rsid w:val="0FE40FD8"/>
    <w:rsid w:val="15DA37C6"/>
    <w:rsid w:val="17B051D1"/>
    <w:rsid w:val="2732278A"/>
    <w:rsid w:val="27740C1D"/>
    <w:rsid w:val="298151AD"/>
    <w:rsid w:val="2FF900D1"/>
    <w:rsid w:val="30F623FB"/>
    <w:rsid w:val="3A097B12"/>
    <w:rsid w:val="3E006EF8"/>
    <w:rsid w:val="3F3020FF"/>
    <w:rsid w:val="43AF005F"/>
    <w:rsid w:val="48BA40C3"/>
    <w:rsid w:val="512F0C70"/>
    <w:rsid w:val="56CB143B"/>
    <w:rsid w:val="5CCF4EA9"/>
    <w:rsid w:val="622575EA"/>
    <w:rsid w:val="62445BA9"/>
    <w:rsid w:val="64095FF1"/>
    <w:rsid w:val="653032BB"/>
    <w:rsid w:val="69F42DC0"/>
    <w:rsid w:val="6B155799"/>
    <w:rsid w:val="758D42E3"/>
    <w:rsid w:val="78F23079"/>
    <w:rsid w:val="7D8A5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unhideWhenUsed/>
    <w:qFormat/>
    <w:uiPriority w:val="99"/>
    <w:pPr>
      <w:spacing w:after="120" w:line="312" w:lineRule="auto"/>
      <w:ind w:left="420" w:leftChars="200" w:firstLine="420"/>
    </w:pPr>
    <w:rPr>
      <w:rFonts w:eastAsia="宋体"/>
      <w:sz w:val="24"/>
    </w:rPr>
  </w:style>
  <w:style w:type="paragraph" w:styleId="3">
    <w:name w:val="Body Text Indent"/>
    <w:basedOn w:val="1"/>
    <w:autoRedefine/>
    <w:unhideWhenUsed/>
    <w:qFormat/>
    <w:uiPriority w:val="99"/>
    <w:pPr>
      <w:spacing w:line="360" w:lineRule="auto"/>
      <w:ind w:firstLine="468"/>
    </w:pPr>
    <w:rPr>
      <w:rFonts w:ascii="宋体"/>
      <w:bCs/>
      <w:sz w:val="2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5">
    <w:name w:val="标题 1 字符"/>
    <w:basedOn w:val="13"/>
    <w:link w:val="4"/>
    <w:autoRedefine/>
    <w:qFormat/>
    <w:uiPriority w:val="9"/>
    <w:rPr>
      <w:rFonts w:ascii="Times New Roman" w:hAnsi="Times New Roman" w:eastAsia="仿宋_GB2312" w:cs="Times New Roman"/>
      <w:b/>
      <w:bCs/>
      <w:kern w:val="44"/>
      <w:sz w:val="44"/>
      <w:szCs w:val="44"/>
    </w:rPr>
  </w:style>
  <w:style w:type="character" w:customStyle="1" w:styleId="16">
    <w:name w:val="标题 2 字符"/>
    <w:basedOn w:val="13"/>
    <w:link w:val="5"/>
    <w:autoRedefine/>
    <w:qFormat/>
    <w:uiPriority w:val="9"/>
    <w:rPr>
      <w:rFonts w:asciiTheme="majorHAnsi" w:hAnsiTheme="majorHAnsi" w:eastAsiaTheme="majorEastAsia" w:cstheme="majorBidi"/>
      <w:b/>
      <w:bCs/>
      <w:sz w:val="32"/>
      <w:szCs w:val="32"/>
    </w:rPr>
  </w:style>
  <w:style w:type="paragraph" w:customStyle="1" w:styleId="17">
    <w:name w:val="TOC Heading"/>
    <w:basedOn w:val="4"/>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3"/>
    <w:link w:val="7"/>
    <w:autoRedefine/>
    <w:qFormat/>
    <w:uiPriority w:val="99"/>
    <w:rPr>
      <w:rFonts w:ascii="Times New Roman" w:hAnsi="Times New Roman" w:eastAsia="仿宋_GB2312" w:cs="Times New Roman"/>
      <w:sz w:val="18"/>
      <w:szCs w:val="18"/>
    </w:rPr>
  </w:style>
  <w:style w:type="character" w:customStyle="1" w:styleId="19">
    <w:name w:val="页脚 字符"/>
    <w:basedOn w:val="13"/>
    <w:link w:val="6"/>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1097</Words>
  <Characters>6259</Characters>
  <Lines>52</Lines>
  <Paragraphs>14</Paragraphs>
  <TotalTime>13</TotalTime>
  <ScaleCrop>false</ScaleCrop>
  <LinksUpToDate>false</LinksUpToDate>
  <CharactersWithSpaces>7342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2025-02-07T05:51:00Z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