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385" w:type="dxa"/>
        <w:jc w:val="center"/>
        <w:shd w:val="clear" w:color="auto" w:fill="auto"/>
        <w:tblLayout w:type="fixed"/>
        <w:tblCellMar>
          <w:top w:w="0" w:type="dxa"/>
          <w:left w:w="0" w:type="dxa"/>
          <w:bottom w:w="0" w:type="dxa"/>
          <w:right w:w="0" w:type="dxa"/>
        </w:tblCellMar>
      </w:tblPr>
      <w:tblGrid>
        <w:gridCol w:w="3309"/>
        <w:gridCol w:w="269"/>
        <w:gridCol w:w="4089"/>
        <w:gridCol w:w="287"/>
        <w:gridCol w:w="1431"/>
      </w:tblGrid>
      <w:tr>
        <w:tblPrEx>
          <w:shd w:val="clear" w:color="auto" w:fill="auto"/>
          <w:tblCellMar>
            <w:top w:w="0" w:type="dxa"/>
            <w:left w:w="0" w:type="dxa"/>
            <w:bottom w:w="0" w:type="dxa"/>
            <w:right w:w="0" w:type="dxa"/>
          </w:tblCellMar>
        </w:tblPrEx>
        <w:trPr>
          <w:trHeight w:val="570" w:hRule="atLeast"/>
          <w:jc w:val="center"/>
        </w:trPr>
        <w:tc>
          <w:tcPr>
            <w:tcW w:w="938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4"/>
                <w:szCs w:val="44"/>
                <w:u w:val="none"/>
              </w:rPr>
            </w:pPr>
            <w:r>
              <w:rPr>
                <w:rFonts w:hint="eastAsia" w:ascii="方正小标宋_GBK" w:hAnsi="宋体" w:eastAsia="方正小标宋_GBK" w:cs="宋体"/>
                <w:bCs/>
                <w:color w:val="000000"/>
                <w:kern w:val="0"/>
                <w:sz w:val="44"/>
                <w:szCs w:val="44"/>
                <w:lang w:val="en-US" w:eastAsia="zh-CN"/>
              </w:rPr>
              <w:t>孤儿生活补贴申报流程图</w:t>
            </w:r>
          </w:p>
        </w:tc>
      </w:tr>
      <w:tr>
        <w:tblPrEx>
          <w:shd w:val="clear" w:color="auto" w:fill="auto"/>
          <w:tblCellMar>
            <w:top w:w="0" w:type="dxa"/>
            <w:left w:w="0" w:type="dxa"/>
            <w:bottom w:w="0" w:type="dxa"/>
            <w:right w:w="0" w:type="dxa"/>
          </w:tblCellMar>
        </w:tblPrEx>
        <w:trPr>
          <w:trHeight w:val="1040" w:hRule="atLeast"/>
          <w:jc w:val="center"/>
        </w:trPr>
        <w:tc>
          <w:tcPr>
            <w:tcW w:w="33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提交材料：</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8"/>
                <w:szCs w:val="28"/>
                <w:u w:val="none"/>
              </w:rPr>
            </w:pPr>
            <w:r>
              <w:rPr>
                <w:rStyle w:val="26"/>
                <w:lang w:val="en-US" w:eastAsia="zh-CN" w:bidi="ar"/>
              </w:rPr>
              <w:t>1、孤儿监护人申领孤儿基本生活费的书面申请材料；2、孤儿及其居住家庭户口簿、家庭成员身份证原件及两份复印件；3、孤儿父母死亡证明或法院宣告孤儿父母死亡或失踪的证明原件及两份复印件；4、孤儿半身免冠1寸或2寸照片两张；5、孤儿监护人填写《孤儿基本生活费发放申请审批表》一式两份。</w:t>
            </w:r>
          </w:p>
        </w:tc>
        <w:tc>
          <w:tcPr>
            <w:tcW w:w="2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宋体" w:hAnsi="宋体" w:eastAsia="宋体" w:cs="宋体"/>
                <w:b/>
                <w:i w:val="0"/>
                <w:color w:val="000000"/>
                <w:sz w:val="28"/>
                <w:szCs w:val="28"/>
                <w:u w:val="none"/>
              </w:rPr>
            </w:pPr>
            <w:r>
              <w:rPr>
                <w:rFonts w:ascii="宋体" w:hAnsi="宋体" w:eastAsia="宋体" w:cs="宋体"/>
                <w:b/>
                <w:i w:val="0"/>
                <w:color w:val="000000"/>
                <w:kern w:val="0"/>
                <w:sz w:val="28"/>
                <w:szCs w:val="28"/>
                <w:u w:val="none"/>
                <w:lang w:val="en-US" w:eastAsia="zh-CN" w:bidi="ar"/>
              </w:rPr>
              <w:t>－</w:t>
            </w:r>
          </w:p>
        </w:tc>
        <w:tc>
          <w:tcPr>
            <w:tcW w:w="40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儿童监护人（申请）</w:t>
            </w:r>
            <w:r>
              <w:rPr>
                <w:rStyle w:val="27"/>
                <w:lang w:val="en-US" w:eastAsia="zh-CN" w:bidi="ar"/>
              </w:rPr>
              <w:t>提出书面申请。</w:t>
            </w:r>
          </w:p>
        </w:tc>
        <w:tc>
          <w:tcPr>
            <w:tcW w:w="2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宋体" w:hAnsi="宋体" w:eastAsia="宋体" w:cs="宋体"/>
                <w:b/>
                <w:i w:val="0"/>
                <w:color w:val="000000"/>
                <w:sz w:val="28"/>
                <w:szCs w:val="28"/>
                <w:u w:val="none"/>
              </w:rPr>
            </w:pPr>
            <w:r>
              <w:rPr>
                <w:rFonts w:ascii="宋体" w:hAnsi="宋体" w:eastAsia="宋体" w:cs="宋体"/>
                <w:b/>
                <w:i w:val="0"/>
                <w:color w:val="000000"/>
                <w:kern w:val="0"/>
                <w:sz w:val="28"/>
                <w:szCs w:val="28"/>
                <w:u w:val="none"/>
                <w:lang w:val="en-US" w:eastAsia="zh-CN" w:bidi="ar"/>
              </w:rPr>
              <w:t>－</w:t>
            </w:r>
          </w:p>
        </w:tc>
        <w:tc>
          <w:tcPr>
            <w:tcW w:w="143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申请条件：                       </w:t>
            </w:r>
            <w:r>
              <w:rPr>
                <w:rStyle w:val="28"/>
                <w:i w:val="0"/>
                <w:color w:val="000000"/>
                <w:lang w:val="en-US" w:eastAsia="zh-CN" w:bidi="ar"/>
              </w:rPr>
              <w:t>1、具有焉耆户口；                   2、失去父母、查找不到生父母的未满18周岁的未成年人。</w:t>
            </w:r>
          </w:p>
        </w:tc>
      </w:tr>
      <w:tr>
        <w:tblPrEx>
          <w:shd w:val="clear" w:color="auto" w:fill="auto"/>
          <w:tblCellMar>
            <w:top w:w="0" w:type="dxa"/>
            <w:left w:w="0" w:type="dxa"/>
            <w:bottom w:w="0" w:type="dxa"/>
            <w:right w:w="0" w:type="dxa"/>
          </w:tblCellMar>
        </w:tblPrEx>
        <w:trPr>
          <w:trHeight w:val="480" w:hRule="atLeast"/>
          <w:jc w:val="center"/>
        </w:trPr>
        <w:tc>
          <w:tcPr>
            <w:tcW w:w="33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sz w:val="28"/>
                <w:szCs w:val="28"/>
                <w:u w:val="none"/>
              </w:rPr>
            </w:pPr>
          </w:p>
        </w:tc>
        <w:tc>
          <w:tcPr>
            <w:tcW w:w="2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28"/>
                <w:szCs w:val="28"/>
                <w:u w:val="none"/>
              </w:rPr>
            </w:pPr>
          </w:p>
        </w:tc>
        <w:tc>
          <w:tcPr>
            <w:tcW w:w="408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w:t>
            </w:r>
          </w:p>
        </w:tc>
        <w:tc>
          <w:tcPr>
            <w:tcW w:w="2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28"/>
                <w:szCs w:val="28"/>
                <w:u w:val="none"/>
              </w:rPr>
            </w:pPr>
          </w:p>
        </w:tc>
        <w:tc>
          <w:tcPr>
            <w:tcW w:w="143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1940" w:hRule="atLeast"/>
          <w:jc w:val="center"/>
        </w:trPr>
        <w:tc>
          <w:tcPr>
            <w:tcW w:w="33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sz w:val="28"/>
                <w:szCs w:val="28"/>
                <w:u w:val="none"/>
              </w:rPr>
            </w:pPr>
          </w:p>
        </w:tc>
        <w:tc>
          <w:tcPr>
            <w:tcW w:w="2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28"/>
                <w:szCs w:val="28"/>
                <w:u w:val="none"/>
              </w:rPr>
            </w:pPr>
          </w:p>
        </w:tc>
        <w:tc>
          <w:tcPr>
            <w:tcW w:w="40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村（居）委会、（初审）</w:t>
            </w:r>
            <w:r>
              <w:rPr>
                <w:rStyle w:val="28"/>
                <w:lang w:val="en-US" w:eastAsia="zh-CN" w:bidi="ar"/>
              </w:rPr>
              <w:t>通过调查初审，对符合条件的在10个工作日内，将《审批表》连同证明材料报乡镇场审核。</w:t>
            </w:r>
          </w:p>
        </w:tc>
        <w:tc>
          <w:tcPr>
            <w:tcW w:w="2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28"/>
                <w:szCs w:val="28"/>
                <w:u w:val="none"/>
              </w:rPr>
            </w:pPr>
          </w:p>
        </w:tc>
        <w:tc>
          <w:tcPr>
            <w:tcW w:w="143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520" w:hRule="atLeast"/>
          <w:jc w:val="center"/>
        </w:trPr>
        <w:tc>
          <w:tcPr>
            <w:tcW w:w="33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sz w:val="28"/>
                <w:szCs w:val="28"/>
                <w:u w:val="none"/>
              </w:rPr>
            </w:pPr>
          </w:p>
        </w:tc>
        <w:tc>
          <w:tcPr>
            <w:tcW w:w="2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28"/>
                <w:szCs w:val="28"/>
                <w:u w:val="none"/>
              </w:rPr>
            </w:pPr>
          </w:p>
        </w:tc>
        <w:tc>
          <w:tcPr>
            <w:tcW w:w="408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w:t>
            </w:r>
          </w:p>
        </w:tc>
        <w:tc>
          <w:tcPr>
            <w:tcW w:w="2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28"/>
                <w:szCs w:val="28"/>
                <w:u w:val="none"/>
              </w:rPr>
            </w:pPr>
          </w:p>
        </w:tc>
        <w:tc>
          <w:tcPr>
            <w:tcW w:w="143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3060" w:hRule="atLeast"/>
          <w:jc w:val="center"/>
        </w:trPr>
        <w:tc>
          <w:tcPr>
            <w:tcW w:w="33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sz w:val="28"/>
                <w:szCs w:val="28"/>
                <w:u w:val="none"/>
              </w:rPr>
            </w:pPr>
          </w:p>
        </w:tc>
        <w:tc>
          <w:tcPr>
            <w:tcW w:w="2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28"/>
                <w:szCs w:val="28"/>
                <w:u w:val="none"/>
              </w:rPr>
            </w:pPr>
          </w:p>
        </w:tc>
        <w:tc>
          <w:tcPr>
            <w:tcW w:w="40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乡镇人民政府（审核）</w:t>
            </w:r>
            <w:r>
              <w:rPr>
                <w:rStyle w:val="26"/>
                <w:lang w:val="en-US" w:eastAsia="zh-CN" w:bidi="ar"/>
              </w:rPr>
              <w:t>通过召集民政、纪检、村居委会等部门在10个工作日内，对申请人和孤儿进行审核，对符合条件的，在《审批表》上签署意见，连同相关证明材料一并报县民政局审批。</w:t>
            </w:r>
          </w:p>
        </w:tc>
        <w:tc>
          <w:tcPr>
            <w:tcW w:w="2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28"/>
                <w:szCs w:val="28"/>
                <w:u w:val="none"/>
              </w:rPr>
            </w:pPr>
          </w:p>
        </w:tc>
        <w:tc>
          <w:tcPr>
            <w:tcW w:w="1431" w:type="dxa"/>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301" w:hRule="atLeast"/>
          <w:jc w:val="center"/>
        </w:trPr>
        <w:tc>
          <w:tcPr>
            <w:tcW w:w="3309" w:type="dxa"/>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269" w:type="dxa"/>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4089" w:type="dxa"/>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w:t>
            </w:r>
          </w:p>
        </w:tc>
        <w:tc>
          <w:tcPr>
            <w:tcW w:w="287" w:type="dxa"/>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31" w:type="dxa"/>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952" w:hRule="atLeast"/>
          <w:jc w:val="center"/>
        </w:trPr>
        <w:tc>
          <w:tcPr>
            <w:tcW w:w="9385"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color w:val="000000"/>
                <w:sz w:val="28"/>
                <w:szCs w:val="28"/>
                <w:u w:val="none"/>
              </w:rPr>
            </w:pPr>
            <w:r>
              <w:rPr>
                <w:rFonts w:hint="eastAsia" w:ascii="宋体" w:hAnsi="宋体" w:eastAsia="宋体" w:cs="宋体"/>
                <w:b/>
                <w:i w:val="0"/>
                <w:color w:val="000000"/>
                <w:kern w:val="0"/>
                <w:sz w:val="28"/>
                <w:szCs w:val="28"/>
                <w:u w:val="none"/>
                <w:lang w:val="en-US" w:eastAsia="zh-CN" w:bidi="ar"/>
              </w:rPr>
              <w:t>县民政局（审批）</w:t>
            </w:r>
            <w:r>
              <w:rPr>
                <w:rStyle w:val="26"/>
                <w:lang w:val="en-US" w:eastAsia="zh-CN" w:bidi="ar"/>
              </w:rPr>
              <w:t>对上报的证明材料在10个工作日内进行审批，符合条件的孤儿，填写《孤儿生活费发放花名册》制定孤儿生活费发放方案，提交财政局，散居孤儿通过财政“一卡通”次月开始发放生活补贴；集中孤儿拨入民政局财政大平台。</w:t>
            </w:r>
          </w:p>
        </w:tc>
      </w:tr>
      <w:tr>
        <w:tblPrEx>
          <w:shd w:val="clear" w:color="auto" w:fill="auto"/>
          <w:tblCellMar>
            <w:top w:w="0" w:type="dxa"/>
            <w:left w:w="0" w:type="dxa"/>
            <w:bottom w:w="0" w:type="dxa"/>
            <w:right w:w="0" w:type="dxa"/>
          </w:tblCellMar>
        </w:tblPrEx>
        <w:trPr>
          <w:trHeight w:val="1588" w:hRule="atLeast"/>
          <w:jc w:val="center"/>
        </w:trPr>
        <w:tc>
          <w:tcPr>
            <w:tcW w:w="9385" w:type="dxa"/>
            <w:gridSpan w:val="5"/>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lang w:val="en-US" w:eastAsia="zh-CN"/>
              </w:rPr>
            </w:pPr>
            <w:r>
              <w:rPr>
                <w:rFonts w:hint="eastAsia"/>
                <w:lang w:val="en-US" w:eastAsia="zh-CN"/>
              </w:rPr>
              <w:t>监督电话：0996-6029966  风 险 点：加强动态管理</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lang w:val="en-US" w:eastAsia="zh-CN"/>
              </w:rPr>
            </w:pPr>
            <w:r>
              <w:rPr>
                <w:rFonts w:hint="eastAsia"/>
                <w:lang w:val="en-US" w:eastAsia="zh-CN"/>
              </w:rPr>
              <w:t>政策依据：《新疆维吾尔自治区发放孤儿基本生活费实施方案》</w:t>
            </w:r>
          </w:p>
          <w:p>
            <w:pPr>
              <w:pStyle w:val="2"/>
              <w:rPr>
                <w:rFonts w:hint="eastAsia"/>
              </w:rPr>
            </w:pPr>
            <w:r>
              <w:rPr>
                <w:rFonts w:hint="eastAsia"/>
                <w:lang w:val="en-US" w:eastAsia="zh-CN"/>
              </w:rPr>
              <w:t>办理时限：自受理之日起1个月内办结</w:t>
            </w:r>
          </w:p>
        </w:tc>
      </w:tr>
    </w:tbl>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rPr>
          <w:rFonts w:hint="eastAsia"/>
          <w:lang w:val="en-US" w:eastAsia="zh-CN"/>
        </w:rPr>
      </w:pPr>
      <w:bookmarkStart w:id="0" w:name="_GoBack"/>
      <w:bookmarkEnd w:id="0"/>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DF1A8A"/>
    <w:rsid w:val="05914092"/>
    <w:rsid w:val="06B01930"/>
    <w:rsid w:val="06E2798B"/>
    <w:rsid w:val="081A6A0F"/>
    <w:rsid w:val="0831084F"/>
    <w:rsid w:val="09750C0F"/>
    <w:rsid w:val="09954E0D"/>
    <w:rsid w:val="0AFA5870"/>
    <w:rsid w:val="0C4325E9"/>
    <w:rsid w:val="0FD61CDB"/>
    <w:rsid w:val="12AC38F3"/>
    <w:rsid w:val="13CC3B21"/>
    <w:rsid w:val="15712BD2"/>
    <w:rsid w:val="1BEA723A"/>
    <w:rsid w:val="1E2C58E8"/>
    <w:rsid w:val="1EE44415"/>
    <w:rsid w:val="201900EE"/>
    <w:rsid w:val="225B49EE"/>
    <w:rsid w:val="22A04AF7"/>
    <w:rsid w:val="23F23130"/>
    <w:rsid w:val="240864B0"/>
    <w:rsid w:val="261750D0"/>
    <w:rsid w:val="2A6745D9"/>
    <w:rsid w:val="2B3E30FF"/>
    <w:rsid w:val="2CB25B52"/>
    <w:rsid w:val="2CDF621C"/>
    <w:rsid w:val="30827BB0"/>
    <w:rsid w:val="33FB7DDF"/>
    <w:rsid w:val="34C1631B"/>
    <w:rsid w:val="35AA386B"/>
    <w:rsid w:val="3C4B11D8"/>
    <w:rsid w:val="3DCB6A74"/>
    <w:rsid w:val="3E62598D"/>
    <w:rsid w:val="3F9B3B57"/>
    <w:rsid w:val="41096FFA"/>
    <w:rsid w:val="421C2FA7"/>
    <w:rsid w:val="42C817D4"/>
    <w:rsid w:val="449A71A0"/>
    <w:rsid w:val="4924528A"/>
    <w:rsid w:val="4A1706AD"/>
    <w:rsid w:val="4A914BA1"/>
    <w:rsid w:val="4ECA053C"/>
    <w:rsid w:val="4EDD03B5"/>
    <w:rsid w:val="51501312"/>
    <w:rsid w:val="51E000E1"/>
    <w:rsid w:val="524158FF"/>
    <w:rsid w:val="578C6B18"/>
    <w:rsid w:val="593C6E20"/>
    <w:rsid w:val="5A046F80"/>
    <w:rsid w:val="5A635D2C"/>
    <w:rsid w:val="5B070568"/>
    <w:rsid w:val="5C7B120D"/>
    <w:rsid w:val="5ED149F5"/>
    <w:rsid w:val="5EFD5664"/>
    <w:rsid w:val="5FE33352"/>
    <w:rsid w:val="623C31ED"/>
    <w:rsid w:val="629848C7"/>
    <w:rsid w:val="63356DBA"/>
    <w:rsid w:val="656B238C"/>
    <w:rsid w:val="6C07486C"/>
    <w:rsid w:val="6FD63D9F"/>
    <w:rsid w:val="709B5583"/>
    <w:rsid w:val="71497B20"/>
    <w:rsid w:val="71883D59"/>
    <w:rsid w:val="71B65790"/>
    <w:rsid w:val="72121874"/>
    <w:rsid w:val="723F3102"/>
    <w:rsid w:val="72D74F98"/>
    <w:rsid w:val="73263829"/>
    <w:rsid w:val="733F0D8F"/>
    <w:rsid w:val="73506AF8"/>
    <w:rsid w:val="74B66E2F"/>
    <w:rsid w:val="75812F99"/>
    <w:rsid w:val="7AD718A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115</Characters>
  <Lines>1</Lines>
  <Paragraphs>1</Paragraphs>
  <TotalTime>0</TotalTime>
  <ScaleCrop>false</ScaleCrop>
  <LinksUpToDate>false</LinksUpToDate>
  <CharactersWithSpaces>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EC1598E03CF943D2B5C614A212B303B4_13</vt:lpwstr>
  </property>
</Properties>
</file>