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566" w:leftChars="177"/>
        <w:jc w:val="left"/>
        <w:rPr>
          <w:rFonts w:ascii="黑体" w:hAnsi="黑体" w:eastAsia="黑体"/>
          <w:szCs w:val="32"/>
        </w:rPr>
      </w:pPr>
      <w:r>
        <w:rPr>
          <w:rFonts w:hint="eastAsia" w:ascii="黑体" w:hAnsi="黑体" w:eastAsia="黑体"/>
          <w:szCs w:val="32"/>
        </w:rPr>
        <w:t xml:space="preserve"> </w:t>
      </w:r>
      <w:r>
        <w:rPr>
          <w:rFonts w:hint="eastAsia" w:ascii="黑体" w:hAnsi="黑体" w:eastAsia="黑体"/>
          <w:szCs w:val="32"/>
        </w:rPr>
        <w:tab/>
      </w: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焉耆回族自治县</w:t>
      </w:r>
      <w:r>
        <w:rPr>
          <w:rFonts w:hint="eastAsia" w:ascii="方正小标宋简体" w:eastAsia="方正小标宋简体"/>
          <w:sz w:val="44"/>
          <w:szCs w:val="44"/>
        </w:rPr>
        <w:t>烟草专卖局</w:t>
      </w:r>
      <w:r>
        <w:rPr>
          <w:rFonts w:hint="eastAsia" w:ascii="方正小标宋简体" w:eastAsia="方正小标宋简体"/>
          <w:sz w:val="44"/>
          <w:szCs w:val="44"/>
          <w:lang w:val="en-US" w:eastAsia="zh-CN"/>
        </w:rPr>
        <w:t>2026年度双</w:t>
      </w:r>
      <w:r>
        <w:rPr>
          <w:rFonts w:hint="eastAsia" w:ascii="方正小标宋简体" w:eastAsia="方正小标宋简体"/>
          <w:sz w:val="44"/>
          <w:szCs w:val="44"/>
        </w:rPr>
        <w:t>随机抽查事项清单</w:t>
      </w:r>
    </w:p>
    <w:tbl>
      <w:tblPr>
        <w:tblStyle w:val="6"/>
        <w:tblW w:w="15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992"/>
        <w:gridCol w:w="1134"/>
        <w:gridCol w:w="1134"/>
        <w:gridCol w:w="1559"/>
        <w:gridCol w:w="1134"/>
        <w:gridCol w:w="1276"/>
        <w:gridCol w:w="3544"/>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vAlign w:val="center"/>
          </w:tcPr>
          <w:p>
            <w:pPr>
              <w:jc w:val="center"/>
              <w:rPr>
                <w:rFonts w:ascii="黑体" w:hAnsi="黑体" w:eastAsia="黑体"/>
                <w:b/>
                <w:spacing w:val="-20"/>
                <w:kern w:val="0"/>
                <w:sz w:val="24"/>
              </w:rPr>
            </w:pPr>
            <w:r>
              <w:rPr>
                <w:rFonts w:ascii="黑体" w:hAnsi="黑体" w:eastAsia="黑体"/>
                <w:b/>
                <w:spacing w:val="-20"/>
                <w:kern w:val="0"/>
                <w:sz w:val="24"/>
              </w:rPr>
              <w:t>序号</w:t>
            </w:r>
          </w:p>
        </w:tc>
        <w:tc>
          <w:tcPr>
            <w:tcW w:w="1843" w:type="dxa"/>
            <w:gridSpan w:val="2"/>
          </w:tcPr>
          <w:p>
            <w:pPr>
              <w:jc w:val="center"/>
              <w:rPr>
                <w:rFonts w:ascii="黑体" w:hAnsi="黑体" w:eastAsia="黑体"/>
                <w:b/>
                <w:spacing w:val="-20"/>
                <w:kern w:val="0"/>
                <w:sz w:val="24"/>
              </w:rPr>
            </w:pPr>
            <w:r>
              <w:rPr>
                <w:rFonts w:ascii="黑体" w:hAnsi="黑体" w:eastAsia="黑体"/>
                <w:b/>
                <w:spacing w:val="-20"/>
                <w:kern w:val="0"/>
                <w:sz w:val="24"/>
              </w:rPr>
              <w:t>抽查项目</w:t>
            </w:r>
          </w:p>
        </w:tc>
        <w:tc>
          <w:tcPr>
            <w:tcW w:w="1134" w:type="dxa"/>
            <w:vMerge w:val="restart"/>
            <w:vAlign w:val="center"/>
          </w:tcPr>
          <w:p>
            <w:pPr>
              <w:jc w:val="center"/>
              <w:rPr>
                <w:rFonts w:ascii="黑体" w:hAnsi="黑体" w:eastAsia="黑体"/>
                <w:b/>
                <w:spacing w:val="-20"/>
                <w:kern w:val="0"/>
                <w:sz w:val="24"/>
              </w:rPr>
            </w:pPr>
            <w:r>
              <w:rPr>
                <w:rFonts w:ascii="黑体" w:hAnsi="黑体" w:eastAsia="黑体"/>
                <w:b/>
                <w:spacing w:val="-20"/>
                <w:kern w:val="0"/>
                <w:sz w:val="24"/>
              </w:rPr>
              <w:t>检查对象</w:t>
            </w:r>
          </w:p>
        </w:tc>
        <w:tc>
          <w:tcPr>
            <w:tcW w:w="1134" w:type="dxa"/>
            <w:vMerge w:val="restart"/>
            <w:vAlign w:val="center"/>
          </w:tcPr>
          <w:p>
            <w:pPr>
              <w:jc w:val="center"/>
              <w:rPr>
                <w:rFonts w:ascii="黑体" w:hAnsi="黑体" w:eastAsia="黑体"/>
                <w:b/>
                <w:spacing w:val="-20"/>
                <w:kern w:val="0"/>
                <w:sz w:val="24"/>
              </w:rPr>
            </w:pPr>
            <w:r>
              <w:rPr>
                <w:rFonts w:ascii="黑体" w:hAnsi="黑体" w:eastAsia="黑体"/>
                <w:b/>
                <w:spacing w:val="-20"/>
                <w:kern w:val="0"/>
                <w:sz w:val="24"/>
              </w:rPr>
              <w:t>事项类别</w:t>
            </w:r>
          </w:p>
        </w:tc>
        <w:tc>
          <w:tcPr>
            <w:tcW w:w="1559" w:type="dxa"/>
            <w:vMerge w:val="restart"/>
            <w:vAlign w:val="center"/>
          </w:tcPr>
          <w:p>
            <w:pPr>
              <w:jc w:val="center"/>
              <w:rPr>
                <w:rFonts w:ascii="黑体" w:hAnsi="黑体" w:eastAsia="黑体"/>
                <w:b/>
                <w:spacing w:val="-20"/>
                <w:kern w:val="0"/>
                <w:sz w:val="24"/>
              </w:rPr>
            </w:pPr>
            <w:r>
              <w:rPr>
                <w:rFonts w:ascii="黑体" w:hAnsi="黑体" w:eastAsia="黑体"/>
                <w:b/>
                <w:spacing w:val="-20"/>
                <w:kern w:val="0"/>
                <w:sz w:val="24"/>
              </w:rPr>
              <w:t>检查方式</w:t>
            </w:r>
          </w:p>
        </w:tc>
        <w:tc>
          <w:tcPr>
            <w:tcW w:w="1134" w:type="dxa"/>
            <w:vMerge w:val="restart"/>
            <w:vAlign w:val="center"/>
          </w:tcPr>
          <w:p>
            <w:pPr>
              <w:jc w:val="center"/>
              <w:rPr>
                <w:rFonts w:ascii="黑体" w:hAnsi="黑体" w:eastAsia="黑体"/>
                <w:b/>
                <w:spacing w:val="-20"/>
                <w:kern w:val="0"/>
                <w:sz w:val="24"/>
              </w:rPr>
            </w:pPr>
            <w:r>
              <w:rPr>
                <w:rFonts w:ascii="黑体" w:hAnsi="黑体" w:eastAsia="黑体"/>
                <w:b/>
                <w:spacing w:val="-20"/>
                <w:kern w:val="0"/>
                <w:sz w:val="24"/>
              </w:rPr>
              <w:t>检查主体</w:t>
            </w:r>
          </w:p>
        </w:tc>
        <w:tc>
          <w:tcPr>
            <w:tcW w:w="1276" w:type="dxa"/>
            <w:vMerge w:val="restart"/>
            <w:vAlign w:val="center"/>
          </w:tcPr>
          <w:p>
            <w:pPr>
              <w:jc w:val="center"/>
              <w:rPr>
                <w:rFonts w:ascii="黑体" w:hAnsi="黑体" w:eastAsia="黑体"/>
                <w:b/>
                <w:spacing w:val="-20"/>
                <w:kern w:val="0"/>
                <w:sz w:val="24"/>
              </w:rPr>
            </w:pPr>
            <w:r>
              <w:rPr>
                <w:rFonts w:ascii="黑体" w:hAnsi="黑体" w:eastAsia="黑体"/>
                <w:b/>
                <w:spacing w:val="-20"/>
                <w:kern w:val="0"/>
                <w:sz w:val="24"/>
              </w:rPr>
              <w:t>检查频次</w:t>
            </w:r>
          </w:p>
        </w:tc>
        <w:tc>
          <w:tcPr>
            <w:tcW w:w="3544" w:type="dxa"/>
            <w:vMerge w:val="restart"/>
            <w:vAlign w:val="center"/>
          </w:tcPr>
          <w:p>
            <w:pPr>
              <w:jc w:val="center"/>
              <w:rPr>
                <w:rFonts w:ascii="黑体" w:hAnsi="黑体" w:eastAsia="黑体"/>
                <w:b/>
                <w:spacing w:val="-20"/>
                <w:kern w:val="0"/>
                <w:sz w:val="24"/>
              </w:rPr>
            </w:pPr>
            <w:r>
              <w:rPr>
                <w:rFonts w:ascii="黑体" w:hAnsi="黑体" w:eastAsia="黑体"/>
                <w:b/>
                <w:spacing w:val="-20"/>
                <w:kern w:val="0"/>
                <w:sz w:val="24"/>
              </w:rPr>
              <w:t>检查内容</w:t>
            </w:r>
          </w:p>
        </w:tc>
        <w:tc>
          <w:tcPr>
            <w:tcW w:w="2977" w:type="dxa"/>
            <w:vMerge w:val="restart"/>
            <w:vAlign w:val="center"/>
          </w:tcPr>
          <w:p>
            <w:pPr>
              <w:jc w:val="center"/>
              <w:rPr>
                <w:rFonts w:ascii="黑体" w:hAnsi="黑体" w:eastAsia="黑体"/>
                <w:b/>
                <w:spacing w:val="-20"/>
                <w:kern w:val="0"/>
                <w:sz w:val="24"/>
              </w:rPr>
            </w:pPr>
            <w:r>
              <w:rPr>
                <w:rFonts w:ascii="黑体" w:hAnsi="黑体" w:eastAsia="黑体"/>
                <w:b/>
                <w:spacing w:val="-20"/>
                <w:kern w:val="0"/>
                <w:sz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vAlign w:val="center"/>
          </w:tcPr>
          <w:p>
            <w:pPr>
              <w:jc w:val="center"/>
              <w:rPr>
                <w:rFonts w:ascii="黑体" w:hAnsi="黑体" w:eastAsia="黑体"/>
                <w:b/>
                <w:spacing w:val="-20"/>
                <w:kern w:val="0"/>
                <w:sz w:val="24"/>
              </w:rPr>
            </w:pPr>
          </w:p>
        </w:tc>
        <w:tc>
          <w:tcPr>
            <w:tcW w:w="851" w:type="dxa"/>
            <w:vAlign w:val="center"/>
          </w:tcPr>
          <w:p>
            <w:pPr>
              <w:jc w:val="center"/>
              <w:rPr>
                <w:rFonts w:ascii="黑体" w:hAnsi="黑体" w:eastAsia="黑体"/>
                <w:b/>
                <w:spacing w:val="-20"/>
                <w:kern w:val="0"/>
                <w:sz w:val="24"/>
              </w:rPr>
            </w:pPr>
            <w:r>
              <w:rPr>
                <w:rFonts w:hint="eastAsia" w:ascii="黑体" w:hAnsi="黑体" w:eastAsia="黑体"/>
                <w:b/>
                <w:spacing w:val="-20"/>
                <w:kern w:val="0"/>
                <w:sz w:val="24"/>
              </w:rPr>
              <w:t>抽查类别</w:t>
            </w:r>
          </w:p>
        </w:tc>
        <w:tc>
          <w:tcPr>
            <w:tcW w:w="992" w:type="dxa"/>
            <w:vAlign w:val="center"/>
          </w:tcPr>
          <w:p>
            <w:pPr>
              <w:jc w:val="center"/>
              <w:rPr>
                <w:rFonts w:ascii="黑体" w:hAnsi="黑体" w:eastAsia="黑体"/>
                <w:b/>
                <w:spacing w:val="-20"/>
                <w:kern w:val="0"/>
                <w:sz w:val="24"/>
              </w:rPr>
            </w:pPr>
            <w:r>
              <w:rPr>
                <w:rFonts w:hint="eastAsia" w:ascii="黑体" w:hAnsi="黑体" w:eastAsia="黑体"/>
                <w:b/>
                <w:spacing w:val="-20"/>
                <w:kern w:val="0"/>
                <w:sz w:val="24"/>
              </w:rPr>
              <w:t>检查事项</w:t>
            </w:r>
          </w:p>
        </w:tc>
        <w:tc>
          <w:tcPr>
            <w:tcW w:w="1134" w:type="dxa"/>
            <w:vMerge w:val="continue"/>
            <w:vAlign w:val="center"/>
          </w:tcPr>
          <w:p>
            <w:pPr>
              <w:jc w:val="center"/>
              <w:rPr>
                <w:rFonts w:ascii="黑体" w:hAnsi="黑体" w:eastAsia="黑体"/>
                <w:b/>
                <w:spacing w:val="-20"/>
                <w:kern w:val="0"/>
                <w:sz w:val="24"/>
              </w:rPr>
            </w:pPr>
          </w:p>
        </w:tc>
        <w:tc>
          <w:tcPr>
            <w:tcW w:w="1134" w:type="dxa"/>
            <w:vMerge w:val="continue"/>
            <w:vAlign w:val="center"/>
          </w:tcPr>
          <w:p>
            <w:pPr>
              <w:jc w:val="center"/>
              <w:rPr>
                <w:rFonts w:ascii="黑体" w:hAnsi="黑体" w:eastAsia="黑体"/>
                <w:b/>
                <w:spacing w:val="-20"/>
                <w:kern w:val="0"/>
                <w:sz w:val="24"/>
              </w:rPr>
            </w:pPr>
          </w:p>
        </w:tc>
        <w:tc>
          <w:tcPr>
            <w:tcW w:w="1559" w:type="dxa"/>
            <w:vMerge w:val="continue"/>
            <w:vAlign w:val="center"/>
          </w:tcPr>
          <w:p>
            <w:pPr>
              <w:jc w:val="center"/>
              <w:rPr>
                <w:rFonts w:ascii="黑体" w:hAnsi="黑体" w:eastAsia="黑体"/>
                <w:b/>
                <w:spacing w:val="-20"/>
                <w:kern w:val="0"/>
                <w:sz w:val="24"/>
              </w:rPr>
            </w:pPr>
          </w:p>
        </w:tc>
        <w:tc>
          <w:tcPr>
            <w:tcW w:w="1134" w:type="dxa"/>
            <w:vMerge w:val="continue"/>
            <w:vAlign w:val="center"/>
          </w:tcPr>
          <w:p>
            <w:pPr>
              <w:jc w:val="center"/>
              <w:rPr>
                <w:rFonts w:ascii="黑体" w:hAnsi="黑体" w:eastAsia="黑体"/>
                <w:b/>
                <w:spacing w:val="-20"/>
                <w:kern w:val="0"/>
                <w:sz w:val="24"/>
              </w:rPr>
            </w:pPr>
          </w:p>
        </w:tc>
        <w:tc>
          <w:tcPr>
            <w:tcW w:w="1276" w:type="dxa"/>
            <w:vMerge w:val="continue"/>
            <w:vAlign w:val="center"/>
          </w:tcPr>
          <w:p>
            <w:pPr>
              <w:jc w:val="center"/>
              <w:rPr>
                <w:rFonts w:ascii="黑体" w:hAnsi="黑体" w:eastAsia="黑体"/>
                <w:b/>
                <w:spacing w:val="-20"/>
                <w:kern w:val="0"/>
                <w:sz w:val="24"/>
              </w:rPr>
            </w:pPr>
          </w:p>
        </w:tc>
        <w:tc>
          <w:tcPr>
            <w:tcW w:w="3544" w:type="dxa"/>
            <w:vMerge w:val="continue"/>
            <w:vAlign w:val="center"/>
          </w:tcPr>
          <w:p>
            <w:pPr>
              <w:jc w:val="center"/>
              <w:rPr>
                <w:rFonts w:ascii="黑体" w:hAnsi="黑体" w:eastAsia="黑体"/>
                <w:b/>
                <w:spacing w:val="-20"/>
                <w:kern w:val="0"/>
                <w:sz w:val="24"/>
              </w:rPr>
            </w:pPr>
          </w:p>
        </w:tc>
        <w:tc>
          <w:tcPr>
            <w:tcW w:w="2977" w:type="dxa"/>
            <w:vMerge w:val="continue"/>
            <w:vAlign w:val="center"/>
          </w:tcPr>
          <w:p>
            <w:pPr>
              <w:jc w:val="center"/>
              <w:rPr>
                <w:rFonts w:ascii="黑体" w:hAnsi="黑体" w:eastAsia="黑体"/>
                <w:b/>
                <w:spacing w:val="-2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rFonts w:ascii="仿宋_GB2312" w:hAnsi="黑体" w:eastAsia="仿宋_GB2312"/>
                <w:spacing w:val="-20"/>
                <w:kern w:val="0"/>
                <w:sz w:val="24"/>
              </w:rPr>
            </w:pPr>
            <w:r>
              <w:rPr>
                <w:rFonts w:hint="eastAsia" w:ascii="仿宋_GB2312" w:hAnsi="黑体" w:eastAsia="仿宋_GB2312"/>
                <w:spacing w:val="-20"/>
                <w:kern w:val="0"/>
                <w:sz w:val="24"/>
              </w:rPr>
              <w:t>1</w:t>
            </w:r>
          </w:p>
        </w:tc>
        <w:tc>
          <w:tcPr>
            <w:tcW w:w="851" w:type="dxa"/>
            <w:vAlign w:val="center"/>
          </w:tcPr>
          <w:p>
            <w:pPr>
              <w:spacing w:line="320" w:lineRule="exact"/>
              <w:jc w:val="center"/>
              <w:rPr>
                <w:rFonts w:ascii="仿宋_GB2312" w:hAnsi="黑体" w:eastAsia="仿宋_GB2312"/>
                <w:spacing w:val="-20"/>
                <w:kern w:val="0"/>
                <w:sz w:val="24"/>
              </w:rPr>
            </w:pPr>
            <w:r>
              <w:rPr>
                <w:rFonts w:hint="eastAsia" w:ascii="宋体" w:hAnsi="宋体"/>
                <w:kern w:val="0"/>
                <w:sz w:val="21"/>
                <w:szCs w:val="21"/>
              </w:rPr>
              <w:t>零售市场秩序日常检查</w:t>
            </w:r>
          </w:p>
        </w:tc>
        <w:tc>
          <w:tcPr>
            <w:tcW w:w="992" w:type="dxa"/>
            <w:vAlign w:val="center"/>
          </w:tcPr>
          <w:p>
            <w:pPr>
              <w:spacing w:line="320" w:lineRule="exact"/>
              <w:jc w:val="center"/>
              <w:rPr>
                <w:rFonts w:ascii="仿宋_GB2312" w:hAnsi="宋体" w:eastAsia="仿宋_GB2312" w:cs="宋体"/>
                <w:spacing w:val="-20"/>
                <w:kern w:val="0"/>
                <w:sz w:val="24"/>
              </w:rPr>
            </w:pPr>
            <w:r>
              <w:rPr>
                <w:rFonts w:ascii="仿宋_GB2312" w:hAnsi="宋体" w:eastAsia="仿宋_GB2312" w:cs="宋体"/>
                <w:spacing w:val="-20"/>
                <w:kern w:val="0"/>
                <w:sz w:val="24"/>
              </w:rPr>
              <w:t>许可证管理、违法违规经营行为</w:t>
            </w:r>
          </w:p>
        </w:tc>
        <w:tc>
          <w:tcPr>
            <w:tcW w:w="1134" w:type="dxa"/>
            <w:vAlign w:val="center"/>
          </w:tcPr>
          <w:p>
            <w:pPr>
              <w:spacing w:line="320" w:lineRule="exact"/>
              <w:jc w:val="center"/>
              <w:rPr>
                <w:rFonts w:ascii="仿宋_GB2312" w:hAnsi="宋体" w:eastAsia="仿宋_GB2312" w:cs="宋体"/>
                <w:spacing w:val="-20"/>
                <w:kern w:val="0"/>
                <w:sz w:val="24"/>
              </w:rPr>
            </w:pPr>
            <w:r>
              <w:rPr>
                <w:rFonts w:hint="eastAsia" w:ascii="仿宋_GB2312" w:eastAsia="仿宋_GB2312"/>
                <w:spacing w:val="-20"/>
                <w:kern w:val="0"/>
                <w:sz w:val="24"/>
              </w:rPr>
              <w:t>在本行政区域区内从事卷烟零售业务的企业、单位、个人</w:t>
            </w:r>
          </w:p>
        </w:tc>
        <w:tc>
          <w:tcPr>
            <w:tcW w:w="1134" w:type="dxa"/>
            <w:vAlign w:val="center"/>
          </w:tcPr>
          <w:p>
            <w:pPr>
              <w:spacing w:line="320" w:lineRule="exact"/>
              <w:jc w:val="center"/>
              <w:rPr>
                <w:rFonts w:ascii="仿宋_GB2312" w:hAnsi="宋体" w:eastAsia="仿宋_GB2312" w:cs="宋体"/>
                <w:spacing w:val="-20"/>
                <w:kern w:val="0"/>
                <w:sz w:val="24"/>
              </w:rPr>
            </w:pPr>
            <w:r>
              <w:rPr>
                <w:rFonts w:hint="eastAsia" w:ascii="仿宋_GB2312" w:eastAsia="仿宋_GB2312"/>
                <w:spacing w:val="-20"/>
                <w:kern w:val="0"/>
                <w:sz w:val="24"/>
              </w:rPr>
              <w:t>重点检查事项</w:t>
            </w:r>
          </w:p>
        </w:tc>
        <w:tc>
          <w:tcPr>
            <w:tcW w:w="1559" w:type="dxa"/>
            <w:vAlign w:val="center"/>
          </w:tcPr>
          <w:p>
            <w:pPr>
              <w:spacing w:line="320" w:lineRule="exact"/>
              <w:jc w:val="center"/>
              <w:rPr>
                <w:rFonts w:ascii="仿宋_GB2312" w:hAnsi="宋体" w:eastAsia="仿宋_GB2312" w:cs="宋体"/>
                <w:spacing w:val="-20"/>
                <w:kern w:val="0"/>
                <w:sz w:val="24"/>
              </w:rPr>
            </w:pPr>
            <w:r>
              <w:rPr>
                <w:rFonts w:hint="eastAsia" w:ascii="仿宋_GB2312" w:eastAsia="仿宋_GB2312"/>
                <w:spacing w:val="-20"/>
                <w:kern w:val="0"/>
                <w:sz w:val="24"/>
              </w:rPr>
              <w:t>现场检查、网络检查、书面检查</w:t>
            </w:r>
          </w:p>
        </w:tc>
        <w:tc>
          <w:tcPr>
            <w:tcW w:w="1134" w:type="dxa"/>
            <w:vAlign w:val="center"/>
          </w:tcPr>
          <w:p>
            <w:pPr>
              <w:spacing w:line="320" w:lineRule="exact"/>
              <w:jc w:val="center"/>
              <w:rPr>
                <w:rFonts w:ascii="仿宋_GB2312" w:hAnsi="宋体" w:eastAsia="仿宋_GB2312" w:cs="宋体"/>
                <w:spacing w:val="-20"/>
                <w:kern w:val="0"/>
                <w:sz w:val="24"/>
              </w:rPr>
            </w:pPr>
            <w:r>
              <w:rPr>
                <w:rFonts w:hint="eastAsia" w:ascii="仿宋_GB2312" w:hAnsi="宋体" w:eastAsia="仿宋_GB2312" w:cs="宋体"/>
                <w:spacing w:val="-20"/>
                <w:kern w:val="0"/>
                <w:sz w:val="24"/>
              </w:rPr>
              <w:t>焉耆回族自治县</w:t>
            </w:r>
            <w:r>
              <w:rPr>
                <w:rFonts w:ascii="仿宋_GB2312" w:hAnsi="宋体" w:eastAsia="仿宋_GB2312" w:cs="宋体"/>
                <w:spacing w:val="-20"/>
                <w:kern w:val="0"/>
                <w:sz w:val="24"/>
              </w:rPr>
              <w:t>烟草专卖局</w:t>
            </w:r>
          </w:p>
        </w:tc>
        <w:tc>
          <w:tcPr>
            <w:tcW w:w="1276" w:type="dxa"/>
            <w:vAlign w:val="center"/>
          </w:tcPr>
          <w:p>
            <w:pPr>
              <w:spacing w:line="320" w:lineRule="exact"/>
              <w:jc w:val="center"/>
              <w:rPr>
                <w:rFonts w:ascii="仿宋_GB2312" w:eastAsia="仿宋_GB2312"/>
                <w:spacing w:val="-20"/>
                <w:kern w:val="0"/>
                <w:sz w:val="24"/>
              </w:rPr>
            </w:pPr>
            <w:r>
              <w:rPr>
                <w:rFonts w:hint="eastAsia" w:ascii="仿宋_GB2312" w:eastAsia="仿宋_GB2312"/>
                <w:spacing w:val="-20"/>
                <w:kern w:val="0"/>
                <w:sz w:val="24"/>
              </w:rPr>
              <w:t>每月按计划开展</w:t>
            </w:r>
          </w:p>
        </w:tc>
        <w:tc>
          <w:tcPr>
            <w:tcW w:w="3544" w:type="dxa"/>
            <w:vAlign w:val="center"/>
          </w:tcPr>
          <w:p>
            <w:pPr>
              <w:spacing w:line="320" w:lineRule="exact"/>
              <w:rPr>
                <w:rFonts w:ascii="仿宋_GB2312" w:eastAsia="仿宋_GB2312"/>
                <w:spacing w:val="-20"/>
                <w:kern w:val="0"/>
                <w:sz w:val="24"/>
              </w:rPr>
            </w:pPr>
            <w:r>
              <w:rPr>
                <w:rFonts w:hint="eastAsia" w:ascii="仿宋_GB2312" w:eastAsia="仿宋_GB2312"/>
                <w:spacing w:val="-20"/>
                <w:kern w:val="0"/>
                <w:sz w:val="24"/>
              </w:rPr>
              <w:t>1.无烟草专卖品准运证运输烟草专卖品；</w:t>
            </w:r>
          </w:p>
          <w:p>
            <w:pPr>
              <w:spacing w:line="320" w:lineRule="exact"/>
              <w:rPr>
                <w:rFonts w:ascii="仿宋_GB2312" w:eastAsia="仿宋_GB2312"/>
                <w:spacing w:val="-20"/>
                <w:kern w:val="0"/>
                <w:sz w:val="24"/>
              </w:rPr>
            </w:pPr>
            <w:r>
              <w:rPr>
                <w:rFonts w:hint="eastAsia" w:ascii="仿宋_GB2312" w:eastAsia="仿宋_GB2312"/>
                <w:spacing w:val="-20"/>
                <w:kern w:val="0"/>
                <w:sz w:val="24"/>
              </w:rPr>
              <w:t>2.无烟草专卖批发企业许可证经营烟草制品批发业务；</w:t>
            </w:r>
          </w:p>
          <w:p>
            <w:pPr>
              <w:spacing w:line="320" w:lineRule="exact"/>
              <w:rPr>
                <w:rFonts w:ascii="仿宋_GB2312" w:eastAsia="仿宋_GB2312"/>
                <w:spacing w:val="-20"/>
                <w:kern w:val="0"/>
                <w:sz w:val="24"/>
              </w:rPr>
            </w:pPr>
            <w:r>
              <w:rPr>
                <w:rFonts w:hint="eastAsia" w:ascii="仿宋_GB2312" w:eastAsia="仿宋_GB2312"/>
                <w:spacing w:val="-20"/>
                <w:kern w:val="0"/>
                <w:sz w:val="24"/>
              </w:rPr>
              <w:t>3.未在当地烟草专卖批发企业进货；</w:t>
            </w:r>
          </w:p>
          <w:p>
            <w:pPr>
              <w:spacing w:line="320" w:lineRule="exact"/>
              <w:rPr>
                <w:rFonts w:ascii="仿宋_GB2312" w:eastAsia="仿宋_GB2312"/>
                <w:spacing w:val="-20"/>
                <w:kern w:val="0"/>
                <w:sz w:val="24"/>
              </w:rPr>
            </w:pPr>
            <w:r>
              <w:rPr>
                <w:rFonts w:hint="eastAsia" w:ascii="仿宋_GB2312" w:eastAsia="仿宋_GB2312"/>
                <w:spacing w:val="-20"/>
                <w:kern w:val="0"/>
                <w:sz w:val="24"/>
              </w:rPr>
              <w:t>4.销售非法生产的烟草专卖品；</w:t>
            </w:r>
          </w:p>
          <w:p>
            <w:pPr>
              <w:spacing w:line="320" w:lineRule="exact"/>
              <w:rPr>
                <w:rFonts w:ascii="仿宋_GB2312" w:eastAsia="仿宋_GB2312"/>
                <w:spacing w:val="-20"/>
                <w:kern w:val="0"/>
                <w:sz w:val="24"/>
              </w:rPr>
            </w:pPr>
            <w:r>
              <w:rPr>
                <w:rFonts w:hint="eastAsia" w:ascii="仿宋_GB2312" w:eastAsia="仿宋_GB2312"/>
                <w:spacing w:val="-20"/>
                <w:kern w:val="0"/>
                <w:sz w:val="24"/>
              </w:rPr>
              <w:t>5.擅自跨省经营烟草制品批发业务；</w:t>
            </w:r>
          </w:p>
          <w:p>
            <w:pPr>
              <w:spacing w:line="320" w:lineRule="exact"/>
              <w:rPr>
                <w:rFonts w:ascii="仿宋_GB2312" w:eastAsia="仿宋_GB2312"/>
                <w:spacing w:val="-20"/>
                <w:kern w:val="0"/>
                <w:sz w:val="24"/>
              </w:rPr>
            </w:pPr>
            <w:r>
              <w:rPr>
                <w:rFonts w:hint="eastAsia" w:ascii="仿宋_GB2312" w:eastAsia="仿宋_GB2312"/>
                <w:spacing w:val="-20"/>
                <w:kern w:val="0"/>
                <w:sz w:val="24"/>
              </w:rPr>
              <w:t>6.不及时办理烟草专卖许可证变更、注销手续；</w:t>
            </w:r>
          </w:p>
          <w:p>
            <w:pPr>
              <w:spacing w:line="320" w:lineRule="exact"/>
              <w:rPr>
                <w:rFonts w:ascii="仿宋_GB2312" w:eastAsia="仿宋_GB2312"/>
                <w:spacing w:val="-20"/>
                <w:kern w:val="0"/>
                <w:sz w:val="24"/>
              </w:rPr>
            </w:pPr>
            <w:r>
              <w:rPr>
                <w:rFonts w:hint="eastAsia" w:ascii="仿宋_GB2312" w:eastAsia="仿宋_GB2312"/>
                <w:spacing w:val="-20"/>
                <w:kern w:val="0"/>
                <w:sz w:val="24"/>
              </w:rPr>
              <w:t>7.使用涂改、伪造、变造的烟草专卖许可证；</w:t>
            </w:r>
          </w:p>
          <w:p>
            <w:pPr>
              <w:spacing w:line="320" w:lineRule="exact"/>
              <w:rPr>
                <w:rFonts w:ascii="仿宋_GB2312" w:eastAsia="仿宋_GB2312"/>
                <w:spacing w:val="-20"/>
                <w:kern w:val="0"/>
                <w:sz w:val="24"/>
              </w:rPr>
            </w:pPr>
            <w:r>
              <w:rPr>
                <w:rFonts w:hint="eastAsia" w:ascii="仿宋_GB2312" w:eastAsia="仿宋_GB2312"/>
                <w:spacing w:val="-20"/>
                <w:kern w:val="0"/>
                <w:sz w:val="24"/>
              </w:rPr>
              <w:t>8.销售无标识外国卷烟、专供出口卷烟、没收的非法进口卷烟；</w:t>
            </w:r>
          </w:p>
          <w:p>
            <w:pPr>
              <w:spacing w:line="320" w:lineRule="exact"/>
              <w:rPr>
                <w:rFonts w:ascii="仿宋_GB2312" w:eastAsia="仿宋_GB2312"/>
                <w:spacing w:val="-20"/>
                <w:kern w:val="0"/>
                <w:sz w:val="24"/>
              </w:rPr>
            </w:pPr>
            <w:r>
              <w:rPr>
                <w:rFonts w:hint="eastAsia" w:ascii="仿宋_GB2312" w:eastAsia="仿宋_GB2312"/>
                <w:spacing w:val="-20"/>
                <w:kern w:val="0"/>
                <w:sz w:val="24"/>
              </w:rPr>
              <w:t>9.擅自收购烟叶；</w:t>
            </w:r>
          </w:p>
          <w:p>
            <w:pPr>
              <w:spacing w:line="320" w:lineRule="exact"/>
              <w:rPr>
                <w:rFonts w:ascii="仿宋_GB2312" w:eastAsia="仿宋_GB2312"/>
                <w:spacing w:val="-20"/>
                <w:kern w:val="0"/>
                <w:sz w:val="24"/>
              </w:rPr>
            </w:pPr>
            <w:r>
              <w:rPr>
                <w:rFonts w:hint="eastAsia" w:ascii="仿宋_GB2312" w:eastAsia="仿宋_GB2312"/>
                <w:spacing w:val="-20"/>
                <w:kern w:val="0"/>
                <w:sz w:val="24"/>
              </w:rPr>
              <w:t>10.无烟草专卖生产企业许可证生产烟草制品；</w:t>
            </w:r>
          </w:p>
          <w:p>
            <w:pPr>
              <w:spacing w:line="320" w:lineRule="exact"/>
              <w:rPr>
                <w:rFonts w:ascii="仿宋_GB2312" w:eastAsia="仿宋_GB2312"/>
                <w:spacing w:val="-20"/>
                <w:kern w:val="0"/>
                <w:sz w:val="24"/>
              </w:rPr>
            </w:pPr>
            <w:r>
              <w:rPr>
                <w:rFonts w:hint="eastAsia" w:ascii="仿宋_GB2312" w:eastAsia="仿宋_GB2312"/>
                <w:spacing w:val="-20"/>
                <w:kern w:val="0"/>
                <w:sz w:val="24"/>
              </w:rPr>
              <w:t>11.无烟草专卖生产企业许可证生产卷烟纸、滤嘴棒、烟用丝束、烟草专用机械；</w:t>
            </w:r>
          </w:p>
          <w:p>
            <w:pPr>
              <w:spacing w:line="320" w:lineRule="exact"/>
              <w:rPr>
                <w:rFonts w:ascii="仿宋_GB2312" w:eastAsia="仿宋_GB2312"/>
                <w:spacing w:val="-20"/>
                <w:kern w:val="0"/>
                <w:sz w:val="24"/>
              </w:rPr>
            </w:pPr>
            <w:r>
              <w:rPr>
                <w:rFonts w:hint="eastAsia" w:ascii="仿宋_GB2312" w:eastAsia="仿宋_GB2312"/>
                <w:spacing w:val="-20"/>
                <w:kern w:val="0"/>
                <w:sz w:val="24"/>
              </w:rPr>
              <w:t>12.超越烟草专卖批发企业许可证规定的经营范围和地域从事烟草制品批发业务。</w:t>
            </w:r>
          </w:p>
          <w:p>
            <w:pPr>
              <w:spacing w:line="320" w:lineRule="exact"/>
              <w:rPr>
                <w:rFonts w:hint="eastAsia" w:ascii="仿宋_GB2312" w:eastAsia="仿宋_GB2312"/>
                <w:spacing w:val="-20"/>
                <w:kern w:val="0"/>
                <w:sz w:val="24"/>
              </w:rPr>
            </w:pPr>
          </w:p>
        </w:tc>
        <w:tc>
          <w:tcPr>
            <w:tcW w:w="2977" w:type="dxa"/>
            <w:vAlign w:val="center"/>
          </w:tcPr>
          <w:p>
            <w:pPr>
              <w:spacing w:line="320" w:lineRule="exact"/>
              <w:rPr>
                <w:rFonts w:hint="eastAsia" w:ascii="仿宋_GB2312" w:eastAsia="仿宋_GB2312"/>
                <w:spacing w:val="-20"/>
                <w:kern w:val="0"/>
                <w:sz w:val="24"/>
              </w:rPr>
            </w:pPr>
            <w:r>
              <w:rPr>
                <w:rFonts w:hint="eastAsia" w:ascii="仿宋_GB2312" w:eastAsia="仿宋_GB2312"/>
                <w:kern w:val="0"/>
                <w:szCs w:val="32"/>
              </w:rPr>
              <w:t>《</w:t>
            </w:r>
            <w:r>
              <w:rPr>
                <w:rFonts w:hint="eastAsia" w:ascii="仿宋_GB2312" w:eastAsia="仿宋_GB2312"/>
                <w:spacing w:val="-20"/>
                <w:kern w:val="0"/>
                <w:sz w:val="24"/>
              </w:rPr>
              <w:t>中华人民共和国烟草专卖法》第十五条、第二十一条、第二十八条、第三十条第一款、第三十条第二款；</w:t>
            </w:r>
          </w:p>
          <w:p>
            <w:pPr>
              <w:spacing w:line="320" w:lineRule="exact"/>
              <w:rPr>
                <w:rFonts w:hint="eastAsia" w:ascii="仿宋_GB2312" w:eastAsia="仿宋_GB2312"/>
                <w:spacing w:val="-20"/>
                <w:kern w:val="0"/>
                <w:sz w:val="24"/>
              </w:rPr>
            </w:pPr>
            <w:r>
              <w:rPr>
                <w:rFonts w:hint="eastAsia" w:ascii="仿宋_GB2312" w:eastAsia="仿宋_GB2312"/>
                <w:spacing w:val="-20"/>
                <w:kern w:val="0"/>
                <w:sz w:val="24"/>
              </w:rPr>
              <w:t>《中华人民共和国烟草专卖法实施条例》第十二条第一款、第二十三条、第二十四条、第二十五条、第三十二条、第三十三条、第三十四条；</w:t>
            </w:r>
          </w:p>
          <w:p>
            <w:pPr>
              <w:spacing w:line="320" w:lineRule="exact"/>
              <w:rPr>
                <w:rFonts w:hint="eastAsia" w:ascii="仿宋_GB2312" w:eastAsia="仿宋_GB2312"/>
                <w:spacing w:val="-20"/>
                <w:kern w:val="0"/>
                <w:sz w:val="24"/>
              </w:rPr>
            </w:pPr>
            <w:r>
              <w:rPr>
                <w:rFonts w:hint="eastAsia" w:ascii="仿宋_GB2312" w:eastAsia="仿宋_GB2312"/>
                <w:spacing w:val="-20"/>
                <w:kern w:val="0"/>
                <w:sz w:val="24"/>
              </w:rPr>
              <w:t>《烟草专卖许可证管理办法》第四十一条、第四十二条；</w:t>
            </w:r>
          </w:p>
          <w:p>
            <w:pPr>
              <w:spacing w:line="320" w:lineRule="exact"/>
              <w:rPr>
                <w:rFonts w:hint="eastAsia" w:ascii="仿宋_GB2312" w:eastAsia="仿宋_GB2312"/>
                <w:spacing w:val="-20"/>
                <w:kern w:val="0"/>
                <w:sz w:val="24"/>
              </w:rPr>
            </w:pPr>
            <w:r>
              <w:rPr>
                <w:rFonts w:hint="eastAsia" w:ascii="仿宋_GB2312" w:eastAsia="仿宋_GB2312"/>
                <w:spacing w:val="-20"/>
                <w:kern w:val="0"/>
                <w:sz w:val="24"/>
              </w:rPr>
              <w:t>《关于严厉打击卷烟走私整顿卷烟市场通告》（国务院函[2000]13号批复）第二条。</w:t>
            </w:r>
          </w:p>
        </w:tc>
      </w:tr>
    </w:tbl>
    <w:p/>
    <w:sectPr>
      <w:pgSz w:w="16838" w:h="11906" w:orient="landscape"/>
      <w:pgMar w:top="720" w:right="720" w:bottom="720" w:left="72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1BB8"/>
    <w:rsid w:val="00174B3F"/>
    <w:rsid w:val="001A72BB"/>
    <w:rsid w:val="001E7B8B"/>
    <w:rsid w:val="002100D6"/>
    <w:rsid w:val="00224664"/>
    <w:rsid w:val="003F35A5"/>
    <w:rsid w:val="00655FC5"/>
    <w:rsid w:val="006A7D89"/>
    <w:rsid w:val="006B64CE"/>
    <w:rsid w:val="007C477C"/>
    <w:rsid w:val="007C7400"/>
    <w:rsid w:val="008138CF"/>
    <w:rsid w:val="00842D12"/>
    <w:rsid w:val="008C42ED"/>
    <w:rsid w:val="008F1AA4"/>
    <w:rsid w:val="00911197"/>
    <w:rsid w:val="00A0487A"/>
    <w:rsid w:val="00A21BB8"/>
    <w:rsid w:val="00CF792D"/>
    <w:rsid w:val="00D53545"/>
    <w:rsid w:val="00D579CD"/>
    <w:rsid w:val="00D90F0A"/>
    <w:rsid w:val="00E86692"/>
    <w:rsid w:val="00EA47CF"/>
    <w:rsid w:val="00F938EC"/>
    <w:rsid w:val="5973EC0C"/>
    <w:rsid w:val="F6FC29DB"/>
    <w:rsid w:val="F9F53B9E"/>
    <w:rsid w:val="FAFB98C0"/>
    <w:rsid w:val="FCFF3948"/>
    <w:rsid w:val="FFB73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191</Words>
  <Characters>1091</Characters>
  <Lines>9</Lines>
  <Paragraphs>2</Paragraphs>
  <TotalTime>6</TotalTime>
  <ScaleCrop>false</ScaleCrop>
  <LinksUpToDate>false</LinksUpToDate>
  <CharactersWithSpaces>1280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2021-03-21T04:36:00Z</dcterms:created>
  <dc:creator>包丽华</dc:creator>
  <cp:lastModifiedBy>kylin</cp:lastModifiedBy>
  <cp:lastPrinted>2021-03-21T05:42:00Z</cp:lastPrinted>
  <dcterms:modified xsi:type="dcterms:W3CDTF">2026-03-09T11:18:12Z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239BA4B9874054FE5DE7AD65DA9F22E2_42</vt:lpwstr>
  </property>
</Properties>
</file>