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38AAF">
      <w:pPr>
        <w:pageBreakBefore w:val="0"/>
        <w:kinsoku/>
        <w:wordWrap/>
        <w:overflowPunct/>
        <w:topLinePunct w:val="0"/>
        <w:autoSpaceDE/>
        <w:autoSpaceDN/>
        <w:bidi w:val="0"/>
        <w:adjustRightInd/>
        <w:ind w:left="0"/>
        <w:jc w:val="center"/>
        <w:textAlignment w:val="auto"/>
        <w:rPr>
          <w:rFonts w:ascii="宋体" w:hAnsi="宋体" w:eastAsia="宋体" w:cs="Arial"/>
          <w:b/>
          <w:bCs/>
          <w:sz w:val="48"/>
          <w:szCs w:val="48"/>
        </w:rPr>
      </w:pPr>
    </w:p>
    <w:p w14:paraId="459DD0BE">
      <w:pPr>
        <w:pageBreakBefore w:val="0"/>
        <w:kinsoku/>
        <w:wordWrap/>
        <w:overflowPunct/>
        <w:topLinePunct w:val="0"/>
        <w:autoSpaceDE/>
        <w:autoSpaceDN/>
        <w:bidi w:val="0"/>
        <w:adjustRightInd/>
        <w:ind w:left="0"/>
        <w:jc w:val="center"/>
        <w:textAlignment w:val="auto"/>
        <w:rPr>
          <w:rFonts w:ascii="宋体" w:hAnsi="宋体" w:eastAsia="宋体" w:cs="Arial"/>
          <w:b/>
          <w:bCs/>
          <w:sz w:val="48"/>
          <w:szCs w:val="48"/>
        </w:rPr>
      </w:pPr>
    </w:p>
    <w:p w14:paraId="48A9F548">
      <w:pPr>
        <w:pageBreakBefore w:val="0"/>
        <w:kinsoku/>
        <w:wordWrap/>
        <w:overflowPunct/>
        <w:topLinePunct w:val="0"/>
        <w:autoSpaceDE/>
        <w:autoSpaceDN/>
        <w:bidi w:val="0"/>
        <w:adjustRightInd/>
        <w:ind w:left="0"/>
        <w:jc w:val="center"/>
        <w:textAlignment w:val="auto"/>
        <w:rPr>
          <w:rFonts w:ascii="宋体" w:hAnsi="宋体" w:eastAsia="宋体" w:cs="Arial"/>
          <w:b/>
          <w:bCs/>
          <w:sz w:val="48"/>
          <w:szCs w:val="48"/>
        </w:rPr>
      </w:pPr>
    </w:p>
    <w:p w14:paraId="017CC90B">
      <w:pPr>
        <w:pageBreakBefore w:val="0"/>
        <w:kinsoku/>
        <w:wordWrap/>
        <w:overflowPunct/>
        <w:topLinePunct w:val="0"/>
        <w:autoSpaceDE/>
        <w:autoSpaceDN/>
        <w:bidi w:val="0"/>
        <w:adjustRightInd/>
        <w:ind w:left="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325FB2DC">
      <w:pPr>
        <w:pageBreakBefore w:val="0"/>
        <w:kinsoku/>
        <w:wordWrap/>
        <w:overflowPunct/>
        <w:topLinePunct w:val="0"/>
        <w:autoSpaceDE/>
        <w:autoSpaceDN/>
        <w:bidi w:val="0"/>
        <w:adjustRightInd/>
        <w:ind w:left="0"/>
        <w:jc w:val="center"/>
        <w:textAlignment w:val="auto"/>
        <w:rPr>
          <w:rFonts w:ascii="宋体" w:hAnsi="宋体" w:eastAsia="宋体" w:cs="Arial"/>
          <w:b/>
          <w:bCs/>
          <w:sz w:val="48"/>
          <w:szCs w:val="48"/>
        </w:rPr>
      </w:pPr>
    </w:p>
    <w:p w14:paraId="15CC6808">
      <w:pPr>
        <w:pageBreakBefore w:val="0"/>
        <w:widowControl/>
        <w:kinsoku/>
        <w:wordWrap/>
        <w:overflowPunct/>
        <w:topLinePunct w:val="0"/>
        <w:autoSpaceDE/>
        <w:autoSpaceDN/>
        <w:bidi w:val="0"/>
        <w:adjustRightInd/>
        <w:spacing w:line="560" w:lineRule="exact"/>
        <w:ind w:left="0"/>
        <w:jc w:val="center"/>
        <w:textAlignment w:val="auto"/>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w:t>
      </w:r>
      <w:r>
        <w:rPr>
          <w:rFonts w:hint="eastAsia" w:ascii="方正小标宋简体" w:hAnsi="方正小标宋简体" w:eastAsia="方正小标宋简体" w:cs="方正小标宋简体"/>
          <w:color w:val="000000"/>
          <w:kern w:val="0"/>
          <w:sz w:val="36"/>
          <w:szCs w:val="36"/>
          <w:lang w:val="en-US" w:eastAsia="zh-CN"/>
        </w:rPr>
        <w:t>2024</w:t>
      </w:r>
      <w:r>
        <w:rPr>
          <w:rFonts w:hint="eastAsia" w:ascii="方正小标宋简体" w:hAnsi="方正小标宋简体" w:eastAsia="方正小标宋简体" w:cs="方正小标宋简体"/>
          <w:color w:val="000000"/>
          <w:kern w:val="0"/>
          <w:sz w:val="36"/>
          <w:szCs w:val="36"/>
        </w:rPr>
        <w:t>年度）</w:t>
      </w:r>
    </w:p>
    <w:p w14:paraId="1B730BBC">
      <w:pPr>
        <w:pageBreakBefore w:val="0"/>
        <w:kinsoku/>
        <w:wordWrap/>
        <w:overflowPunct/>
        <w:topLinePunct w:val="0"/>
        <w:autoSpaceDE/>
        <w:autoSpaceDN/>
        <w:bidi w:val="0"/>
        <w:adjustRightInd/>
        <w:spacing w:line="480" w:lineRule="auto"/>
        <w:ind w:left="0"/>
        <w:jc w:val="center"/>
        <w:textAlignment w:val="auto"/>
        <w:rPr>
          <w:rFonts w:ascii="仿宋_GB2312" w:hAnsi="仿宋_GB2312" w:cs="仿宋_GB2312"/>
          <w:b/>
          <w:kern w:val="0"/>
          <w:sz w:val="50"/>
          <w:szCs w:val="50"/>
          <w:lang w:bidi="en-US"/>
        </w:rPr>
      </w:pPr>
    </w:p>
    <w:p w14:paraId="786A0A79">
      <w:pPr>
        <w:pageBreakBefore w:val="0"/>
        <w:kinsoku/>
        <w:wordWrap/>
        <w:overflowPunct/>
        <w:topLinePunct w:val="0"/>
        <w:autoSpaceDE/>
        <w:autoSpaceDN/>
        <w:bidi w:val="0"/>
        <w:adjustRightInd/>
        <w:spacing w:line="480" w:lineRule="auto"/>
        <w:ind w:left="0"/>
        <w:jc w:val="center"/>
        <w:textAlignment w:val="auto"/>
        <w:rPr>
          <w:rFonts w:ascii="仿宋_GB2312" w:hAnsi="仿宋_GB2312" w:cs="仿宋_GB2312"/>
          <w:b/>
          <w:kern w:val="0"/>
          <w:sz w:val="50"/>
          <w:szCs w:val="50"/>
          <w:lang w:bidi="en-US"/>
        </w:rPr>
      </w:pPr>
    </w:p>
    <w:p w14:paraId="4BE5CD42">
      <w:pPr>
        <w:pageBreakBefore w:val="0"/>
        <w:kinsoku/>
        <w:wordWrap/>
        <w:overflowPunct/>
        <w:topLinePunct w:val="0"/>
        <w:autoSpaceDE/>
        <w:autoSpaceDN/>
        <w:bidi w:val="0"/>
        <w:adjustRightInd/>
        <w:spacing w:line="480" w:lineRule="auto"/>
        <w:ind w:left="0"/>
        <w:jc w:val="center"/>
        <w:textAlignment w:val="auto"/>
        <w:rPr>
          <w:rFonts w:ascii="仿宋_GB2312" w:hAnsi="仿宋_GB2312" w:cs="仿宋_GB2312"/>
          <w:b/>
          <w:kern w:val="0"/>
          <w:sz w:val="50"/>
          <w:szCs w:val="50"/>
          <w:lang w:bidi="en-US"/>
        </w:rPr>
      </w:pPr>
    </w:p>
    <w:p w14:paraId="77307D23">
      <w:pPr>
        <w:pageBreakBefore w:val="0"/>
        <w:kinsoku/>
        <w:wordWrap/>
        <w:overflowPunct/>
        <w:topLinePunct w:val="0"/>
        <w:autoSpaceDE/>
        <w:autoSpaceDN/>
        <w:bidi w:val="0"/>
        <w:adjustRightInd/>
        <w:spacing w:line="480" w:lineRule="auto"/>
        <w:ind w:left="0"/>
        <w:jc w:val="center"/>
        <w:textAlignment w:val="auto"/>
        <w:rPr>
          <w:rFonts w:ascii="仿宋_GB2312" w:hAnsi="仿宋_GB2312" w:cs="仿宋_GB2312"/>
          <w:b/>
          <w:kern w:val="0"/>
          <w:sz w:val="50"/>
          <w:szCs w:val="50"/>
          <w:lang w:bidi="en-US"/>
        </w:rPr>
      </w:pPr>
    </w:p>
    <w:p w14:paraId="6125866C">
      <w:pPr>
        <w:pageBreakBefore w:val="0"/>
        <w:kinsoku/>
        <w:wordWrap/>
        <w:overflowPunct/>
        <w:topLinePunct w:val="0"/>
        <w:autoSpaceDE/>
        <w:autoSpaceDN/>
        <w:bidi w:val="0"/>
        <w:adjustRightInd/>
        <w:spacing w:line="480" w:lineRule="auto"/>
        <w:ind w:left="0"/>
        <w:jc w:val="center"/>
        <w:textAlignment w:val="auto"/>
        <w:rPr>
          <w:rFonts w:ascii="仿宋_GB2312" w:hAnsi="仿宋_GB2312" w:cs="仿宋_GB2312"/>
          <w:b/>
          <w:kern w:val="0"/>
          <w:sz w:val="50"/>
          <w:szCs w:val="50"/>
          <w:lang w:bidi="en-US"/>
        </w:rPr>
      </w:pPr>
    </w:p>
    <w:p w14:paraId="686EA9A9">
      <w:pPr>
        <w:pageBreakBefore w:val="0"/>
        <w:kinsoku/>
        <w:wordWrap/>
        <w:overflowPunct/>
        <w:topLinePunct w:val="0"/>
        <w:autoSpaceDE/>
        <w:autoSpaceDN/>
        <w:bidi w:val="0"/>
        <w:adjustRightInd/>
        <w:spacing w:line="560" w:lineRule="exact"/>
        <w:ind w:left="0" w:firstLine="321" w:firstLineChars="1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rPr>
        <w:t>永宁镇下岔河村人居环境整治项目</w:t>
      </w:r>
    </w:p>
    <w:p w14:paraId="7598FD93">
      <w:pPr>
        <w:pageBreakBefore w:val="0"/>
        <w:kinsoku/>
        <w:wordWrap/>
        <w:overflowPunct/>
        <w:topLinePunct w:val="0"/>
        <w:autoSpaceDE/>
        <w:autoSpaceDN/>
        <w:bidi w:val="0"/>
        <w:adjustRightInd/>
        <w:spacing w:line="560" w:lineRule="exact"/>
        <w:ind w:left="0" w:firstLine="321" w:firstLineChars="1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宋体"/>
          <w:kern w:val="0"/>
          <w:sz w:val="32"/>
          <w:szCs w:val="32"/>
        </w:rPr>
        <w:t>焉耆回族自治县永宁镇人民政府</w:t>
      </w:r>
    </w:p>
    <w:p w14:paraId="0FBE913A">
      <w:pPr>
        <w:pageBreakBefore w:val="0"/>
        <w:kinsoku/>
        <w:wordWrap/>
        <w:overflowPunct/>
        <w:topLinePunct w:val="0"/>
        <w:autoSpaceDE/>
        <w:autoSpaceDN/>
        <w:bidi w:val="0"/>
        <w:adjustRightInd/>
        <w:spacing w:line="560" w:lineRule="exact"/>
        <w:ind w:left="0" w:firstLine="321" w:firstLineChars="1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焉耆回族自治县永宁镇人民政府</w:t>
      </w:r>
    </w:p>
    <w:p w14:paraId="4C9D23A0">
      <w:pPr>
        <w:pageBreakBefore w:val="0"/>
        <w:kinsoku/>
        <w:wordWrap/>
        <w:overflowPunct/>
        <w:topLinePunct w:val="0"/>
        <w:autoSpaceDE/>
        <w:autoSpaceDN/>
        <w:bidi w:val="0"/>
        <w:adjustRightInd/>
        <w:spacing w:line="560" w:lineRule="exact"/>
        <w:ind w:left="0" w:firstLine="321" w:firstLineChars="1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白杰敏</w:t>
      </w:r>
    </w:p>
    <w:p w14:paraId="1F653007">
      <w:pPr>
        <w:pageBreakBefore w:val="0"/>
        <w:kinsoku/>
        <w:wordWrap/>
        <w:overflowPunct/>
        <w:topLinePunct w:val="0"/>
        <w:autoSpaceDE/>
        <w:autoSpaceDN/>
        <w:bidi w:val="0"/>
        <w:adjustRightInd/>
        <w:spacing w:line="560" w:lineRule="exact"/>
        <w:ind w:left="0" w:firstLine="321" w:firstLineChars="1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lang w:val="en-US" w:eastAsia="zh-CN"/>
        </w:rPr>
        <w:t>2025</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 xml:space="preserve"> 3</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 xml:space="preserve"> 20</w:t>
      </w:r>
      <w:r>
        <w:rPr>
          <w:rFonts w:hint="eastAsia" w:ascii="宋体" w:hAnsi="宋体" w:eastAsia="宋体" w:cs="仿宋_GB2312"/>
          <w:color w:val="000000"/>
          <w:kern w:val="0"/>
          <w:sz w:val="32"/>
          <w:szCs w:val="32"/>
        </w:rPr>
        <w:t>日</w:t>
      </w:r>
    </w:p>
    <w:p w14:paraId="35583051">
      <w:pPr>
        <w:pageBreakBefore w:val="0"/>
        <w:kinsoku/>
        <w:wordWrap/>
        <w:overflowPunct/>
        <w:topLinePunct w:val="0"/>
        <w:autoSpaceDE/>
        <w:autoSpaceDN/>
        <w:bidi w:val="0"/>
        <w:adjustRightInd/>
        <w:ind w:left="0"/>
        <w:jc w:val="center"/>
        <w:textAlignment w:val="auto"/>
        <w:rPr>
          <w:rFonts w:ascii="宋体" w:hAnsi="宋体" w:eastAsia="宋体" w:cs="Arial"/>
          <w:b/>
          <w:bCs/>
          <w:sz w:val="36"/>
          <w:szCs w:val="36"/>
        </w:rPr>
      </w:pPr>
    </w:p>
    <w:p w14:paraId="37C95B68">
      <w:pPr>
        <w:pageBreakBefore w:val="0"/>
        <w:widowControl/>
        <w:kinsoku/>
        <w:wordWrap/>
        <w:overflowPunct/>
        <w:topLinePunct w:val="0"/>
        <w:autoSpaceDE/>
        <w:autoSpaceDN/>
        <w:bidi w:val="0"/>
        <w:adjustRightInd/>
        <w:ind w:left="0"/>
        <w:jc w:val="left"/>
        <w:textAlignment w:val="auto"/>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13AA9F9A">
          <w:pPr>
            <w:pStyle w:val="16"/>
            <w:pageBreakBefore w:val="0"/>
            <w:kinsoku/>
            <w:wordWrap/>
            <w:overflowPunct/>
            <w:topLinePunct w:val="0"/>
            <w:autoSpaceDE/>
            <w:autoSpaceDN/>
            <w:bidi w:val="0"/>
            <w:adjustRightInd/>
            <w:spacing w:before="0" w:after="0"/>
            <w:ind w:left="0"/>
            <w:jc w:val="center"/>
            <w:textAlignment w:val="auto"/>
            <w:rPr>
              <w:rFonts w:ascii="宋体" w:hAnsi="宋体" w:eastAsia="宋体"/>
              <w:b/>
              <w:bCs/>
              <w:color w:val="auto"/>
              <w:lang w:val="zh-CN"/>
            </w:rPr>
          </w:pPr>
          <w:r>
            <w:rPr>
              <w:rFonts w:ascii="宋体" w:hAnsi="宋体" w:eastAsia="宋体"/>
              <w:b/>
              <w:bCs/>
              <w:color w:val="auto"/>
              <w:lang w:val="zh-CN"/>
            </w:rPr>
            <w:t>目录</w:t>
          </w:r>
        </w:p>
        <w:p w14:paraId="0A17F04C">
          <w:pPr>
            <w:pStyle w:val="8"/>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746D4BF4">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43A4DE7D">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38A29CC1">
          <w:pPr>
            <w:pStyle w:val="8"/>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43678D66">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3591F305">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00E7E0C8">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5294A6F8">
          <w:pPr>
            <w:pStyle w:val="8"/>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5585AA00">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63B3D6FB">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5B0A92B8">
          <w:pPr>
            <w:pStyle w:val="8"/>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2E358173">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5CE56C34">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3990751E">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48018E30">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1CF5A707">
          <w:pPr>
            <w:pStyle w:val="8"/>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2764C946">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30208485">
          <w:pPr>
            <w:pStyle w:val="10"/>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78F4DACD">
          <w:pPr>
            <w:pStyle w:val="8"/>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5F322772">
          <w:pPr>
            <w:pStyle w:val="8"/>
            <w:pageBreakBefore w:val="0"/>
            <w:tabs>
              <w:tab w:val="right" w:leader="dot" w:pos="8834"/>
            </w:tabs>
            <w:kinsoku/>
            <w:wordWrap/>
            <w:overflowPunct/>
            <w:topLinePunct w:val="0"/>
            <w:autoSpaceDE/>
            <w:autoSpaceDN/>
            <w:bidi w:val="0"/>
            <w:adjustRightInd/>
            <w:spacing w:after="0"/>
            <w:ind w:left="0"/>
            <w:textAlignment w:val="auto"/>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5DE141E2">
          <w:pPr>
            <w:pageBreakBefore w:val="0"/>
            <w:kinsoku/>
            <w:wordWrap/>
            <w:overflowPunct/>
            <w:topLinePunct w:val="0"/>
            <w:autoSpaceDE/>
            <w:autoSpaceDN/>
            <w:bidi w:val="0"/>
            <w:adjustRightInd/>
            <w:ind w:left="0"/>
            <w:textAlignment w:val="auto"/>
          </w:pPr>
          <w:r>
            <w:rPr>
              <w:b/>
              <w:bCs/>
              <w:lang w:val="zh-CN"/>
            </w:rPr>
            <w:fldChar w:fldCharType="end"/>
          </w:r>
        </w:p>
      </w:sdtContent>
    </w:sdt>
    <w:p w14:paraId="670A1FD6">
      <w:pPr>
        <w:pageBreakBefore w:val="0"/>
        <w:widowControl/>
        <w:kinsoku/>
        <w:wordWrap/>
        <w:overflowPunct/>
        <w:topLinePunct w:val="0"/>
        <w:autoSpaceDE/>
        <w:autoSpaceDN/>
        <w:bidi w:val="0"/>
        <w:adjustRightInd/>
        <w:ind w:left="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790C4A37">
      <w:pPr>
        <w:pageBreakBefore w:val="0"/>
        <w:kinsoku/>
        <w:wordWrap/>
        <w:overflowPunct/>
        <w:topLinePunct w:val="0"/>
        <w:autoSpaceDE/>
        <w:autoSpaceDN/>
        <w:bidi w:val="0"/>
        <w:adjustRightInd/>
        <w:ind w:left="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733A3FD7">
      <w:pPr>
        <w:pageBreakBefore w:val="0"/>
        <w:kinsoku/>
        <w:wordWrap/>
        <w:overflowPunct/>
        <w:topLinePunct w:val="0"/>
        <w:autoSpaceDE/>
        <w:autoSpaceDN/>
        <w:bidi w:val="0"/>
        <w:adjustRightInd/>
        <w:ind w:left="0"/>
        <w:jc w:val="center"/>
        <w:textAlignment w:val="auto"/>
        <w:rPr>
          <w:rFonts w:ascii="仿宋_GB2312"/>
          <w:szCs w:val="30"/>
        </w:rPr>
      </w:pPr>
    </w:p>
    <w:p w14:paraId="04032544">
      <w:pPr>
        <w:pStyle w:val="3"/>
        <w:pageBreakBefore w:val="0"/>
        <w:kinsoku/>
        <w:wordWrap/>
        <w:overflowPunct/>
        <w:topLinePunct w:val="0"/>
        <w:autoSpaceDE/>
        <w:autoSpaceDN/>
        <w:bidi w:val="0"/>
        <w:adjustRightInd/>
        <w:spacing w:before="0" w:after="0" w:line="560" w:lineRule="exact"/>
        <w:ind w:left="0" w:firstLine="643" w:firstLineChars="200"/>
        <w:textAlignment w:val="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14:paraId="09DD71F3">
      <w:pPr>
        <w:pStyle w:val="4"/>
        <w:pageBreakBefore w:val="0"/>
        <w:kinsoku/>
        <w:wordWrap/>
        <w:overflowPunct/>
        <w:topLinePunct w:val="0"/>
        <w:autoSpaceDE/>
        <w:autoSpaceDN/>
        <w:bidi w:val="0"/>
        <w:adjustRightInd/>
        <w:spacing w:before="0" w:after="0" w:line="560" w:lineRule="exact"/>
        <w:ind w:left="0" w:firstLine="640" w:firstLineChars="200"/>
        <w:textAlignment w:val="auto"/>
        <w:rPr>
          <w:rFonts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14:paraId="0F056E3A">
      <w:pPr>
        <w:pageBreakBefore w:val="0"/>
        <w:kinsoku/>
        <w:wordWrap/>
        <w:overflowPunct/>
        <w:topLinePunct w:val="0"/>
        <w:autoSpaceDE/>
        <w:autoSpaceDN/>
        <w:bidi w:val="0"/>
        <w:adjustRightInd/>
        <w:spacing w:line="560" w:lineRule="exact"/>
        <w:ind w:left="0" w:firstLine="600" w:firstLineChars="200"/>
        <w:textAlignment w:val="auto"/>
        <w:rPr>
          <w:rFonts w:hint="eastAsia" w:ascii="仿宋_GB2312" w:eastAsia="仿宋_GB2312"/>
          <w:color w:val="auto"/>
          <w:lang w:eastAsia="zh-CN"/>
        </w:rPr>
      </w:pPr>
      <w:r>
        <w:rPr>
          <w:rFonts w:hint="eastAsia" w:ascii="仿宋_GB2312"/>
          <w:color w:val="auto"/>
        </w:rPr>
        <w:t>1、项目背景</w:t>
      </w:r>
      <w:r>
        <w:rPr>
          <w:rFonts w:hint="eastAsia" w:ascii="仿宋_GB2312"/>
          <w:color w:val="auto"/>
          <w:lang w:eastAsia="zh-CN"/>
        </w:rPr>
        <w:t>。永宁镇下岔河村作为民族特色村寨，还存在垃圾堆积、污水无法有效处置、基础设施老化的问题，永宁镇下岔河村人居环境整治项目的实施将有效改善农村生活质量，保护农村生态环境，提升农村社会治理水平，促进农村可持续发展，提高村民生活质量，从而促进农村的全面发展。</w:t>
      </w:r>
    </w:p>
    <w:p w14:paraId="32EF9A31">
      <w:pPr>
        <w:pageBreakBefore w:val="0"/>
        <w:kinsoku/>
        <w:wordWrap/>
        <w:overflowPunct/>
        <w:topLinePunct w:val="0"/>
        <w:autoSpaceDE/>
        <w:autoSpaceDN/>
        <w:bidi w:val="0"/>
        <w:adjustRightInd/>
        <w:spacing w:line="560" w:lineRule="exact"/>
        <w:ind w:left="0" w:firstLine="600" w:firstLineChars="200"/>
        <w:textAlignment w:val="auto"/>
        <w:rPr>
          <w:rFonts w:ascii="仿宋_GB2312"/>
          <w:color w:val="auto"/>
        </w:rPr>
      </w:pPr>
      <w:r>
        <w:rPr>
          <w:rFonts w:hint="eastAsia" w:ascii="仿宋_GB2312"/>
          <w:color w:val="auto"/>
        </w:rPr>
        <w:t>2、主要内容</w:t>
      </w:r>
      <w:r>
        <w:rPr>
          <w:rFonts w:hint="eastAsia"/>
          <w:color w:val="auto"/>
        </w:rPr>
        <w:t>及</w:t>
      </w:r>
      <w:r>
        <w:rPr>
          <w:rFonts w:hint="eastAsia" w:ascii="仿宋_GB2312"/>
          <w:color w:val="auto"/>
        </w:rPr>
        <w:t>实施情况</w:t>
      </w:r>
    </w:p>
    <w:p w14:paraId="64416A0A">
      <w:pPr>
        <w:pageBreakBefore w:val="0"/>
        <w:kinsoku/>
        <w:wordWrap/>
        <w:overflowPunct/>
        <w:topLinePunct w:val="0"/>
        <w:autoSpaceDE/>
        <w:autoSpaceDN/>
        <w:bidi w:val="0"/>
        <w:adjustRightInd/>
        <w:spacing w:line="560" w:lineRule="exact"/>
        <w:ind w:left="0" w:firstLine="600" w:firstLineChars="200"/>
        <w:textAlignment w:val="auto"/>
        <w:rPr>
          <w:rFonts w:ascii="仿宋_GB2312"/>
          <w:color w:val="auto"/>
        </w:rPr>
      </w:pPr>
      <w:r>
        <w:rPr>
          <w:rFonts w:hint="eastAsia" w:ascii="仿宋_GB2312"/>
          <w:color w:val="auto"/>
        </w:rPr>
        <w:t>主要内容：</w:t>
      </w:r>
      <w:r>
        <w:rPr>
          <w:rFonts w:hint="eastAsia" w:ascii="仿宋_GB2312"/>
          <w:color w:val="auto"/>
          <w:lang w:eastAsia="zh-CN"/>
        </w:rPr>
        <w:t>永宁镇下岔河村人居环境整治项目计划在下岔河村</w:t>
      </w:r>
      <w:r>
        <w:rPr>
          <w:rFonts w:hint="eastAsia" w:ascii="仿宋_GB2312"/>
          <w:color w:val="auto"/>
        </w:rPr>
        <w:t>建设路灯</w:t>
      </w:r>
      <w:r>
        <w:rPr>
          <w:rFonts w:hint="eastAsia" w:ascii="仿宋_GB2312"/>
          <w:color w:val="auto"/>
          <w:lang w:eastAsia="zh-CN"/>
        </w:rPr>
        <w:t>一批</w:t>
      </w:r>
      <w:r>
        <w:rPr>
          <w:rFonts w:hint="eastAsia" w:ascii="仿宋_GB2312"/>
          <w:color w:val="auto"/>
        </w:rPr>
        <w:t>底座、</w:t>
      </w:r>
      <w:r>
        <w:rPr>
          <w:rFonts w:hint="eastAsia" w:ascii="仿宋_GB2312"/>
          <w:color w:val="auto"/>
          <w:lang w:eastAsia="zh-CN"/>
        </w:rPr>
        <w:t>完成花儿</w:t>
      </w:r>
      <w:r>
        <w:rPr>
          <w:rFonts w:hint="eastAsia" w:ascii="仿宋_GB2312"/>
          <w:color w:val="auto"/>
        </w:rPr>
        <w:t>广场灯及线路改造</w:t>
      </w:r>
      <w:r>
        <w:rPr>
          <w:rFonts w:hint="eastAsia" w:ascii="仿宋_GB2312"/>
          <w:color w:val="auto"/>
          <w:lang w:eastAsia="zh-CN"/>
        </w:rPr>
        <w:t>，</w:t>
      </w:r>
      <w:r>
        <w:rPr>
          <w:rFonts w:hint="eastAsia" w:ascii="仿宋_GB2312"/>
          <w:color w:val="auto"/>
        </w:rPr>
        <w:t>铺设路</w:t>
      </w:r>
      <w:bookmarkStart w:id="23" w:name="_GoBack"/>
      <w:r>
        <w:rPr>
          <w:rFonts w:hint="eastAsia" w:ascii="仿宋_GB2312"/>
          <w:color w:val="auto"/>
        </w:rPr>
        <w:t>沿</w:t>
      </w:r>
      <w:bookmarkEnd w:id="23"/>
      <w:r>
        <w:rPr>
          <w:rFonts w:hint="eastAsia" w:ascii="仿宋_GB2312"/>
          <w:color w:val="auto"/>
        </w:rPr>
        <w:t>石、修建绿化井，维修人行道</w:t>
      </w:r>
      <w:r>
        <w:rPr>
          <w:rFonts w:hint="eastAsia" w:ascii="仿宋_GB2312"/>
          <w:color w:val="auto"/>
          <w:lang w:eastAsia="zh-CN"/>
        </w:rPr>
        <w:t>，并</w:t>
      </w:r>
      <w:r>
        <w:rPr>
          <w:rFonts w:hint="eastAsia" w:ascii="仿宋_GB2312"/>
          <w:color w:val="auto"/>
        </w:rPr>
        <w:t>安装路灯。</w:t>
      </w:r>
    </w:p>
    <w:p w14:paraId="510D61CA">
      <w:pPr>
        <w:pageBreakBefore w:val="0"/>
        <w:kinsoku/>
        <w:wordWrap/>
        <w:overflowPunct/>
        <w:topLinePunct w:val="0"/>
        <w:autoSpaceDE/>
        <w:autoSpaceDN/>
        <w:bidi w:val="0"/>
        <w:adjustRightInd/>
        <w:spacing w:line="560" w:lineRule="exact"/>
        <w:ind w:left="0" w:firstLine="600" w:firstLineChars="200"/>
        <w:textAlignment w:val="auto"/>
        <w:rPr>
          <w:rFonts w:ascii="仿宋_GB2312"/>
          <w:color w:val="auto"/>
        </w:rPr>
      </w:pPr>
      <w:r>
        <w:rPr>
          <w:rFonts w:hint="eastAsia" w:ascii="仿宋_GB2312"/>
          <w:color w:val="auto"/>
        </w:rPr>
        <w:t>实施情况：</w:t>
      </w:r>
      <w:r>
        <w:rPr>
          <w:rFonts w:hint="eastAsia" w:ascii="仿宋_GB2312"/>
          <w:color w:val="auto"/>
          <w:lang w:eastAsia="zh-CN"/>
        </w:rPr>
        <w:t>该项目在下岔河村建成</w:t>
      </w:r>
      <w:r>
        <w:rPr>
          <w:rFonts w:hint="eastAsia" w:ascii="仿宋_GB2312"/>
          <w:color w:val="auto"/>
        </w:rPr>
        <w:t>路灯底座78个、广场灯及线路改造、铺设路沿石1480米、修建绿化井9座</w:t>
      </w:r>
      <w:r>
        <w:rPr>
          <w:rFonts w:hint="eastAsia" w:ascii="仿宋_GB2312"/>
          <w:color w:val="auto"/>
          <w:lang w:eastAsia="zh-CN"/>
        </w:rPr>
        <w:t>、</w:t>
      </w:r>
      <w:r>
        <w:rPr>
          <w:rFonts w:hint="eastAsia" w:ascii="仿宋_GB2312"/>
          <w:color w:val="auto"/>
        </w:rPr>
        <w:t>维修人行道300平方米，安装路灯30盏等</w:t>
      </w:r>
      <w:r>
        <w:rPr>
          <w:rFonts w:hint="eastAsia" w:ascii="仿宋_GB2312"/>
          <w:color w:val="auto"/>
          <w:lang w:eastAsia="zh-CN"/>
        </w:rPr>
        <w:t>，支付项目工程款</w:t>
      </w:r>
      <w:r>
        <w:rPr>
          <w:rFonts w:hint="eastAsia" w:ascii="仿宋_GB2312"/>
          <w:color w:val="auto"/>
          <w:lang w:val="en-US" w:eastAsia="zh-CN"/>
        </w:rPr>
        <w:t>203.77万元</w:t>
      </w:r>
      <w:r>
        <w:rPr>
          <w:rFonts w:hint="eastAsia" w:ascii="仿宋_GB2312"/>
          <w:color w:val="auto"/>
        </w:rPr>
        <w:t>。</w:t>
      </w:r>
    </w:p>
    <w:p w14:paraId="1DE109A2">
      <w:pPr>
        <w:pageBreakBefore w:val="0"/>
        <w:kinsoku/>
        <w:wordWrap/>
        <w:overflowPunct/>
        <w:topLinePunct w:val="0"/>
        <w:autoSpaceDE/>
        <w:autoSpaceDN/>
        <w:bidi w:val="0"/>
        <w:adjustRightInd/>
        <w:spacing w:line="560" w:lineRule="exact"/>
        <w:ind w:left="0" w:firstLine="600" w:firstLineChars="200"/>
        <w:textAlignment w:val="auto"/>
        <w:rPr>
          <w:rFonts w:ascii="仿宋_GB2312"/>
          <w:color w:val="auto"/>
        </w:rPr>
      </w:pPr>
      <w:r>
        <w:rPr>
          <w:rFonts w:ascii="仿宋_GB2312"/>
          <w:color w:val="auto"/>
        </w:rPr>
        <w:t>4</w:t>
      </w:r>
      <w:r>
        <w:rPr>
          <w:rFonts w:hint="eastAsia" w:ascii="仿宋_GB2312"/>
          <w:color w:val="auto"/>
        </w:rPr>
        <w:t>、资金投入和使用情况</w:t>
      </w:r>
    </w:p>
    <w:p w14:paraId="1FA064DE">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资金投入情况：该项目年初预算数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203.77</w:t>
      </w:r>
      <w:r>
        <w:rPr>
          <w:rFonts w:hint="eastAsia"/>
          <w:color w:val="auto"/>
        </w:rPr>
        <w:t>万元</w:t>
      </w:r>
      <w:r>
        <w:rPr>
          <w:rFonts w:hint="eastAsia"/>
          <w:color w:val="auto"/>
          <w:lang w:eastAsia="zh-CN"/>
        </w:rPr>
        <w:t>，</w:t>
      </w:r>
      <w:r>
        <w:rPr>
          <w:rFonts w:hint="eastAsia"/>
          <w:color w:val="auto"/>
        </w:rPr>
        <w:t>实际总投入</w:t>
      </w:r>
      <w:r>
        <w:rPr>
          <w:rFonts w:hint="eastAsia"/>
          <w:color w:val="auto"/>
          <w:lang w:val="en-US" w:eastAsia="zh-CN"/>
        </w:rPr>
        <w:t>203.77</w:t>
      </w:r>
      <w:r>
        <w:rPr>
          <w:rFonts w:hint="eastAsia"/>
          <w:color w:val="auto"/>
        </w:rPr>
        <w:t>万元，该项目资金已全部落实到位，资金来源为</w:t>
      </w:r>
      <w:r>
        <w:rPr>
          <w:rFonts w:hint="eastAsia"/>
          <w:color w:val="auto"/>
          <w:lang w:eastAsia="zh-CN"/>
        </w:rPr>
        <w:t>中央专项资金</w:t>
      </w:r>
      <w:r>
        <w:rPr>
          <w:rFonts w:hint="eastAsia"/>
          <w:color w:val="auto"/>
        </w:rPr>
        <w:t>。</w:t>
      </w:r>
    </w:p>
    <w:p w14:paraId="65F850B2">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资金使用情况：该项目年初预算数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203.77</w:t>
      </w:r>
      <w:r>
        <w:rPr>
          <w:rFonts w:hint="eastAsia"/>
          <w:color w:val="auto"/>
        </w:rPr>
        <w:t>万元</w:t>
      </w:r>
      <w:r>
        <w:rPr>
          <w:rFonts w:hint="eastAsia"/>
          <w:color w:val="auto"/>
          <w:lang w:eastAsia="zh-CN"/>
        </w:rPr>
        <w:t>，</w:t>
      </w:r>
      <w:r>
        <w:rPr>
          <w:rFonts w:hint="eastAsia"/>
          <w:color w:val="auto"/>
        </w:rPr>
        <w:t>全年执行数</w:t>
      </w:r>
      <w:r>
        <w:rPr>
          <w:rFonts w:hint="eastAsia"/>
          <w:color w:val="auto"/>
          <w:lang w:val="en-US" w:eastAsia="zh-CN"/>
        </w:rPr>
        <w:t>203.77</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rPr>
        <w:t>建设路灯</w:t>
      </w:r>
      <w:r>
        <w:rPr>
          <w:rFonts w:hint="eastAsia" w:ascii="仿宋_GB2312"/>
          <w:color w:val="auto"/>
          <w:lang w:eastAsia="zh-CN"/>
        </w:rPr>
        <w:t>一批</w:t>
      </w:r>
      <w:r>
        <w:rPr>
          <w:rFonts w:hint="eastAsia" w:ascii="仿宋_GB2312"/>
          <w:color w:val="auto"/>
        </w:rPr>
        <w:t>底座、</w:t>
      </w:r>
      <w:r>
        <w:rPr>
          <w:rFonts w:hint="eastAsia" w:ascii="仿宋_GB2312"/>
          <w:color w:val="auto"/>
          <w:lang w:eastAsia="zh-CN"/>
        </w:rPr>
        <w:t>完成花儿</w:t>
      </w:r>
      <w:r>
        <w:rPr>
          <w:rFonts w:hint="eastAsia" w:ascii="仿宋_GB2312"/>
          <w:color w:val="auto"/>
        </w:rPr>
        <w:t>广场灯及线路改造</w:t>
      </w:r>
      <w:r>
        <w:rPr>
          <w:rFonts w:hint="eastAsia" w:ascii="仿宋_GB2312"/>
          <w:color w:val="auto"/>
          <w:lang w:eastAsia="zh-CN"/>
        </w:rPr>
        <w:t>，</w:t>
      </w:r>
      <w:r>
        <w:rPr>
          <w:rFonts w:hint="eastAsia" w:ascii="仿宋_GB2312"/>
          <w:color w:val="auto"/>
        </w:rPr>
        <w:t>铺设路沿石、修建绿化井，维修人行道</w:t>
      </w:r>
      <w:r>
        <w:rPr>
          <w:rFonts w:hint="eastAsia" w:ascii="仿宋_GB2312"/>
          <w:color w:val="auto"/>
          <w:lang w:eastAsia="zh-CN"/>
        </w:rPr>
        <w:t>，并</w:t>
      </w:r>
      <w:r>
        <w:rPr>
          <w:rFonts w:hint="eastAsia" w:ascii="仿宋_GB2312"/>
          <w:color w:val="auto"/>
        </w:rPr>
        <w:t>安装路灯</w:t>
      </w:r>
      <w:r>
        <w:rPr>
          <w:rFonts w:hint="eastAsia"/>
          <w:color w:val="auto"/>
        </w:rPr>
        <w:t>。</w:t>
      </w:r>
    </w:p>
    <w:p w14:paraId="25C2258C">
      <w:pPr>
        <w:pStyle w:val="4"/>
        <w:pageBreakBefore w:val="0"/>
        <w:kinsoku/>
        <w:wordWrap/>
        <w:overflowPunct/>
        <w:topLinePunct w:val="0"/>
        <w:autoSpaceDE/>
        <w:autoSpaceDN/>
        <w:bidi w:val="0"/>
        <w:adjustRightInd/>
        <w:spacing w:before="0" w:after="0" w:line="560" w:lineRule="exact"/>
        <w:ind w:left="0" w:firstLine="640" w:firstLineChars="200"/>
        <w:textAlignment w:val="auto"/>
        <w:rPr>
          <w:rFonts w:ascii="仿宋_GB2312" w:eastAsia="仿宋_GB2312"/>
          <w:b w:val="0"/>
          <w:bCs w:val="0"/>
          <w:color w:val="auto"/>
        </w:rPr>
      </w:pPr>
      <w:bookmarkStart w:id="2" w:name="_Toc68703829"/>
      <w:r>
        <w:rPr>
          <w:rFonts w:hint="eastAsia" w:ascii="仿宋_GB2312" w:eastAsia="仿宋_GB2312"/>
          <w:b w:val="0"/>
          <w:bCs w:val="0"/>
          <w:color w:val="auto"/>
        </w:rPr>
        <w:t>（二）项目绩效目标。</w:t>
      </w:r>
      <w:bookmarkEnd w:id="2"/>
    </w:p>
    <w:p w14:paraId="41F7DB01">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1、总体目标：</w:t>
      </w:r>
      <w:r>
        <w:rPr>
          <w:rFonts w:hint="eastAsia" w:ascii="仿宋_GB2312"/>
          <w:color w:val="auto"/>
        </w:rPr>
        <w:t>建设路灯</w:t>
      </w:r>
      <w:r>
        <w:rPr>
          <w:rFonts w:hint="eastAsia" w:ascii="仿宋_GB2312"/>
          <w:color w:val="auto"/>
          <w:lang w:eastAsia="zh-CN"/>
        </w:rPr>
        <w:t>一批</w:t>
      </w:r>
      <w:r>
        <w:rPr>
          <w:rFonts w:hint="eastAsia" w:ascii="仿宋_GB2312"/>
          <w:color w:val="auto"/>
        </w:rPr>
        <w:t>底座、</w:t>
      </w:r>
      <w:r>
        <w:rPr>
          <w:rFonts w:hint="eastAsia" w:ascii="仿宋_GB2312"/>
          <w:color w:val="auto"/>
          <w:lang w:eastAsia="zh-CN"/>
        </w:rPr>
        <w:t>完成花儿</w:t>
      </w:r>
      <w:r>
        <w:rPr>
          <w:rFonts w:hint="eastAsia" w:ascii="仿宋_GB2312"/>
          <w:color w:val="auto"/>
        </w:rPr>
        <w:t>广场灯及线路改造</w:t>
      </w:r>
      <w:r>
        <w:rPr>
          <w:rFonts w:hint="eastAsia" w:ascii="仿宋_GB2312"/>
          <w:color w:val="auto"/>
          <w:lang w:eastAsia="zh-CN"/>
        </w:rPr>
        <w:t>，</w:t>
      </w:r>
      <w:r>
        <w:rPr>
          <w:rFonts w:hint="eastAsia" w:ascii="仿宋_GB2312"/>
          <w:color w:val="auto"/>
        </w:rPr>
        <w:t>铺设路</w:t>
      </w:r>
      <w:r>
        <w:rPr>
          <w:rFonts w:hint="eastAsia" w:ascii="仿宋_GB2312"/>
          <w:color w:val="auto"/>
          <w:lang w:eastAsia="zh-CN"/>
        </w:rPr>
        <w:t>缘</w:t>
      </w:r>
      <w:r>
        <w:rPr>
          <w:rFonts w:hint="eastAsia" w:ascii="仿宋_GB2312"/>
          <w:color w:val="auto"/>
        </w:rPr>
        <w:t>石、修建绿化井，维修人行道</w:t>
      </w:r>
      <w:r>
        <w:rPr>
          <w:rFonts w:hint="eastAsia" w:ascii="仿宋_GB2312"/>
          <w:color w:val="auto"/>
          <w:lang w:eastAsia="zh-CN"/>
        </w:rPr>
        <w:t>，并</w:t>
      </w:r>
      <w:r>
        <w:rPr>
          <w:rFonts w:hint="eastAsia" w:ascii="仿宋_GB2312"/>
          <w:color w:val="auto"/>
        </w:rPr>
        <w:t>安装路灯</w:t>
      </w:r>
      <w:r>
        <w:rPr>
          <w:rFonts w:hint="eastAsia" w:ascii="仿宋_GB2312"/>
          <w:color w:val="auto"/>
          <w:lang w:eastAsia="zh-CN"/>
        </w:rPr>
        <w:t>，有效改善农村生活质量，保护农村生态环境，提升农村社会治理水平</w:t>
      </w:r>
      <w:r>
        <w:rPr>
          <w:rFonts w:hint="eastAsia"/>
          <w:color w:val="auto"/>
        </w:rPr>
        <w:t>。</w:t>
      </w:r>
    </w:p>
    <w:p w14:paraId="2BBB25BB">
      <w:pPr>
        <w:keepNext w:val="0"/>
        <w:keepLines w:val="0"/>
        <w:pageBreakBefore w:val="0"/>
        <w:kinsoku/>
        <w:wordWrap/>
        <w:overflowPunct/>
        <w:topLinePunct w:val="0"/>
        <w:autoSpaceDE/>
        <w:autoSpaceDN/>
        <w:bidi w:val="0"/>
        <w:adjustRightInd/>
        <w:snapToGrid/>
        <w:spacing w:line="560" w:lineRule="exact"/>
        <w:ind w:left="0" w:firstLine="600" w:firstLineChars="200"/>
        <w:textAlignment w:val="auto"/>
        <w:rPr>
          <w:rFonts w:hint="eastAsia"/>
          <w:color w:val="auto"/>
        </w:rPr>
      </w:pPr>
      <w:r>
        <w:rPr>
          <w:color w:val="auto"/>
        </w:rPr>
        <w:t>2</w:t>
      </w:r>
      <w:r>
        <w:rPr>
          <w:rFonts w:hint="eastAsia"/>
          <w:color w:val="auto"/>
        </w:rPr>
        <w:t>、阶段性目标：</w:t>
      </w:r>
    </w:p>
    <w:p w14:paraId="500FAB1C">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仿宋_GB2312" w:eastAsia="仿宋_GB2312" w:hAnsiTheme="majorHAnsi" w:cstheme="majorBidi"/>
          <w:b w:val="0"/>
          <w:bCs w:val="0"/>
          <w:color w:val="auto"/>
          <w:kern w:val="2"/>
          <w:sz w:val="32"/>
          <w:szCs w:val="32"/>
          <w:lang w:val="en-US" w:eastAsia="zh-CN" w:bidi="ar-SA"/>
        </w:rPr>
      </w:pPr>
      <w:r>
        <w:rPr>
          <w:rFonts w:hint="eastAsia" w:ascii="仿宋_GB2312" w:eastAsia="仿宋_GB2312" w:hAnsiTheme="majorHAnsi" w:cstheme="majorBidi"/>
          <w:b w:val="0"/>
          <w:bCs w:val="0"/>
          <w:color w:val="auto"/>
          <w:kern w:val="2"/>
          <w:sz w:val="32"/>
          <w:szCs w:val="32"/>
          <w:lang w:val="en-US" w:eastAsia="zh-CN" w:bidi="ar-SA"/>
        </w:rPr>
        <w:t>阶段一：前期准备阶段，对</w:t>
      </w:r>
      <w:r>
        <w:rPr>
          <w:rFonts w:hint="eastAsia" w:ascii="仿宋_GB2312" w:eastAsia="仿宋_GB2312" w:cstheme="majorBidi"/>
          <w:b w:val="0"/>
          <w:bCs w:val="0"/>
          <w:color w:val="auto"/>
          <w:kern w:val="2"/>
          <w:sz w:val="32"/>
          <w:szCs w:val="32"/>
          <w:lang w:val="en-US" w:eastAsia="zh-CN" w:bidi="ar-SA"/>
        </w:rPr>
        <w:t>下岔河村</w:t>
      </w:r>
      <w:r>
        <w:rPr>
          <w:rFonts w:hint="eastAsia" w:ascii="仿宋_GB2312" w:eastAsia="仿宋_GB2312" w:hAnsiTheme="majorHAnsi" w:cstheme="majorBidi"/>
          <w:b w:val="0"/>
          <w:bCs w:val="0"/>
          <w:color w:val="auto"/>
          <w:kern w:val="2"/>
          <w:sz w:val="32"/>
          <w:szCs w:val="32"/>
          <w:lang w:val="en-US" w:eastAsia="zh-CN" w:bidi="ar-SA"/>
        </w:rPr>
        <w:t>进行现有</w:t>
      </w:r>
      <w:r>
        <w:rPr>
          <w:rFonts w:hint="eastAsia" w:ascii="方正仿宋_GBK" w:hAnsi="方正仿宋_GBK" w:eastAsia="方正仿宋_GBK" w:cs="方正仿宋_GBK"/>
          <w:b w:val="0"/>
          <w:bCs w:val="0"/>
          <w:color w:val="auto"/>
        </w:rPr>
        <w:t>路灯</w:t>
      </w:r>
      <w:r>
        <w:rPr>
          <w:rFonts w:hint="eastAsia" w:ascii="方正仿宋_GBK" w:hAnsi="方正仿宋_GBK" w:eastAsia="方正仿宋_GBK" w:cs="方正仿宋_GBK"/>
          <w:b w:val="0"/>
          <w:bCs w:val="0"/>
          <w:color w:val="auto"/>
          <w:lang w:eastAsia="zh-CN"/>
        </w:rPr>
        <w:t>、绿化井、人行道等</w:t>
      </w:r>
      <w:r>
        <w:rPr>
          <w:rFonts w:hint="eastAsia" w:ascii="仿宋_GB2312" w:eastAsia="仿宋_GB2312" w:hAnsiTheme="majorHAnsi" w:cstheme="majorBidi"/>
          <w:b w:val="0"/>
          <w:bCs w:val="0"/>
          <w:color w:val="auto"/>
          <w:kern w:val="2"/>
          <w:sz w:val="32"/>
          <w:szCs w:val="32"/>
          <w:lang w:val="en-US" w:eastAsia="zh-CN" w:bidi="ar-SA"/>
        </w:rPr>
        <w:t>设施</w:t>
      </w:r>
      <w:r>
        <w:rPr>
          <w:rFonts w:hint="eastAsia" w:ascii="仿宋_GB2312" w:eastAsia="仿宋_GB2312" w:cstheme="majorBidi"/>
          <w:b w:val="0"/>
          <w:bCs w:val="0"/>
          <w:color w:val="auto"/>
          <w:kern w:val="2"/>
          <w:sz w:val="32"/>
          <w:szCs w:val="32"/>
          <w:lang w:val="en-US" w:eastAsia="zh-CN" w:bidi="ar-SA"/>
        </w:rPr>
        <w:t>进行</w:t>
      </w:r>
      <w:r>
        <w:rPr>
          <w:rFonts w:hint="eastAsia" w:ascii="仿宋_GB2312" w:eastAsia="仿宋_GB2312" w:hAnsiTheme="majorHAnsi" w:cstheme="majorBidi"/>
          <w:b w:val="0"/>
          <w:bCs w:val="0"/>
          <w:color w:val="auto"/>
          <w:kern w:val="2"/>
          <w:sz w:val="32"/>
          <w:szCs w:val="32"/>
          <w:lang w:val="en-US" w:eastAsia="zh-CN" w:bidi="ar-SA"/>
        </w:rPr>
        <w:t>摸排，明确</w:t>
      </w:r>
      <w:r>
        <w:rPr>
          <w:rFonts w:hint="eastAsia" w:ascii="仿宋_GB2312" w:eastAsia="仿宋_GB2312" w:cstheme="majorBidi"/>
          <w:b w:val="0"/>
          <w:bCs w:val="0"/>
          <w:color w:val="auto"/>
          <w:kern w:val="2"/>
          <w:sz w:val="32"/>
          <w:szCs w:val="32"/>
          <w:lang w:val="en-US" w:eastAsia="zh-CN" w:bidi="ar-SA"/>
        </w:rPr>
        <w:t>人居环境整治</w:t>
      </w:r>
      <w:r>
        <w:rPr>
          <w:rFonts w:hint="eastAsia" w:ascii="仿宋_GB2312" w:eastAsia="仿宋_GB2312" w:hAnsiTheme="majorHAnsi" w:cstheme="majorBidi"/>
          <w:b w:val="0"/>
          <w:bCs w:val="0"/>
          <w:color w:val="auto"/>
          <w:kern w:val="2"/>
          <w:sz w:val="32"/>
          <w:szCs w:val="32"/>
          <w:lang w:val="en-US" w:eastAsia="zh-CN" w:bidi="ar-SA"/>
        </w:rPr>
        <w:t>和设备需求，形成实施方案，征求意见，上报镇会议研究，进行公示。</w:t>
      </w:r>
    </w:p>
    <w:p w14:paraId="01ACB0B3">
      <w:pPr>
        <w:pageBreakBefore w:val="0"/>
        <w:kinsoku/>
        <w:wordWrap/>
        <w:overflowPunct/>
        <w:topLinePunct w:val="0"/>
        <w:autoSpaceDE/>
        <w:autoSpaceDN/>
        <w:bidi w:val="0"/>
        <w:adjustRightInd/>
        <w:spacing w:line="560" w:lineRule="exact"/>
        <w:ind w:firstLine="640" w:firstLineChars="200"/>
        <w:textAlignment w:val="auto"/>
        <w:rPr>
          <w:rFonts w:hint="default" w:ascii="仿宋_GB2312" w:eastAsia="仿宋_GB2312" w:hAnsiTheme="majorHAnsi" w:cstheme="majorBidi"/>
          <w:b w:val="0"/>
          <w:bCs w:val="0"/>
          <w:color w:val="auto"/>
          <w:kern w:val="2"/>
          <w:sz w:val="32"/>
          <w:szCs w:val="32"/>
          <w:lang w:val="en-US" w:eastAsia="zh-CN" w:bidi="ar-SA"/>
        </w:rPr>
      </w:pPr>
      <w:r>
        <w:rPr>
          <w:rFonts w:hint="eastAsia" w:ascii="仿宋_GB2312" w:eastAsia="仿宋_GB2312" w:hAnsiTheme="majorHAnsi" w:cstheme="majorBidi"/>
          <w:b w:val="0"/>
          <w:bCs w:val="0"/>
          <w:color w:val="auto"/>
          <w:kern w:val="2"/>
          <w:sz w:val="32"/>
          <w:szCs w:val="32"/>
          <w:lang w:val="en-US" w:eastAsia="zh-CN" w:bidi="ar-SA"/>
        </w:rPr>
        <w:t>阶段二：政府采购与合同签订阶段，按照</w:t>
      </w:r>
      <w:r>
        <w:rPr>
          <w:rFonts w:hint="eastAsia" w:ascii="仿宋_GB2312" w:hAnsiTheme="majorHAnsi" w:cstheme="majorBidi"/>
          <w:b w:val="0"/>
          <w:bCs w:val="0"/>
          <w:color w:val="auto"/>
          <w:kern w:val="2"/>
          <w:sz w:val="32"/>
          <w:szCs w:val="32"/>
          <w:lang w:val="en-US" w:eastAsia="zh-CN" w:bidi="ar-SA"/>
        </w:rPr>
        <w:t>工程建设</w:t>
      </w:r>
      <w:r>
        <w:rPr>
          <w:rFonts w:hint="eastAsia" w:ascii="仿宋_GB2312" w:eastAsia="仿宋_GB2312" w:hAnsiTheme="majorHAnsi" w:cstheme="majorBidi"/>
          <w:b w:val="0"/>
          <w:bCs w:val="0"/>
          <w:color w:val="auto"/>
          <w:kern w:val="2"/>
          <w:sz w:val="32"/>
          <w:szCs w:val="32"/>
          <w:lang w:val="en-US" w:eastAsia="zh-CN" w:bidi="ar-SA"/>
        </w:rPr>
        <w:t>需求，通过政府采购平台，三方比价，确保质优价廉。</w:t>
      </w:r>
    </w:p>
    <w:p w14:paraId="0F208EDE">
      <w:pPr>
        <w:pageBreakBefore w:val="0"/>
        <w:kinsoku/>
        <w:wordWrap/>
        <w:overflowPunct/>
        <w:topLinePunct w:val="0"/>
        <w:autoSpaceDE/>
        <w:autoSpaceDN/>
        <w:bidi w:val="0"/>
        <w:adjustRightInd/>
        <w:spacing w:line="560" w:lineRule="exact"/>
        <w:ind w:firstLine="640" w:firstLineChars="200"/>
        <w:textAlignment w:val="auto"/>
        <w:rPr>
          <w:color w:val="auto"/>
        </w:rPr>
      </w:pPr>
      <w:r>
        <w:rPr>
          <w:rFonts w:hint="eastAsia" w:ascii="仿宋_GB2312" w:eastAsia="仿宋_GB2312" w:hAnsiTheme="majorHAnsi" w:cstheme="majorBidi"/>
          <w:b w:val="0"/>
          <w:bCs w:val="0"/>
          <w:color w:val="auto"/>
          <w:kern w:val="2"/>
          <w:sz w:val="32"/>
          <w:szCs w:val="32"/>
          <w:lang w:val="en-US" w:eastAsia="zh-CN" w:bidi="ar-SA"/>
        </w:rPr>
        <w:t>阶段三：</w:t>
      </w:r>
      <w:r>
        <w:rPr>
          <w:rFonts w:hint="eastAsia" w:ascii="仿宋_GB2312" w:hAnsiTheme="majorHAnsi" w:cstheme="majorBidi"/>
          <w:b w:val="0"/>
          <w:bCs w:val="0"/>
          <w:color w:val="auto"/>
          <w:kern w:val="2"/>
          <w:sz w:val="32"/>
          <w:szCs w:val="32"/>
          <w:lang w:val="en-US" w:eastAsia="zh-CN" w:bidi="ar-SA"/>
        </w:rPr>
        <w:t>项目</w:t>
      </w:r>
      <w:r>
        <w:rPr>
          <w:rFonts w:hint="eastAsia" w:ascii="仿宋_GB2312" w:eastAsia="仿宋_GB2312" w:hAnsiTheme="majorHAnsi" w:cstheme="majorBidi"/>
          <w:b w:val="0"/>
          <w:bCs w:val="0"/>
          <w:color w:val="auto"/>
          <w:kern w:val="2"/>
          <w:sz w:val="32"/>
          <w:szCs w:val="32"/>
          <w:lang w:val="en-US" w:eastAsia="zh-CN" w:bidi="ar-SA"/>
        </w:rPr>
        <w:t>验收阶段，</w:t>
      </w:r>
      <w:r>
        <w:rPr>
          <w:rFonts w:hint="eastAsia" w:ascii="仿宋_GB2312" w:hAnsiTheme="majorHAnsi" w:cstheme="majorBidi"/>
          <w:b w:val="0"/>
          <w:bCs w:val="0"/>
          <w:color w:val="auto"/>
          <w:kern w:val="2"/>
          <w:sz w:val="32"/>
          <w:szCs w:val="32"/>
          <w:lang w:val="en-US" w:eastAsia="zh-CN" w:bidi="ar-SA"/>
        </w:rPr>
        <w:t>镇政府</w:t>
      </w:r>
      <w:r>
        <w:rPr>
          <w:rFonts w:hint="eastAsia" w:ascii="仿宋_GB2312" w:eastAsia="仿宋_GB2312" w:hAnsiTheme="majorHAnsi" w:cstheme="majorBidi"/>
          <w:b w:val="0"/>
          <w:bCs w:val="0"/>
          <w:color w:val="auto"/>
          <w:kern w:val="2"/>
          <w:sz w:val="32"/>
          <w:szCs w:val="32"/>
          <w:lang w:val="en-US" w:eastAsia="zh-CN" w:bidi="ar-SA"/>
        </w:rPr>
        <w:t>按照</w:t>
      </w:r>
      <w:r>
        <w:rPr>
          <w:rFonts w:hint="eastAsia" w:ascii="仿宋_GB2312" w:hAnsiTheme="majorHAnsi" w:cstheme="majorBidi"/>
          <w:b w:val="0"/>
          <w:bCs w:val="0"/>
          <w:color w:val="auto"/>
          <w:kern w:val="2"/>
          <w:sz w:val="32"/>
          <w:szCs w:val="32"/>
          <w:lang w:val="en-US" w:eastAsia="zh-CN" w:bidi="ar-SA"/>
        </w:rPr>
        <w:t>项目</w:t>
      </w:r>
      <w:r>
        <w:rPr>
          <w:rFonts w:hint="eastAsia" w:ascii="仿宋_GB2312" w:eastAsia="仿宋_GB2312" w:hAnsiTheme="majorHAnsi" w:cstheme="majorBidi"/>
          <w:b w:val="0"/>
          <w:bCs w:val="0"/>
          <w:color w:val="auto"/>
          <w:kern w:val="2"/>
          <w:sz w:val="32"/>
          <w:szCs w:val="32"/>
          <w:lang w:val="en-US" w:eastAsia="zh-CN" w:bidi="ar-SA"/>
        </w:rPr>
        <w:t>合同要求，对</w:t>
      </w:r>
      <w:r>
        <w:rPr>
          <w:rFonts w:hint="eastAsia" w:ascii="仿宋_GB2312" w:hAnsiTheme="majorHAnsi" w:cstheme="majorBidi"/>
          <w:b w:val="0"/>
          <w:bCs w:val="0"/>
          <w:color w:val="auto"/>
          <w:kern w:val="2"/>
          <w:sz w:val="32"/>
          <w:szCs w:val="32"/>
          <w:lang w:val="en-US" w:eastAsia="zh-CN" w:bidi="ar-SA"/>
        </w:rPr>
        <w:t>施工情况</w:t>
      </w:r>
      <w:r>
        <w:rPr>
          <w:rFonts w:hint="eastAsia" w:ascii="仿宋_GB2312" w:eastAsia="仿宋_GB2312" w:hAnsiTheme="majorHAnsi" w:cstheme="majorBidi"/>
          <w:b w:val="0"/>
          <w:bCs w:val="0"/>
          <w:color w:val="auto"/>
          <w:kern w:val="2"/>
          <w:sz w:val="32"/>
          <w:szCs w:val="32"/>
          <w:lang w:val="en-US" w:eastAsia="zh-CN" w:bidi="ar-SA"/>
        </w:rPr>
        <w:t>进行验收，有效改善</w:t>
      </w:r>
      <w:r>
        <w:rPr>
          <w:rFonts w:hint="eastAsia" w:ascii="仿宋_GB2312" w:hAnsiTheme="majorHAnsi" w:cstheme="majorBidi"/>
          <w:b w:val="0"/>
          <w:bCs w:val="0"/>
          <w:color w:val="auto"/>
          <w:kern w:val="2"/>
          <w:sz w:val="32"/>
          <w:szCs w:val="32"/>
          <w:lang w:val="en-US" w:eastAsia="zh-CN" w:bidi="ar-SA"/>
        </w:rPr>
        <w:t>下岔河村</w:t>
      </w:r>
      <w:r>
        <w:rPr>
          <w:rFonts w:hint="eastAsia" w:ascii="仿宋_GB2312" w:eastAsia="仿宋_GB2312" w:hAnsiTheme="majorHAnsi" w:cstheme="majorBidi"/>
          <w:b w:val="0"/>
          <w:bCs w:val="0"/>
          <w:color w:val="auto"/>
          <w:kern w:val="2"/>
          <w:sz w:val="32"/>
          <w:szCs w:val="32"/>
          <w:lang w:val="en-US" w:eastAsia="zh-CN" w:bidi="ar-SA"/>
        </w:rPr>
        <w:t>的</w:t>
      </w:r>
      <w:r>
        <w:rPr>
          <w:rFonts w:hint="eastAsia" w:ascii="仿宋_GB2312" w:hAnsiTheme="majorHAnsi" w:cstheme="majorBidi"/>
          <w:b w:val="0"/>
          <w:bCs w:val="0"/>
          <w:color w:val="auto"/>
          <w:kern w:val="2"/>
          <w:sz w:val="32"/>
          <w:szCs w:val="32"/>
          <w:lang w:val="en-US" w:eastAsia="zh-CN" w:bidi="ar-SA"/>
        </w:rPr>
        <w:t>人居</w:t>
      </w:r>
      <w:r>
        <w:rPr>
          <w:rFonts w:hint="eastAsia" w:ascii="仿宋_GB2312" w:eastAsia="仿宋_GB2312" w:hAnsiTheme="majorHAnsi" w:cstheme="majorBidi"/>
          <w:b w:val="0"/>
          <w:bCs w:val="0"/>
          <w:color w:val="auto"/>
          <w:kern w:val="2"/>
          <w:sz w:val="32"/>
          <w:szCs w:val="32"/>
          <w:lang w:val="en-US" w:eastAsia="zh-CN" w:bidi="ar-SA"/>
        </w:rPr>
        <w:t>环境，</w:t>
      </w:r>
      <w:r>
        <w:rPr>
          <w:rFonts w:hint="eastAsia" w:ascii="仿宋_GB2312" w:hAnsiTheme="majorHAnsi" w:cstheme="majorBidi"/>
          <w:b w:val="0"/>
          <w:bCs w:val="0"/>
          <w:color w:val="auto"/>
          <w:kern w:val="2"/>
          <w:sz w:val="32"/>
          <w:szCs w:val="32"/>
          <w:lang w:val="en-US" w:eastAsia="zh-CN" w:bidi="ar-SA"/>
        </w:rPr>
        <w:t>提升下岔河村群众</w:t>
      </w:r>
      <w:r>
        <w:rPr>
          <w:rFonts w:hint="eastAsia" w:ascii="仿宋_GB2312" w:eastAsia="仿宋_GB2312" w:hAnsiTheme="majorHAnsi" w:cstheme="majorBidi"/>
          <w:b w:val="0"/>
          <w:bCs w:val="0"/>
          <w:color w:val="auto"/>
          <w:kern w:val="2"/>
          <w:sz w:val="32"/>
          <w:szCs w:val="32"/>
          <w:lang w:val="en-US" w:eastAsia="zh-CN" w:bidi="ar-SA"/>
        </w:rPr>
        <w:t>的满意度，进一步推进基层组织建设工作顺利开展。</w:t>
      </w:r>
    </w:p>
    <w:p w14:paraId="07807B67">
      <w:pPr>
        <w:pStyle w:val="3"/>
        <w:pageBreakBefore w:val="0"/>
        <w:kinsoku/>
        <w:wordWrap/>
        <w:overflowPunct/>
        <w:topLinePunct w:val="0"/>
        <w:autoSpaceDE/>
        <w:autoSpaceDN/>
        <w:bidi w:val="0"/>
        <w:adjustRightInd/>
        <w:spacing w:before="0" w:after="0" w:line="560" w:lineRule="exact"/>
        <w:ind w:left="0" w:firstLine="643" w:firstLineChars="200"/>
        <w:textAlignment w:val="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14:paraId="6E4F10AB">
      <w:pPr>
        <w:pStyle w:val="4"/>
        <w:pageBreakBefore w:val="0"/>
        <w:kinsoku/>
        <w:wordWrap/>
        <w:overflowPunct/>
        <w:topLinePunct w:val="0"/>
        <w:autoSpaceDE/>
        <w:autoSpaceDN/>
        <w:bidi w:val="0"/>
        <w:adjustRightInd/>
        <w:spacing w:before="0" w:after="0" w:line="560" w:lineRule="exact"/>
        <w:ind w:left="0" w:firstLine="640" w:firstLineChars="200"/>
        <w:textAlignment w:val="auto"/>
        <w:rPr>
          <w:rFonts w:ascii="仿宋_GB2312" w:eastAsia="仿宋_GB2312"/>
          <w:b w:val="0"/>
          <w:bCs w:val="0"/>
          <w:color w:val="auto"/>
        </w:rPr>
      </w:pPr>
      <w:bookmarkStart w:id="4" w:name="_Toc68703831"/>
      <w:r>
        <w:rPr>
          <w:rFonts w:hint="eastAsia" w:ascii="仿宋_GB2312" w:eastAsia="仿宋_GB2312"/>
          <w:b w:val="0"/>
          <w:bCs w:val="0"/>
          <w:color w:val="auto"/>
        </w:rPr>
        <w:t>（一）绩效评价目的、对象和范围。</w:t>
      </w:r>
      <w:bookmarkEnd w:id="4"/>
    </w:p>
    <w:p w14:paraId="5A47764C">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1、绩效评价目的：</w:t>
      </w:r>
    </w:p>
    <w:p w14:paraId="6ECF062D">
      <w:pPr>
        <w:pageBreakBefore w:val="0"/>
        <w:kinsoku/>
        <w:wordWrap/>
        <w:overflowPunct/>
        <w:topLinePunct w:val="0"/>
        <w:autoSpaceDE/>
        <w:autoSpaceDN/>
        <w:bidi w:val="0"/>
        <w:adjustRightInd/>
        <w:spacing w:line="560" w:lineRule="exact"/>
        <w:ind w:left="0" w:firstLine="640" w:firstLineChars="200"/>
        <w:jc w:val="left"/>
        <w:textAlignment w:val="auto"/>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永宁镇下岔河村人居环境整治项目</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202E7F69">
      <w:pPr>
        <w:pageBreakBefore w:val="0"/>
        <w:kinsoku/>
        <w:wordWrap/>
        <w:overflowPunct/>
        <w:topLinePunct w:val="0"/>
        <w:autoSpaceDE/>
        <w:autoSpaceDN/>
        <w:bidi w:val="0"/>
        <w:adjustRightInd/>
        <w:spacing w:line="560" w:lineRule="exact"/>
        <w:ind w:left="0" w:firstLine="600" w:firstLineChars="200"/>
        <w:jc w:val="left"/>
        <w:textAlignment w:val="auto"/>
        <w:rPr>
          <w:color w:val="auto"/>
        </w:rPr>
      </w:pPr>
      <w:r>
        <w:rPr>
          <w:rFonts w:hint="eastAsia"/>
          <w:color w:val="auto"/>
        </w:rPr>
        <w:t>2、绩效评价对象：</w:t>
      </w:r>
    </w:p>
    <w:p w14:paraId="175AEBE0">
      <w:pPr>
        <w:pageBreakBefore w:val="0"/>
        <w:kinsoku/>
        <w:wordWrap/>
        <w:overflowPunct/>
        <w:topLinePunct w:val="0"/>
        <w:autoSpaceDE/>
        <w:autoSpaceDN/>
        <w:bidi w:val="0"/>
        <w:adjustRightInd/>
        <w:spacing w:line="560" w:lineRule="exact"/>
        <w:ind w:left="0" w:firstLine="640" w:firstLineChars="200"/>
        <w:textAlignment w:val="auto"/>
        <w:rPr>
          <w:rFonts w:hint="eastAsia" w:ascii="仿宋_GB2312"/>
          <w:bCs/>
          <w:color w:val="auto"/>
          <w:sz w:val="32"/>
          <w:szCs w:val="32"/>
          <w:lang w:eastAsia="zh-CN"/>
        </w:rPr>
      </w:pPr>
      <w:r>
        <w:rPr>
          <w:rFonts w:hint="eastAsia" w:ascii="仿宋_GB2312"/>
          <w:bCs/>
          <w:color w:val="auto"/>
          <w:sz w:val="32"/>
          <w:szCs w:val="32"/>
          <w:lang w:eastAsia="zh-CN"/>
        </w:rPr>
        <w:t>永宁镇下岔河村人居环境整治项目</w:t>
      </w:r>
    </w:p>
    <w:p w14:paraId="473C3884">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3、绩效评价范围：</w:t>
      </w:r>
    </w:p>
    <w:p w14:paraId="6A99F159">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w:t>
      </w:r>
      <w:r>
        <w:rPr>
          <w:rFonts w:hint="eastAsia"/>
          <w:color w:val="auto"/>
          <w:lang w:eastAsia="zh-CN"/>
        </w:rPr>
        <w:t>）和</w:t>
      </w:r>
      <w:r>
        <w:rPr>
          <w:rFonts w:hint="eastAsia"/>
          <w:color w:val="auto"/>
        </w:rPr>
        <w:t>项目效益四个维度进行</w:t>
      </w:r>
      <w:r>
        <w:rPr>
          <w:rFonts w:hint="eastAsia" w:ascii="仿宋_GB2312"/>
          <w:bCs/>
          <w:color w:val="auto"/>
          <w:sz w:val="32"/>
          <w:szCs w:val="32"/>
          <w:lang w:eastAsia="zh-CN"/>
        </w:rPr>
        <w:t>永宁镇下岔河村人居环境整治项目</w:t>
      </w:r>
      <w:r>
        <w:rPr>
          <w:rFonts w:hint="eastAsia"/>
          <w:color w:val="auto"/>
        </w:rPr>
        <w:t>评价，评价核心为专项资金的支出完成情况和效果。</w:t>
      </w:r>
    </w:p>
    <w:p w14:paraId="56940FB6">
      <w:pPr>
        <w:pStyle w:val="4"/>
        <w:pageBreakBefore w:val="0"/>
        <w:kinsoku/>
        <w:wordWrap/>
        <w:overflowPunct/>
        <w:topLinePunct w:val="0"/>
        <w:autoSpaceDE/>
        <w:autoSpaceDN/>
        <w:bidi w:val="0"/>
        <w:adjustRightInd/>
        <w:spacing w:before="0" w:after="0" w:line="560" w:lineRule="exact"/>
        <w:ind w:left="0" w:firstLine="640" w:firstLineChars="200"/>
        <w:textAlignment w:val="auto"/>
        <w:rPr>
          <w:rFonts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（二）绩效评价原则、评价指标体系、评价方法、评价标准等。</w:t>
      </w:r>
      <w:bookmarkEnd w:id="5"/>
    </w:p>
    <w:p w14:paraId="4D9105E3">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1、绩效评价原则</w:t>
      </w:r>
    </w:p>
    <w:p w14:paraId="34A450AE">
      <w:pPr>
        <w:pageBreakBefore w:val="0"/>
        <w:kinsoku/>
        <w:wordWrap/>
        <w:overflowPunct/>
        <w:topLinePunct w:val="0"/>
        <w:autoSpaceDE/>
        <w:autoSpaceDN/>
        <w:bidi w:val="0"/>
        <w:adjustRightInd/>
        <w:spacing w:line="560" w:lineRule="exact"/>
        <w:ind w:left="0" w:firstLine="640"/>
        <w:textAlignment w:val="auto"/>
        <w:rPr>
          <w:rFonts w:ascii="仿宋_GB2312"/>
          <w:bCs/>
          <w:color w:val="auto"/>
          <w:sz w:val="32"/>
          <w:szCs w:val="32"/>
        </w:rPr>
      </w:pPr>
      <w:r>
        <w:rPr>
          <w:rFonts w:hint="eastAsia" w:ascii="仿宋_GB2312"/>
          <w:bCs/>
          <w:color w:val="auto"/>
          <w:sz w:val="32"/>
          <w:szCs w:val="32"/>
        </w:rPr>
        <w:t>（一）科学公正。绩效评价应当运用科学合理的方法，按照规范</w:t>
      </w:r>
      <w:r>
        <w:rPr>
          <w:rFonts w:hint="eastAsia" w:ascii="仿宋_GB2312"/>
          <w:bCs/>
          <w:color w:val="auto"/>
          <w:sz w:val="32"/>
          <w:szCs w:val="32"/>
          <w:lang w:eastAsia="zh-CN"/>
        </w:rPr>
        <w:t>永宁镇下岔河村人居环境整治项目资金</w:t>
      </w:r>
      <w:r>
        <w:rPr>
          <w:rFonts w:hint="eastAsia" w:ascii="仿宋_GB2312"/>
          <w:bCs/>
          <w:color w:val="auto"/>
          <w:sz w:val="32"/>
          <w:szCs w:val="32"/>
        </w:rPr>
        <w:t>的程序，对项目绩效进行客观、公正</w:t>
      </w:r>
      <w:r>
        <w:rPr>
          <w:rFonts w:hint="eastAsia" w:ascii="仿宋_GB2312"/>
          <w:bCs/>
          <w:color w:val="auto"/>
          <w:sz w:val="32"/>
          <w:szCs w:val="32"/>
          <w:lang w:eastAsia="zh-CN"/>
        </w:rPr>
        <w:t>地</w:t>
      </w:r>
      <w:r>
        <w:rPr>
          <w:rFonts w:hint="eastAsia" w:ascii="仿宋_GB2312"/>
          <w:bCs/>
          <w:color w:val="auto"/>
          <w:sz w:val="32"/>
          <w:szCs w:val="32"/>
        </w:rPr>
        <w:t>反映。</w:t>
      </w:r>
    </w:p>
    <w:p w14:paraId="12C3ED0B">
      <w:pPr>
        <w:pageBreakBefore w:val="0"/>
        <w:kinsoku/>
        <w:wordWrap/>
        <w:overflowPunct/>
        <w:topLinePunct w:val="0"/>
        <w:autoSpaceDE/>
        <w:autoSpaceDN/>
        <w:bidi w:val="0"/>
        <w:adjustRightInd/>
        <w:spacing w:line="560" w:lineRule="exact"/>
        <w:ind w:left="0" w:firstLine="640"/>
        <w:textAlignment w:val="auto"/>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418D52B1">
      <w:pPr>
        <w:pageBreakBefore w:val="0"/>
        <w:kinsoku/>
        <w:wordWrap/>
        <w:overflowPunct/>
        <w:topLinePunct w:val="0"/>
        <w:autoSpaceDE/>
        <w:autoSpaceDN/>
        <w:bidi w:val="0"/>
        <w:adjustRightInd/>
        <w:spacing w:line="560" w:lineRule="exact"/>
        <w:ind w:left="0" w:firstLine="640"/>
        <w:textAlignment w:val="auto"/>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w:t>
      </w:r>
      <w:r>
        <w:rPr>
          <w:rFonts w:hint="eastAsia" w:ascii="仿宋_GB2312"/>
          <w:bCs/>
          <w:color w:val="auto"/>
          <w:sz w:val="32"/>
          <w:szCs w:val="32"/>
          <w:lang w:eastAsia="zh-CN"/>
        </w:rPr>
        <w:t>调减</w:t>
      </w:r>
      <w:r>
        <w:rPr>
          <w:rFonts w:hint="eastAsia" w:ascii="仿宋_GB2312"/>
          <w:bCs/>
          <w:color w:val="auto"/>
          <w:sz w:val="32"/>
          <w:szCs w:val="32"/>
        </w:rPr>
        <w:t>、无效要问责。</w:t>
      </w:r>
    </w:p>
    <w:p w14:paraId="302D23B7">
      <w:pPr>
        <w:pageBreakBefore w:val="0"/>
        <w:kinsoku/>
        <w:wordWrap/>
        <w:overflowPunct/>
        <w:topLinePunct w:val="0"/>
        <w:autoSpaceDE/>
        <w:autoSpaceDN/>
        <w:bidi w:val="0"/>
        <w:adjustRightInd/>
        <w:spacing w:line="560" w:lineRule="exact"/>
        <w:ind w:left="0" w:firstLine="640"/>
        <w:textAlignment w:val="auto"/>
        <w:rPr>
          <w:color w:val="auto"/>
        </w:rPr>
      </w:pPr>
      <w:r>
        <w:rPr>
          <w:rFonts w:hint="eastAsia" w:ascii="仿宋_GB2312"/>
          <w:bCs/>
          <w:color w:val="auto"/>
          <w:sz w:val="32"/>
          <w:szCs w:val="32"/>
        </w:rPr>
        <w:t>（四）公开透明。</w:t>
      </w:r>
      <w:r>
        <w:rPr>
          <w:rFonts w:hint="eastAsia" w:ascii="仿宋_GB2312"/>
          <w:bCs/>
          <w:color w:val="auto"/>
          <w:sz w:val="32"/>
          <w:szCs w:val="32"/>
          <w:highlight w:val="none"/>
          <w:lang w:val="en-US" w:eastAsia="zh-CN"/>
        </w:rPr>
        <w:t>永宁</w:t>
      </w:r>
      <w:r>
        <w:rPr>
          <w:rFonts w:hint="eastAsia" w:ascii="仿宋_GB2312"/>
          <w:bCs/>
          <w:color w:val="auto"/>
          <w:sz w:val="32"/>
          <w:szCs w:val="32"/>
          <w:lang w:val="en-US" w:eastAsia="zh-CN"/>
        </w:rPr>
        <w:t>镇</w:t>
      </w:r>
      <w:r>
        <w:rPr>
          <w:rFonts w:hint="eastAsia" w:ascii="仿宋_GB2312"/>
          <w:bCs/>
          <w:color w:val="auto"/>
          <w:sz w:val="32"/>
          <w:szCs w:val="32"/>
        </w:rPr>
        <w:t>绩效评价结束以后，将根据《</w:t>
      </w:r>
      <w:r>
        <w:rPr>
          <w:rFonts w:hint="eastAsia" w:ascii="仿宋_GB2312"/>
          <w:bCs/>
          <w:color w:val="auto"/>
          <w:sz w:val="32"/>
          <w:szCs w:val="32"/>
          <w:lang w:eastAsia="zh-CN"/>
        </w:rPr>
        <w:t>中华人民共和国政府信息公开条例</w:t>
      </w:r>
      <w:r>
        <w:rPr>
          <w:rFonts w:hint="eastAsia" w:ascii="仿宋_GB2312"/>
          <w:bCs/>
          <w:color w:val="auto"/>
          <w:sz w:val="32"/>
          <w:szCs w:val="32"/>
        </w:rPr>
        <w:t>》规定</w:t>
      </w:r>
      <w:r>
        <w:rPr>
          <w:rFonts w:hint="eastAsia" w:ascii="仿宋_GB2312"/>
          <w:bCs/>
          <w:color w:val="auto"/>
          <w:sz w:val="32"/>
          <w:szCs w:val="32"/>
          <w:lang w:eastAsia="zh-CN"/>
        </w:rPr>
        <w:t>，将</w:t>
      </w:r>
      <w:r>
        <w:rPr>
          <w:rFonts w:hint="eastAsia" w:ascii="仿宋_GB2312"/>
          <w:bCs/>
          <w:color w:val="auto"/>
          <w:sz w:val="32"/>
          <w:szCs w:val="32"/>
        </w:rPr>
        <w:t>自评结果在</w:t>
      </w:r>
      <w:r>
        <w:rPr>
          <w:rFonts w:hint="eastAsia" w:ascii="仿宋_GB2312"/>
          <w:bCs/>
          <w:color w:val="auto"/>
          <w:sz w:val="32"/>
          <w:szCs w:val="32"/>
          <w:lang w:eastAsia="zh-CN"/>
        </w:rPr>
        <w:t>焉耆县</w:t>
      </w:r>
      <w:r>
        <w:rPr>
          <w:rFonts w:hint="eastAsia" w:ascii="仿宋_GB2312"/>
          <w:bCs/>
          <w:color w:val="auto"/>
          <w:sz w:val="32"/>
          <w:szCs w:val="32"/>
          <w:lang w:val="en-US" w:eastAsia="zh-CN"/>
        </w:rPr>
        <w:t>人民</w:t>
      </w:r>
      <w:r>
        <w:rPr>
          <w:rFonts w:hint="eastAsia" w:ascii="仿宋_GB2312"/>
          <w:bCs/>
          <w:color w:val="auto"/>
          <w:sz w:val="32"/>
          <w:szCs w:val="32"/>
        </w:rPr>
        <w:t>政府网站进行公开，广泛接受人民群众监督，接受社会各界监督，让公众全面了解政府绩效评价过程和评价结果</w:t>
      </w:r>
      <w:r>
        <w:rPr>
          <w:rFonts w:hint="eastAsia" w:ascii="仿宋_GB2312"/>
          <w:bCs/>
          <w:color w:val="auto"/>
          <w:sz w:val="32"/>
          <w:szCs w:val="32"/>
          <w:lang w:eastAsia="zh-CN"/>
        </w:rPr>
        <w:t>。</w:t>
      </w:r>
    </w:p>
    <w:p w14:paraId="5635EEE9">
      <w:pPr>
        <w:pageBreakBefore w:val="0"/>
        <w:numPr>
          <w:ilvl w:val="0"/>
          <w:numId w:val="0"/>
        </w:numPr>
        <w:kinsoku/>
        <w:wordWrap/>
        <w:overflowPunct/>
        <w:topLinePunct w:val="0"/>
        <w:autoSpaceDE/>
        <w:autoSpaceDN/>
        <w:bidi w:val="0"/>
        <w:adjustRightInd/>
        <w:spacing w:line="560" w:lineRule="exact"/>
        <w:ind w:left="0" w:leftChars="0" w:firstLine="600" w:firstLineChars="200"/>
        <w:textAlignment w:val="auto"/>
        <w:rPr>
          <w:rFonts w:hint="eastAsia"/>
          <w:color w:val="auto"/>
        </w:rPr>
      </w:pPr>
      <w:r>
        <w:rPr>
          <w:rFonts w:hint="eastAsia" w:ascii="Times New Roman" w:hAnsi="Times New Roman" w:eastAsia="仿宋_GB2312" w:cs="Times New Roman"/>
          <w:color w:val="auto"/>
          <w:kern w:val="2"/>
          <w:sz w:val="30"/>
          <w:szCs w:val="24"/>
          <w:lang w:val="en-US" w:eastAsia="zh-CN" w:bidi="ar-SA"/>
        </w:rPr>
        <w:t>2、</w:t>
      </w:r>
      <w:r>
        <w:rPr>
          <w:rFonts w:hint="eastAsia"/>
          <w:color w:val="auto"/>
        </w:rPr>
        <w:t>评价指标体系（附表说明</w:t>
      </w:r>
      <w:r>
        <w:rPr>
          <w:rFonts w:hint="eastAsia"/>
          <w:color w:val="auto"/>
          <w:lang w:val="en-US" w:eastAsia="zh-CN"/>
        </w:rPr>
        <w:t>在最后</w:t>
      </w:r>
      <w:r>
        <w:rPr>
          <w:rFonts w:hint="eastAsia"/>
          <w:color w:val="auto"/>
        </w:rPr>
        <w:t>）</w:t>
      </w:r>
    </w:p>
    <w:p w14:paraId="2E77583F">
      <w:pPr>
        <w:pageBreakBefore w:val="0"/>
        <w:numPr>
          <w:ilvl w:val="0"/>
          <w:numId w:val="0"/>
        </w:numPr>
        <w:kinsoku/>
        <w:wordWrap/>
        <w:overflowPunct/>
        <w:topLinePunct w:val="0"/>
        <w:autoSpaceDE/>
        <w:autoSpaceDN/>
        <w:bidi w:val="0"/>
        <w:adjustRightInd/>
        <w:spacing w:line="560" w:lineRule="exact"/>
        <w:ind w:left="0" w:leftChars="0" w:firstLine="600" w:firstLineChars="200"/>
        <w:textAlignment w:val="auto"/>
        <w:rPr>
          <w:color w:val="auto"/>
        </w:rPr>
      </w:pPr>
      <w:r>
        <w:rPr>
          <w:rFonts w:hint="eastAsia"/>
          <w:color w:val="auto"/>
        </w:rPr>
        <w:t>3、评价方法</w:t>
      </w:r>
    </w:p>
    <w:p w14:paraId="2047A46C">
      <w:pPr>
        <w:pageBreakBefore w:val="0"/>
        <w:kinsoku/>
        <w:wordWrap/>
        <w:overflowPunct/>
        <w:topLinePunct w:val="0"/>
        <w:autoSpaceDE/>
        <w:autoSpaceDN/>
        <w:bidi w:val="0"/>
        <w:adjustRightInd/>
        <w:spacing w:line="560" w:lineRule="exact"/>
        <w:ind w:firstLine="600" w:firstLineChars="200"/>
        <w:jc w:val="left"/>
        <w:textAlignment w:val="auto"/>
        <w:rPr>
          <w:rFonts w:hint="eastAsia"/>
          <w:color w:val="auto"/>
        </w:rPr>
      </w:pPr>
      <w:r>
        <w:rPr>
          <w:rFonts w:hint="eastAsia"/>
          <w:color w:val="auto"/>
        </w:rPr>
        <w:t>本次项目支出绩效自评采用因素分析法，按照财政项目支出绩效自评工作的要求，结合</w:t>
      </w:r>
      <w:r>
        <w:rPr>
          <w:rFonts w:hint="eastAsia"/>
          <w:color w:val="auto"/>
          <w:lang w:eastAsia="zh-CN"/>
        </w:rPr>
        <w:t>本单位</w:t>
      </w:r>
      <w:r>
        <w:rPr>
          <w:rFonts w:hint="eastAsia"/>
          <w:color w:val="auto"/>
        </w:rPr>
        <w:t>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w:t>
      </w:r>
    </w:p>
    <w:p w14:paraId="7B26509E">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4、评价标准</w:t>
      </w:r>
    </w:p>
    <w:p w14:paraId="23336E1D">
      <w:pPr>
        <w:pageBreakBefore w:val="0"/>
        <w:kinsoku/>
        <w:wordWrap/>
        <w:overflowPunct/>
        <w:topLinePunct w:val="0"/>
        <w:autoSpaceDE/>
        <w:autoSpaceDN/>
        <w:bidi w:val="0"/>
        <w:adjustRightInd/>
        <w:spacing w:line="560" w:lineRule="exact"/>
        <w:ind w:firstLine="640" w:firstLineChars="200"/>
        <w:jc w:val="left"/>
        <w:textAlignment w:val="auto"/>
        <w:rPr>
          <w:rFonts w:hint="eastAsia"/>
          <w:bCs/>
          <w:color w:val="auto"/>
          <w:sz w:val="32"/>
          <w:szCs w:val="32"/>
        </w:rPr>
      </w:pPr>
      <w:bookmarkStart w:id="6" w:name="_Toc68703833"/>
      <w:r>
        <w:rPr>
          <w:rFonts w:hint="eastAsia"/>
          <w:bCs/>
          <w:color w:val="auto"/>
          <w:sz w:val="32"/>
          <w:szCs w:val="32"/>
        </w:rPr>
        <w:t>本次项目支出绩效自评采用</w:t>
      </w:r>
      <w:r>
        <w:rPr>
          <w:rFonts w:hint="eastAsia"/>
          <w:bCs/>
          <w:color w:val="auto"/>
          <w:sz w:val="32"/>
          <w:szCs w:val="32"/>
          <w:lang w:val="en-US" w:eastAsia="zh-CN"/>
        </w:rPr>
        <w:t>计划</w:t>
      </w:r>
      <w:r>
        <w:rPr>
          <w:rFonts w:hint="eastAsia"/>
          <w:bCs/>
          <w:color w:val="auto"/>
          <w:sz w:val="32"/>
          <w:szCs w:val="32"/>
        </w:rPr>
        <w:t>标准，原因是：</w:t>
      </w:r>
      <w:r>
        <w:rPr>
          <w:rFonts w:hint="eastAsia"/>
          <w:color w:val="auto"/>
          <w:lang w:val="en-US" w:eastAsia="zh-CN"/>
        </w:rPr>
        <w:t>采用计划标准能够确保目标有序实现，提高工作效率，降低风险，增强对不确定性的应对能力。</w:t>
      </w:r>
    </w:p>
    <w:p w14:paraId="63B7FAC4">
      <w:pPr>
        <w:pStyle w:val="4"/>
        <w:pageBreakBefore w:val="0"/>
        <w:kinsoku/>
        <w:wordWrap/>
        <w:overflowPunct/>
        <w:topLinePunct w:val="0"/>
        <w:autoSpaceDE/>
        <w:autoSpaceDN/>
        <w:bidi w:val="0"/>
        <w:adjustRightInd/>
        <w:snapToGrid/>
        <w:spacing w:before="0" w:after="0" w:line="560" w:lineRule="exact"/>
        <w:ind w:left="0" w:firstLine="640" w:firstLineChars="200"/>
        <w:textAlignment w:val="auto"/>
        <w:rPr>
          <w:rFonts w:hint="eastAsia" w:ascii="仿宋_GB2312" w:eastAsia="仿宋_GB2312"/>
          <w:b w:val="0"/>
          <w:bCs w:val="0"/>
          <w:color w:val="auto"/>
        </w:rPr>
      </w:pPr>
      <w:r>
        <w:rPr>
          <w:rFonts w:hint="eastAsia" w:ascii="仿宋_GB2312" w:eastAsia="仿宋_GB2312"/>
          <w:b w:val="0"/>
          <w:bCs w:val="0"/>
          <w:color w:val="auto"/>
        </w:rPr>
        <w:t>（三）绩效评价工作过程。</w:t>
      </w:r>
      <w:bookmarkEnd w:id="6"/>
    </w:p>
    <w:p w14:paraId="373ABC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2FF6B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40FDDA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w:t>
      </w:r>
      <w:r>
        <w:rPr>
          <w:rFonts w:hint="eastAsia"/>
          <w:bCs/>
          <w:color w:val="auto"/>
          <w:sz w:val="32"/>
          <w:szCs w:val="32"/>
          <w:lang w:eastAsia="zh-CN"/>
        </w:rPr>
        <w:t>地</w:t>
      </w:r>
      <w:r>
        <w:rPr>
          <w:rFonts w:hint="eastAsia" w:eastAsia="仿宋_GB2312"/>
          <w:bCs/>
          <w:color w:val="auto"/>
          <w:sz w:val="32"/>
          <w:szCs w:val="32"/>
        </w:rPr>
        <w:t>分析评价，逐项打分并形成绩效评价最终结果。</w:t>
      </w:r>
    </w:p>
    <w:p w14:paraId="32AD0B09">
      <w:pPr>
        <w:pStyle w:val="3"/>
        <w:pageBreakBefore w:val="0"/>
        <w:kinsoku/>
        <w:wordWrap/>
        <w:overflowPunct/>
        <w:topLinePunct w:val="0"/>
        <w:autoSpaceDE/>
        <w:autoSpaceDN/>
        <w:bidi w:val="0"/>
        <w:adjustRightInd/>
        <w:spacing w:before="0" w:after="0" w:line="560" w:lineRule="exact"/>
        <w:ind w:left="0" w:firstLine="643" w:firstLineChars="200"/>
        <w:textAlignment w:val="auto"/>
        <w:rPr>
          <w:rFonts w:ascii="宋体" w:hAnsi="宋体" w:eastAsia="宋体"/>
          <w:color w:val="auto"/>
          <w:sz w:val="32"/>
          <w:szCs w:val="32"/>
        </w:rPr>
      </w:pPr>
      <w:bookmarkStart w:id="7" w:name="_Toc68703834"/>
      <w:r>
        <w:rPr>
          <w:rFonts w:hint="eastAsia" w:ascii="宋体" w:hAnsi="宋体" w:eastAsia="宋体"/>
          <w:color w:val="auto"/>
          <w:sz w:val="32"/>
          <w:szCs w:val="32"/>
        </w:rPr>
        <w:t>三、综合评价情况及评价结论</w:t>
      </w:r>
      <w:bookmarkEnd w:id="7"/>
    </w:p>
    <w:p w14:paraId="7C17D590">
      <w:pPr>
        <w:pStyle w:val="4"/>
        <w:pageBreakBefore w:val="0"/>
        <w:kinsoku/>
        <w:wordWrap/>
        <w:overflowPunct/>
        <w:topLinePunct w:val="0"/>
        <w:autoSpaceDE/>
        <w:autoSpaceDN/>
        <w:bidi w:val="0"/>
        <w:adjustRightInd/>
        <w:spacing w:before="0" w:after="0" w:line="560" w:lineRule="exact"/>
        <w:ind w:left="0" w:firstLine="640" w:firstLineChars="200"/>
        <w:textAlignment w:val="auto"/>
        <w:rPr>
          <w:rFonts w:ascii="仿宋_GB2312" w:eastAsia="仿宋_GB2312"/>
          <w:b w:val="0"/>
          <w:bCs w:val="0"/>
          <w:color w:val="auto"/>
        </w:rPr>
      </w:pPr>
      <w:bookmarkStart w:id="8" w:name="_Toc68703835"/>
      <w:r>
        <w:rPr>
          <w:rFonts w:hint="eastAsia" w:ascii="仿宋_GB2312" w:eastAsia="仿宋_GB2312"/>
          <w:b w:val="0"/>
          <w:bCs w:val="0"/>
          <w:color w:val="auto"/>
        </w:rPr>
        <w:t>（一）综合评价情况</w:t>
      </w:r>
      <w:bookmarkEnd w:id="8"/>
    </w:p>
    <w:p w14:paraId="6AB90D85">
      <w:pPr>
        <w:pageBreakBefore w:val="0"/>
        <w:kinsoku/>
        <w:wordWrap/>
        <w:overflowPunct/>
        <w:topLinePunct w:val="0"/>
        <w:autoSpaceDE/>
        <w:autoSpaceDN/>
        <w:bidi w:val="0"/>
        <w:adjustRightInd/>
        <w:spacing w:line="560" w:lineRule="exact"/>
        <w:ind w:left="0" w:firstLine="600" w:firstLineChars="200"/>
        <w:textAlignment w:val="auto"/>
        <w:rPr>
          <w:color w:val="auto"/>
        </w:rPr>
      </w:pPr>
      <w:r>
        <w:rPr>
          <w:rFonts w:hint="eastAsia"/>
          <w:color w:val="auto"/>
        </w:rPr>
        <w:t>本项目严格按照</w:t>
      </w:r>
      <w:r>
        <w:rPr>
          <w:rFonts w:hint="eastAsia"/>
          <w:color w:val="auto"/>
          <w:lang w:val="en-US" w:eastAsia="zh-CN"/>
        </w:rPr>
        <w:t>科学公正、统筹兼顾、激励约束和公开透明</w:t>
      </w:r>
      <w:r>
        <w:rPr>
          <w:rFonts w:hint="eastAsia"/>
          <w:color w:val="auto"/>
        </w:rPr>
        <w:t>绩效评价原则，采用</w:t>
      </w:r>
      <w:r>
        <w:rPr>
          <w:rFonts w:hint="eastAsia"/>
          <w:color w:val="auto"/>
          <w:lang w:val="en-US" w:eastAsia="zh-CN"/>
        </w:rPr>
        <w:t>因素分析法</w:t>
      </w:r>
      <w:r>
        <w:rPr>
          <w:rFonts w:hint="eastAsia"/>
          <w:color w:val="auto"/>
        </w:rPr>
        <w:t>评价方法，坚持</w:t>
      </w:r>
      <w:r>
        <w:rPr>
          <w:rFonts w:hint="eastAsia"/>
          <w:color w:val="auto"/>
          <w:lang w:val="en-US" w:eastAsia="zh-CN"/>
        </w:rPr>
        <w:t>计划</w:t>
      </w:r>
      <w:r>
        <w:rPr>
          <w:rFonts w:hint="eastAsia"/>
          <w:color w:val="auto"/>
        </w:rPr>
        <w:t>绩效评价标准对本项目的立项、</w:t>
      </w:r>
      <w:r>
        <w:rPr>
          <w:rFonts w:hint="eastAsia"/>
          <w:color w:val="auto"/>
          <w:lang w:eastAsia="zh-CN"/>
        </w:rPr>
        <w:t>项目</w:t>
      </w:r>
      <w:r>
        <w:rPr>
          <w:rFonts w:hint="eastAsia"/>
          <w:color w:val="auto"/>
        </w:rPr>
        <w:t>绩效目标、资金投入、资金管理、组织实施、产出数量、产出质量、产出时效、产出成本、项目效益进行了综合评价。</w:t>
      </w:r>
    </w:p>
    <w:p w14:paraId="79021D62">
      <w:pPr>
        <w:pageBreakBefore w:val="0"/>
        <w:kinsoku/>
        <w:wordWrap/>
        <w:overflowPunct/>
        <w:topLinePunct w:val="0"/>
        <w:autoSpaceDE/>
        <w:autoSpaceDN/>
        <w:bidi w:val="0"/>
        <w:adjustRightInd/>
        <w:spacing w:line="360" w:lineRule="auto"/>
        <w:ind w:left="0" w:firstLine="1280" w:firstLineChars="400"/>
        <w:jc w:val="both"/>
        <w:textAlignment w:val="auto"/>
        <w:rPr>
          <w:color w:val="auto"/>
        </w:rPr>
      </w:pPr>
      <w:r>
        <w:rPr>
          <w:rFonts w:hint="eastAsia" w:ascii="仿宋_GB2312"/>
          <w:bCs/>
          <w:color w:val="auto"/>
          <w:sz w:val="32"/>
          <w:szCs w:val="32"/>
          <w:lang w:eastAsia="zh-CN"/>
        </w:rPr>
        <w:t>永宁镇下岔河村人居环境整治项目</w:t>
      </w:r>
      <w:r>
        <w:rPr>
          <w:rFonts w:hint="eastAsia"/>
          <w:color w:val="auto"/>
        </w:rPr>
        <w:t>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0F6B0C6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8F11017">
            <w:pPr>
              <w:pageBreakBefore w:val="0"/>
              <w:kinsoku/>
              <w:wordWrap/>
              <w:overflowPunct/>
              <w:topLinePunct w:val="0"/>
              <w:autoSpaceDE/>
              <w:autoSpaceDN/>
              <w:bidi w:val="0"/>
              <w:adjustRightInd/>
              <w:ind w:left="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B124BBD">
            <w:pPr>
              <w:pageBreakBefore w:val="0"/>
              <w:kinsoku/>
              <w:wordWrap/>
              <w:overflowPunct/>
              <w:topLinePunct w:val="0"/>
              <w:autoSpaceDE/>
              <w:autoSpaceDN/>
              <w:bidi w:val="0"/>
              <w:adjustRightInd/>
              <w:ind w:left="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AF1A22F">
            <w:pPr>
              <w:pageBreakBefore w:val="0"/>
              <w:kinsoku/>
              <w:wordWrap/>
              <w:overflowPunct/>
              <w:topLinePunct w:val="0"/>
              <w:autoSpaceDE/>
              <w:autoSpaceDN/>
              <w:bidi w:val="0"/>
              <w:adjustRightInd/>
              <w:ind w:left="0"/>
              <w:jc w:val="center"/>
              <w:textAlignment w:val="auto"/>
              <w:rPr>
                <w:b/>
                <w:bCs/>
                <w:color w:val="000000"/>
                <w:sz w:val="22"/>
              </w:rPr>
            </w:pPr>
            <w:r>
              <w:rPr>
                <w:rFonts w:hint="eastAsia"/>
                <w:b/>
                <w:bCs/>
                <w:color w:val="000000"/>
                <w:sz w:val="22"/>
              </w:rPr>
              <w:t>得分</w:t>
            </w:r>
          </w:p>
        </w:tc>
      </w:tr>
      <w:tr w14:paraId="7D196D9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0EF7F7">
            <w:pPr>
              <w:pageBreakBefore w:val="0"/>
              <w:kinsoku/>
              <w:wordWrap/>
              <w:overflowPunct/>
              <w:topLinePunct w:val="0"/>
              <w:autoSpaceDE/>
              <w:autoSpaceDN/>
              <w:bidi w:val="0"/>
              <w:adjustRightInd/>
              <w:ind w:left="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11F3BE9">
            <w:pPr>
              <w:pageBreakBefore w:val="0"/>
              <w:kinsoku/>
              <w:wordWrap/>
              <w:overflowPunct/>
              <w:topLinePunct w:val="0"/>
              <w:autoSpaceDE/>
              <w:autoSpaceDN/>
              <w:bidi w:val="0"/>
              <w:adjustRightInd/>
              <w:ind w:left="0"/>
              <w:jc w:val="center"/>
              <w:textAlignment w:val="auto"/>
              <w:rPr>
                <w:rFonts w:hint="default" w:eastAsia="仿宋_GB2312"/>
                <w:color w:val="000000"/>
                <w:sz w:val="22"/>
                <w:lang w:val="en-US" w:eastAsia="zh-CN"/>
              </w:rPr>
            </w:pPr>
            <w:r>
              <w:rPr>
                <w:rFonts w:hint="eastAsia"/>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27632879">
            <w:pPr>
              <w:pageBreakBefore w:val="0"/>
              <w:kinsoku/>
              <w:wordWrap/>
              <w:overflowPunct/>
              <w:topLinePunct w:val="0"/>
              <w:autoSpaceDE/>
              <w:autoSpaceDN/>
              <w:bidi w:val="0"/>
              <w:adjustRightInd/>
              <w:ind w:left="0"/>
              <w:jc w:val="center"/>
              <w:textAlignment w:val="auto"/>
              <w:rPr>
                <w:rFonts w:hint="default" w:eastAsia="仿宋_GB2312"/>
                <w:color w:val="000000"/>
                <w:sz w:val="22"/>
                <w:lang w:val="en-US" w:eastAsia="zh-CN"/>
              </w:rPr>
            </w:pPr>
            <w:r>
              <w:rPr>
                <w:rFonts w:hint="eastAsia"/>
                <w:color w:val="000000"/>
                <w:sz w:val="22"/>
                <w:lang w:val="en-US" w:eastAsia="zh-CN"/>
              </w:rPr>
              <w:t>30</w:t>
            </w:r>
          </w:p>
        </w:tc>
      </w:tr>
      <w:tr w14:paraId="00659D8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646F25E">
            <w:pPr>
              <w:pageBreakBefore w:val="0"/>
              <w:kinsoku/>
              <w:wordWrap/>
              <w:overflowPunct/>
              <w:topLinePunct w:val="0"/>
              <w:autoSpaceDE/>
              <w:autoSpaceDN/>
              <w:bidi w:val="0"/>
              <w:adjustRightInd/>
              <w:ind w:left="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B153BE7">
            <w:pPr>
              <w:pageBreakBefore w:val="0"/>
              <w:kinsoku/>
              <w:wordWrap/>
              <w:overflowPunct/>
              <w:topLinePunct w:val="0"/>
              <w:autoSpaceDE/>
              <w:autoSpaceDN/>
              <w:bidi w:val="0"/>
              <w:adjustRightInd/>
              <w:ind w:left="0"/>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14:paraId="2015FFB6">
            <w:pPr>
              <w:pageBreakBefore w:val="0"/>
              <w:kinsoku/>
              <w:wordWrap/>
              <w:overflowPunct/>
              <w:topLinePunct w:val="0"/>
              <w:autoSpaceDE/>
              <w:autoSpaceDN/>
              <w:bidi w:val="0"/>
              <w:adjustRightInd/>
              <w:ind w:left="0"/>
              <w:jc w:val="center"/>
              <w:textAlignment w:val="auto"/>
              <w:rPr>
                <w:rFonts w:hint="default"/>
                <w:lang w:val="en-US" w:eastAsia="zh-CN"/>
              </w:rPr>
            </w:pPr>
            <w:r>
              <w:rPr>
                <w:rFonts w:hint="eastAsia"/>
                <w:color w:val="000000"/>
                <w:sz w:val="22"/>
                <w:lang w:val="en-US" w:eastAsia="zh-CN"/>
              </w:rPr>
              <w:t>23</w:t>
            </w:r>
          </w:p>
        </w:tc>
      </w:tr>
      <w:tr w14:paraId="67B4452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735818">
            <w:pPr>
              <w:pageBreakBefore w:val="0"/>
              <w:kinsoku/>
              <w:wordWrap/>
              <w:overflowPunct/>
              <w:topLinePunct w:val="0"/>
              <w:autoSpaceDE/>
              <w:autoSpaceDN/>
              <w:bidi w:val="0"/>
              <w:adjustRightInd/>
              <w:ind w:left="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965380C">
            <w:pPr>
              <w:pageBreakBefore w:val="0"/>
              <w:kinsoku/>
              <w:wordWrap/>
              <w:overflowPunct/>
              <w:topLinePunct w:val="0"/>
              <w:autoSpaceDE/>
              <w:autoSpaceDN/>
              <w:bidi w:val="0"/>
              <w:adjustRightInd/>
              <w:ind w:left="0"/>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14:paraId="4FE7BB60">
            <w:pPr>
              <w:pageBreakBefore w:val="0"/>
              <w:kinsoku/>
              <w:wordWrap/>
              <w:overflowPunct/>
              <w:topLinePunct w:val="0"/>
              <w:autoSpaceDE/>
              <w:autoSpaceDN/>
              <w:bidi w:val="0"/>
              <w:adjustRightInd/>
              <w:ind w:left="0"/>
              <w:jc w:val="center"/>
              <w:textAlignment w:val="auto"/>
              <w:rPr>
                <w:rFonts w:hint="default" w:eastAsia="仿宋_GB2312"/>
                <w:color w:val="000000"/>
                <w:sz w:val="22"/>
                <w:lang w:val="en-US" w:eastAsia="zh-CN"/>
              </w:rPr>
            </w:pPr>
            <w:r>
              <w:rPr>
                <w:rFonts w:hint="eastAsia"/>
                <w:color w:val="000000"/>
                <w:sz w:val="22"/>
                <w:lang w:val="en-US" w:eastAsia="zh-CN"/>
              </w:rPr>
              <w:t>25</w:t>
            </w:r>
          </w:p>
        </w:tc>
      </w:tr>
      <w:tr w14:paraId="269BD90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2AA23D">
            <w:pPr>
              <w:pageBreakBefore w:val="0"/>
              <w:kinsoku/>
              <w:wordWrap/>
              <w:overflowPunct/>
              <w:topLinePunct w:val="0"/>
              <w:autoSpaceDE/>
              <w:autoSpaceDN/>
              <w:bidi w:val="0"/>
              <w:adjustRightInd/>
              <w:ind w:left="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DD81CF8">
            <w:pPr>
              <w:pageBreakBefore w:val="0"/>
              <w:kinsoku/>
              <w:wordWrap/>
              <w:overflowPunct/>
              <w:topLinePunct w:val="0"/>
              <w:autoSpaceDE/>
              <w:autoSpaceDN/>
              <w:bidi w:val="0"/>
              <w:adjustRightInd/>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0B92AFF">
            <w:pPr>
              <w:pageBreakBefore w:val="0"/>
              <w:kinsoku/>
              <w:wordWrap/>
              <w:overflowPunct/>
              <w:topLinePunct w:val="0"/>
              <w:autoSpaceDE/>
              <w:autoSpaceDN/>
              <w:bidi w:val="0"/>
              <w:adjustRightInd/>
              <w:ind w:left="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72491E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7DF572E">
            <w:pPr>
              <w:pageBreakBefore w:val="0"/>
              <w:kinsoku/>
              <w:wordWrap/>
              <w:overflowPunct/>
              <w:topLinePunct w:val="0"/>
              <w:autoSpaceDE/>
              <w:autoSpaceDN/>
              <w:bidi w:val="0"/>
              <w:adjustRightInd/>
              <w:ind w:left="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BE92721">
            <w:pPr>
              <w:pageBreakBefore w:val="0"/>
              <w:kinsoku/>
              <w:wordWrap/>
              <w:overflowPunct/>
              <w:topLinePunct w:val="0"/>
              <w:autoSpaceDE/>
              <w:autoSpaceDN/>
              <w:bidi w:val="0"/>
              <w:adjustRightInd/>
              <w:ind w:left="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6FA4776">
            <w:pPr>
              <w:pageBreakBefore w:val="0"/>
              <w:kinsoku/>
              <w:wordWrap/>
              <w:overflowPunct/>
              <w:topLinePunct w:val="0"/>
              <w:autoSpaceDE/>
              <w:autoSpaceDN/>
              <w:bidi w:val="0"/>
              <w:adjustRightInd/>
              <w:ind w:left="0"/>
              <w:jc w:val="center"/>
              <w:textAlignment w:val="auto"/>
              <w:rPr>
                <w:rFonts w:hint="default" w:eastAsia="仿宋_GB2312"/>
                <w:b/>
                <w:bCs/>
                <w:color w:val="000000"/>
                <w:sz w:val="22"/>
                <w:lang w:val="en-US" w:eastAsia="zh-CN"/>
              </w:rPr>
            </w:pPr>
            <w:r>
              <w:rPr>
                <w:rFonts w:hint="eastAsia"/>
                <w:b/>
                <w:bCs/>
                <w:color w:val="000000"/>
                <w:sz w:val="22"/>
                <w:lang w:val="en-US" w:eastAsia="zh-CN"/>
              </w:rPr>
              <w:t>98</w:t>
            </w:r>
          </w:p>
        </w:tc>
      </w:tr>
    </w:tbl>
    <w:p w14:paraId="2506E643">
      <w:pPr>
        <w:pStyle w:val="4"/>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1C386D2A">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color w:val="FF0000"/>
        </w:rPr>
      </w:pPr>
      <w:bookmarkStart w:id="10" w:name="_Toc68703837"/>
      <w:r>
        <w:rPr>
          <w:rFonts w:hint="eastAsia"/>
          <w:color w:val="auto"/>
        </w:rPr>
        <w:t>本项目的项目决策、项目产出、项目效益均达到了预期要求，</w:t>
      </w:r>
      <w:r>
        <w:rPr>
          <w:rFonts w:hint="eastAsia"/>
          <w:color w:val="auto"/>
          <w:lang w:val="en-US" w:eastAsia="zh-CN"/>
        </w:rPr>
        <w:t>在</w:t>
      </w:r>
      <w:r>
        <w:rPr>
          <w:rFonts w:hint="eastAsia"/>
          <w:color w:val="auto"/>
        </w:rPr>
        <w:t>项目过程</w:t>
      </w:r>
      <w:r>
        <w:rPr>
          <w:rFonts w:hint="eastAsia"/>
          <w:color w:val="auto"/>
          <w:lang w:val="en-US" w:eastAsia="zh-CN"/>
        </w:rPr>
        <w:t>中由于</w:t>
      </w:r>
      <w:r>
        <w:rPr>
          <w:rFonts w:hint="eastAsia"/>
          <w:color w:val="auto"/>
        </w:rPr>
        <w:t>绩效管理</w:t>
      </w:r>
      <w:r>
        <w:rPr>
          <w:rFonts w:hint="eastAsia"/>
          <w:color w:val="auto"/>
          <w:lang w:val="en-US" w:eastAsia="zh-CN"/>
        </w:rPr>
        <w:t>制度</w:t>
      </w:r>
      <w:r>
        <w:rPr>
          <w:rFonts w:hint="eastAsia"/>
          <w:color w:val="auto"/>
        </w:rPr>
        <w:t>不健全</w:t>
      </w:r>
      <w:r>
        <w:rPr>
          <w:rFonts w:hint="eastAsia"/>
          <w:color w:val="auto"/>
          <w:lang w:val="en-US" w:eastAsia="zh-CN"/>
        </w:rPr>
        <w:t>不完善，扣2分，</w:t>
      </w:r>
      <w:r>
        <w:rPr>
          <w:rFonts w:hint="eastAsia"/>
          <w:color w:val="auto"/>
        </w:rPr>
        <w:t>最终得分为</w:t>
      </w:r>
      <w:r>
        <w:rPr>
          <w:rFonts w:hint="eastAsia"/>
          <w:color w:val="auto"/>
          <w:lang w:val="en-US" w:eastAsia="zh-CN"/>
        </w:rPr>
        <w:t>98</w:t>
      </w:r>
      <w:r>
        <w:rPr>
          <w:rFonts w:hint="eastAsia"/>
          <w:color w:val="auto"/>
        </w:rPr>
        <w:t>分，项目达成年度指标。</w:t>
      </w:r>
    </w:p>
    <w:p w14:paraId="2F7CAAC0">
      <w:pPr>
        <w:pStyle w:val="3"/>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ascii="宋体" w:hAnsi="宋体" w:eastAsia="宋体"/>
          <w:sz w:val="32"/>
          <w:szCs w:val="32"/>
        </w:rPr>
      </w:pPr>
      <w:r>
        <w:rPr>
          <w:rFonts w:hint="eastAsia" w:ascii="宋体" w:hAnsi="宋体" w:eastAsia="宋体"/>
          <w:sz w:val="32"/>
          <w:szCs w:val="32"/>
        </w:rPr>
        <w:t>四、绩效评价指标分析</w:t>
      </w:r>
      <w:bookmarkEnd w:id="10"/>
    </w:p>
    <w:p w14:paraId="257DDC39">
      <w:pPr>
        <w:pStyle w:val="4"/>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3F1AD75E">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1、立项依据充分性</w:t>
      </w:r>
    </w:p>
    <w:p w14:paraId="1A909C4C">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color w:val="FF0000"/>
          <w:highlight w:val="yellow"/>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14:paraId="6567AE6B">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2、立项程序规范性</w:t>
      </w:r>
    </w:p>
    <w:p w14:paraId="4E2214DF">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color w:val="FF0000"/>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14:paraId="1CF85153">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3、绩效目标合理性</w:t>
      </w:r>
    </w:p>
    <w:p w14:paraId="6EDC6855">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lang w:val="en-US" w:eastAsia="zh-CN"/>
        </w:rPr>
        <w:t>永宁镇下岔河村人居环境整治</w:t>
      </w:r>
      <w:r>
        <w:rPr>
          <w:rFonts w:hint="eastAsia"/>
          <w:color w:val="auto"/>
        </w:rPr>
        <w:t>项目设立了项目绩效目标，与</w:t>
      </w:r>
      <w:r>
        <w:rPr>
          <w:rFonts w:hint="eastAsia"/>
          <w:color w:val="auto"/>
          <w:lang w:val="en-US" w:eastAsia="zh-CN"/>
        </w:rPr>
        <w:t>改善下岔河村人居环境条件</w:t>
      </w:r>
      <w:r>
        <w:rPr>
          <w:rFonts w:hint="eastAsia"/>
          <w:color w:val="auto"/>
        </w:rPr>
        <w:t>具有相关性，项目的预期产出效益和效果也均能符合正常的业绩水平，并且与预算确定的项目投资额或资金量相匹配。</w:t>
      </w:r>
    </w:p>
    <w:p w14:paraId="04474885">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4、绩效指标明确性</w:t>
      </w:r>
    </w:p>
    <w:p w14:paraId="6C2CBBA4">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color w:val="auto"/>
        </w:rPr>
      </w:pPr>
      <w:bookmarkStart w:id="12" w:name="_Hlk68699917"/>
      <w:r>
        <w:rPr>
          <w:rFonts w:hint="eastAsia"/>
          <w:lang w:val="en-US" w:eastAsia="zh-CN"/>
        </w:rPr>
        <w:t>永宁镇下岔河村人居环境整治项目</w:t>
      </w:r>
      <w:r>
        <w:rPr>
          <w:rFonts w:hint="eastAsia"/>
          <w:color w:val="auto"/>
        </w:rPr>
        <w:t>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17</w:t>
      </w:r>
      <w:r>
        <w:rPr>
          <w:rFonts w:hint="eastAsia"/>
          <w:color w:val="auto"/>
        </w:rPr>
        <w:t>条，所有绩效指标均通过清晰、可衡量的指标值予以体现，并且做到了与项目目标任务数或计划数相对应。</w:t>
      </w:r>
      <w:bookmarkEnd w:id="12"/>
    </w:p>
    <w:p w14:paraId="7B34D0D5">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5、预算编制科学性</w:t>
      </w:r>
    </w:p>
    <w:p w14:paraId="7AE9A6DF">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rPr>
        <w:t>该项目预算编制经过科学论证，预算内容与项目内容匹配，预算额度测算依据充分，按照标准编制，预算确定的项目投资额或资金量与工作任务相匹配。</w:t>
      </w:r>
    </w:p>
    <w:p w14:paraId="0069D3C9">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6、资金分配合理性</w:t>
      </w:r>
    </w:p>
    <w:p w14:paraId="0A770ABF">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rPr>
      </w:pPr>
      <w:bookmarkStart w:id="13" w:name="_Toc68703839"/>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14:paraId="172C23C9">
      <w:pPr>
        <w:pStyle w:val="4"/>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b w:val="0"/>
          <w:bCs w:val="0"/>
        </w:rPr>
      </w:pPr>
      <w:r>
        <w:rPr>
          <w:rFonts w:hint="eastAsia" w:ascii="仿宋_GB2312" w:eastAsia="仿宋_GB2312"/>
          <w:b w:val="0"/>
          <w:bCs w:val="0"/>
        </w:rPr>
        <w:t>（二）项目过程情况。</w:t>
      </w:r>
      <w:bookmarkEnd w:id="13"/>
    </w:p>
    <w:p w14:paraId="31A04532">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1、资金到位率：</w:t>
      </w:r>
    </w:p>
    <w:p w14:paraId="18184398">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color w:val="auto"/>
          <w:lang w:eastAsia="zh-CN"/>
        </w:rPr>
      </w:pPr>
      <w:r>
        <w:rPr>
          <w:rFonts w:hint="eastAsia"/>
          <w:color w:val="auto"/>
        </w:rPr>
        <w:t>实际到位资金</w:t>
      </w:r>
      <w:r>
        <w:rPr>
          <w:rFonts w:hint="eastAsia"/>
          <w:color w:val="auto"/>
          <w:lang w:val="en-US" w:eastAsia="zh-CN"/>
        </w:rPr>
        <w:t>203.77</w:t>
      </w:r>
      <w:r>
        <w:rPr>
          <w:rFonts w:hint="eastAsia"/>
          <w:color w:val="auto"/>
        </w:rPr>
        <w:t>万元，预算资金</w:t>
      </w:r>
      <w:r>
        <w:rPr>
          <w:rFonts w:hint="eastAsia"/>
          <w:color w:val="auto"/>
          <w:lang w:val="en-US" w:eastAsia="zh-CN"/>
        </w:rPr>
        <w:t>203.77</w:t>
      </w:r>
      <w:r>
        <w:rPr>
          <w:rFonts w:hint="eastAsia"/>
          <w:color w:val="auto"/>
        </w:rPr>
        <w:t>万元，资金到位率</w:t>
      </w:r>
      <w:r>
        <w:rPr>
          <w:color w:val="auto"/>
        </w:rPr>
        <w:t>100</w:t>
      </w:r>
      <w:r>
        <w:rPr>
          <w:rFonts w:hint="eastAsia"/>
          <w:color w:val="auto"/>
        </w:rPr>
        <w:t>%</w:t>
      </w:r>
      <w:r>
        <w:rPr>
          <w:rFonts w:hint="eastAsia"/>
          <w:color w:val="auto"/>
          <w:lang w:eastAsia="zh-CN"/>
        </w:rPr>
        <w:t>。</w:t>
      </w:r>
    </w:p>
    <w:p w14:paraId="2E2254D9">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2、预算执行率</w:t>
      </w:r>
    </w:p>
    <w:p w14:paraId="43EA128B">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0</w:t>
      </w:r>
      <w:r>
        <w:rPr>
          <w:rFonts w:hint="eastAsia"/>
          <w:color w:val="auto"/>
        </w:rPr>
        <w:t>万元，全年预算数</w:t>
      </w:r>
      <w:r>
        <w:rPr>
          <w:rFonts w:hint="eastAsia"/>
          <w:color w:val="auto"/>
          <w:lang w:val="en-US" w:eastAsia="zh-CN"/>
        </w:rPr>
        <w:t>203.77</w:t>
      </w:r>
      <w:r>
        <w:rPr>
          <w:rFonts w:hint="eastAsia"/>
          <w:color w:val="auto"/>
        </w:rPr>
        <w:t>万元，全年执行数</w:t>
      </w:r>
      <w:r>
        <w:rPr>
          <w:rFonts w:hint="eastAsia"/>
          <w:color w:val="auto"/>
          <w:lang w:val="en-US" w:eastAsia="zh-CN"/>
        </w:rPr>
        <w:t>203.77</w:t>
      </w:r>
      <w:r>
        <w:rPr>
          <w:rFonts w:hint="eastAsia"/>
          <w:color w:val="auto"/>
        </w:rPr>
        <w:t>万元，预算执行率为</w:t>
      </w:r>
      <w:r>
        <w:rPr>
          <w:color w:val="auto"/>
        </w:rPr>
        <w:t>100</w:t>
      </w:r>
      <w:r>
        <w:rPr>
          <w:rFonts w:hint="eastAsia"/>
          <w:color w:val="auto"/>
        </w:rPr>
        <w:t>%</w:t>
      </w:r>
      <w:r>
        <w:rPr>
          <w:rFonts w:hint="eastAsia"/>
          <w:color w:val="auto"/>
          <w:lang w:eastAsia="zh-CN"/>
        </w:rPr>
        <w:t>。</w:t>
      </w:r>
    </w:p>
    <w:p w14:paraId="2E466939">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3、资金使用合规性</w:t>
      </w:r>
    </w:p>
    <w:p w14:paraId="22846085">
      <w:pPr>
        <w:pageBreakBefore w:val="0"/>
        <w:widowControl w:val="0"/>
        <w:kinsoku/>
        <w:wordWrap/>
        <w:overflowPunct/>
        <w:topLinePunct w:val="0"/>
        <w:autoSpaceDE/>
        <w:autoSpaceDN/>
        <w:bidi w:val="0"/>
        <w:adjustRightInd/>
        <w:snapToGrid/>
        <w:spacing w:line="560" w:lineRule="exact"/>
        <w:ind w:leftChars="0" w:firstLine="600" w:firstLineChars="200"/>
        <w:textAlignment w:val="auto"/>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14:paraId="02684010">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4、管理制度健全性</w:t>
      </w:r>
    </w:p>
    <w:p w14:paraId="1D7FC94D">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color w:val="auto"/>
        </w:rPr>
      </w:pPr>
      <w:r>
        <w:rPr>
          <w:rFonts w:hint="eastAsia"/>
          <w:color w:val="auto"/>
        </w:rPr>
        <w:t>严格遵守《</w:t>
      </w:r>
      <w:r>
        <w:rPr>
          <w:rFonts w:hint="eastAsia"/>
          <w:color w:val="auto"/>
          <w:lang w:eastAsia="zh-CN"/>
        </w:rPr>
        <w:t>中华人民共和国会计法</w:t>
      </w:r>
      <w:r>
        <w:rPr>
          <w:rFonts w:hint="eastAsia"/>
          <w:color w:val="auto"/>
        </w:rPr>
        <w:t>》、</w:t>
      </w:r>
      <w:r>
        <w:rPr>
          <w:rFonts w:hint="eastAsia"/>
          <w:color w:val="auto"/>
          <w:lang w:eastAsia="zh-CN"/>
        </w:rPr>
        <w:t>《中华人民共和国预算法》</w:t>
      </w:r>
      <w:r>
        <w:rPr>
          <w:rFonts w:hint="eastAsia"/>
          <w:color w:val="auto"/>
        </w:rPr>
        <w:t>、《行政单位财务规则》等法律和有关财政财务规章，财务和业务管理制度合法、合规、完整。</w:t>
      </w:r>
    </w:p>
    <w:p w14:paraId="08B3F3F2">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pPr>
      <w:r>
        <w:rPr>
          <w:rFonts w:hint="eastAsia"/>
        </w:rPr>
        <w:t>5、制度执行有效性</w:t>
      </w:r>
    </w:p>
    <w:p w14:paraId="20ACEF97">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color w:val="auto"/>
        </w:rPr>
      </w:pPr>
      <w:bookmarkStart w:id="14" w:name="_Toc68703840"/>
      <w:r>
        <w:rPr>
          <w:rFonts w:hint="eastAsia"/>
          <w:color w:val="auto"/>
          <w:lang w:eastAsia="zh-CN"/>
        </w:rPr>
        <w:t>该</w:t>
      </w:r>
      <w:r>
        <w:rPr>
          <w:rFonts w:hint="eastAsia"/>
          <w:color w:val="auto"/>
        </w:rPr>
        <w:t>项目实施遵守相关法律法规和相关管理规定；项目调整及支出调整手续完备；项目合同书、验收报告等资料齐全并及时归档；项目实施的人员条件、场地设备、信息支撑等落实到位。</w:t>
      </w:r>
    </w:p>
    <w:p w14:paraId="655A1719">
      <w:pPr>
        <w:pStyle w:val="4"/>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b w:val="0"/>
          <w:bCs w:val="0"/>
        </w:rPr>
      </w:pPr>
      <w:r>
        <w:rPr>
          <w:rFonts w:hint="eastAsia" w:ascii="仿宋_GB2312" w:eastAsia="仿宋_GB2312"/>
          <w:b w:val="0"/>
          <w:bCs w:val="0"/>
        </w:rPr>
        <w:t>（三）项目产出情况。</w:t>
      </w:r>
      <w:bookmarkEnd w:id="14"/>
    </w:p>
    <w:p w14:paraId="121BC2E9">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default" w:eastAsia="仿宋_GB2312"/>
          <w:color w:val="auto"/>
          <w:lang w:val="en-US" w:eastAsia="zh-CN"/>
        </w:rPr>
      </w:pPr>
      <w:r>
        <w:rPr>
          <w:rFonts w:hint="eastAsia"/>
          <w:color w:val="auto"/>
        </w:rPr>
        <w:t>1、产出指标：</w:t>
      </w:r>
      <w:r>
        <w:rPr>
          <w:rFonts w:hint="eastAsia"/>
          <w:color w:val="auto"/>
          <w:lang w:val="en-US" w:eastAsia="zh-CN"/>
        </w:rPr>
        <w:t>1.</w:t>
      </w:r>
      <w:r>
        <w:rPr>
          <w:rFonts w:hint="eastAsia"/>
          <w:color w:val="auto"/>
          <w:lang w:eastAsia="zh-CN"/>
        </w:rPr>
        <w:t>数量指标：</w:t>
      </w:r>
      <w:r>
        <w:rPr>
          <w:rFonts w:hint="eastAsia"/>
          <w:color w:val="auto"/>
        </w:rPr>
        <w:t xml:space="preserve">指标1：建设工程总长1480米，实际完成值 </w:t>
      </w:r>
      <w:r>
        <w:rPr>
          <w:rFonts w:hint="eastAsia"/>
          <w:color w:val="auto"/>
          <w:lang w:val="en-US" w:eastAsia="zh-CN"/>
        </w:rPr>
        <w:t>1480</w:t>
      </w:r>
      <w:r>
        <w:rPr>
          <w:rFonts w:hint="eastAsia"/>
          <w:color w:val="auto"/>
        </w:rPr>
        <w:t>，指标完成率</w:t>
      </w:r>
      <w:r>
        <w:rPr>
          <w:color w:val="auto"/>
        </w:rPr>
        <w:t>100</w:t>
      </w:r>
      <w:r>
        <w:rPr>
          <w:rFonts w:hint="eastAsia"/>
          <w:color w:val="auto"/>
        </w:rPr>
        <w:t>%</w:t>
      </w:r>
      <w:r>
        <w:rPr>
          <w:rFonts w:hint="eastAsia"/>
          <w:color w:val="auto"/>
          <w:lang w:eastAsia="zh-CN"/>
        </w:rPr>
        <w:t>；指标</w:t>
      </w:r>
      <w:r>
        <w:rPr>
          <w:rFonts w:hint="eastAsia"/>
          <w:color w:val="auto"/>
          <w:lang w:val="en-US" w:eastAsia="zh-CN"/>
        </w:rPr>
        <w:t>2：建设工程数量1个，实际完成1个，</w:t>
      </w:r>
      <w:r>
        <w:rPr>
          <w:rFonts w:hint="eastAsia"/>
          <w:color w:val="auto"/>
        </w:rPr>
        <w:t>指标完成率</w:t>
      </w:r>
      <w:r>
        <w:rPr>
          <w:color w:val="auto"/>
        </w:rPr>
        <w:t>100</w:t>
      </w:r>
      <w:r>
        <w:rPr>
          <w:rFonts w:hint="eastAsia"/>
          <w:color w:val="auto"/>
        </w:rPr>
        <w:t>%</w:t>
      </w:r>
      <w:r>
        <w:rPr>
          <w:rFonts w:hint="eastAsia"/>
          <w:color w:val="auto"/>
          <w:lang w:eastAsia="zh-CN"/>
        </w:rPr>
        <w:t>。</w:t>
      </w:r>
    </w:p>
    <w:p w14:paraId="53D4BAC8">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val="en-US" w:eastAsia="zh-CN"/>
        </w:rPr>
      </w:pPr>
      <w:r>
        <w:rPr>
          <w:rFonts w:hint="eastAsia"/>
          <w:color w:val="auto"/>
        </w:rPr>
        <w:t>2</w:t>
      </w:r>
      <w:r>
        <w:rPr>
          <w:rFonts w:hint="eastAsia"/>
          <w:color w:val="auto"/>
          <w:lang w:eastAsia="zh-CN"/>
        </w:rPr>
        <w:t>、</w:t>
      </w:r>
      <w:r>
        <w:rPr>
          <w:rFonts w:hint="eastAsia"/>
          <w:color w:val="auto"/>
        </w:rPr>
        <w:t>质量指标：项目验收合格率，</w:t>
      </w:r>
      <w:bookmarkStart w:id="15" w:name="_Hlk98607777"/>
      <w:r>
        <w:rPr>
          <w:rFonts w:hint="eastAsia"/>
          <w:color w:val="auto"/>
        </w:rPr>
        <w:t>指标值：</w:t>
      </w:r>
      <w:r>
        <w:rPr>
          <w:color w:val="auto"/>
        </w:rPr>
        <w:t>100</w:t>
      </w:r>
      <w:r>
        <w:rPr>
          <w:rFonts w:hint="eastAsia"/>
          <w:color w:val="auto"/>
        </w:rPr>
        <w:t xml:space="preserve">%，实际完成值 </w:t>
      </w:r>
      <w:r>
        <w:rPr>
          <w:color w:val="auto"/>
        </w:rPr>
        <w:t xml:space="preserve">    100</w:t>
      </w:r>
      <w:r>
        <w:rPr>
          <w:rFonts w:hint="eastAsia"/>
          <w:color w:val="auto"/>
        </w:rPr>
        <w:t>%，</w:t>
      </w:r>
      <w:bookmarkStart w:id="16" w:name="_Hlk98607678"/>
      <w:r>
        <w:rPr>
          <w:rFonts w:hint="eastAsia"/>
          <w:color w:val="auto"/>
        </w:rPr>
        <w:t>指标完成率</w:t>
      </w:r>
      <w:r>
        <w:rPr>
          <w:color w:val="auto"/>
        </w:rPr>
        <w:t>100</w:t>
      </w:r>
      <w:r>
        <w:rPr>
          <w:rFonts w:hint="eastAsia"/>
          <w:color w:val="auto"/>
        </w:rPr>
        <w:t>%；</w:t>
      </w:r>
      <w:bookmarkEnd w:id="15"/>
      <w:bookmarkEnd w:id="16"/>
      <w:r>
        <w:rPr>
          <w:rFonts w:hint="eastAsia"/>
          <w:color w:val="auto"/>
          <w:lang w:val="en-US" w:eastAsia="zh-CN"/>
        </w:rPr>
        <w:t xml:space="preserve"> </w:t>
      </w:r>
    </w:p>
    <w:p w14:paraId="004FA2ED">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3</w:t>
      </w:r>
      <w:r>
        <w:rPr>
          <w:rFonts w:hint="eastAsia"/>
          <w:color w:val="auto"/>
          <w:lang w:eastAsia="zh-CN"/>
        </w:rPr>
        <w:t>、</w:t>
      </w:r>
      <w:r>
        <w:rPr>
          <w:rFonts w:hint="eastAsia"/>
          <w:color w:val="auto"/>
        </w:rPr>
        <w:t>时效指标：项目按计划完工率：指标值</w:t>
      </w:r>
      <w:r>
        <w:rPr>
          <w:rFonts w:hint="eastAsia"/>
          <w:color w:val="auto"/>
          <w:lang w:val="en-US" w:eastAsia="zh-CN"/>
        </w:rPr>
        <w:t>100%</w:t>
      </w:r>
      <w:r>
        <w:rPr>
          <w:rFonts w:hint="eastAsia"/>
          <w:color w:val="auto"/>
        </w:rPr>
        <w:t>，完成值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lang w:eastAsia="zh-CN"/>
        </w:rPr>
        <w:t>；</w:t>
      </w:r>
    </w:p>
    <w:p w14:paraId="099EF18A">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eastAsia="仿宋_GB2312"/>
          <w:color w:val="auto"/>
          <w:lang w:eastAsia="zh-CN"/>
        </w:rPr>
      </w:pPr>
      <w:r>
        <w:rPr>
          <w:rFonts w:hint="eastAsia"/>
          <w:color w:val="auto"/>
          <w:lang w:val="en-US" w:eastAsia="zh-CN"/>
        </w:rPr>
        <w:t>4、</w:t>
      </w:r>
      <w:r>
        <w:rPr>
          <w:rFonts w:hint="eastAsia"/>
          <w:color w:val="auto"/>
        </w:rPr>
        <w:t>成本指标：项目预算控制率：指标值：≤</w:t>
      </w:r>
      <w:r>
        <w:rPr>
          <w:rFonts w:hint="eastAsia"/>
          <w:color w:val="auto"/>
          <w:lang w:val="en-US" w:eastAsia="zh-CN"/>
        </w:rPr>
        <w:t>10</w:t>
      </w:r>
      <w:r>
        <w:rPr>
          <w:color w:val="auto"/>
        </w:rPr>
        <w:t>0</w:t>
      </w:r>
      <w:r>
        <w:rPr>
          <w:rFonts w:hint="eastAsia"/>
          <w:color w:val="auto"/>
        </w:rPr>
        <w:t>%</w:t>
      </w:r>
      <w:r>
        <w:rPr>
          <w:color w:val="auto"/>
        </w:rPr>
        <w:t xml:space="preserve"> </w:t>
      </w:r>
      <w:r>
        <w:rPr>
          <w:rFonts w:hint="eastAsia"/>
          <w:color w:val="auto"/>
        </w:rPr>
        <w:t>，实际完成值</w:t>
      </w:r>
      <w:r>
        <w:rPr>
          <w:rFonts w:hint="eastAsia"/>
          <w:color w:val="auto"/>
          <w:lang w:val="en-US" w:eastAsia="zh-CN"/>
        </w:rPr>
        <w:t>=100</w:t>
      </w:r>
      <w:r>
        <w:rPr>
          <w:rFonts w:hint="eastAsia"/>
          <w:color w:val="auto"/>
        </w:rPr>
        <w:t>%，指标完成率</w:t>
      </w:r>
      <w:r>
        <w:rPr>
          <w:color w:val="auto"/>
        </w:rPr>
        <w:t xml:space="preserve"> 100</w:t>
      </w:r>
      <w:r>
        <w:rPr>
          <w:rFonts w:hint="eastAsia"/>
          <w:color w:val="auto"/>
        </w:rPr>
        <w:t>%</w:t>
      </w:r>
      <w:r>
        <w:rPr>
          <w:rFonts w:hint="eastAsia"/>
          <w:color w:val="auto"/>
          <w:lang w:eastAsia="zh-CN"/>
        </w:rPr>
        <w:t>。</w:t>
      </w:r>
    </w:p>
    <w:p w14:paraId="178BC654">
      <w:pPr>
        <w:pStyle w:val="4"/>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14:paraId="069F30A4">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bookmarkStart w:id="18" w:name="_Toc68703842"/>
      <w:r>
        <w:rPr>
          <w:rFonts w:hint="eastAsia"/>
          <w:color w:val="auto"/>
          <w:lang w:val="en-US" w:eastAsia="zh-CN"/>
        </w:rPr>
        <w:t>1、</w:t>
      </w:r>
      <w:r>
        <w:rPr>
          <w:rFonts w:hint="eastAsia"/>
          <w:color w:val="auto"/>
        </w:rPr>
        <w:t>社会效益指标</w:t>
      </w:r>
      <w:r>
        <w:rPr>
          <w:rFonts w:hint="eastAsia"/>
          <w:color w:val="auto"/>
          <w:lang w:eastAsia="zh-CN"/>
        </w:rPr>
        <w:t>：正常运转率</w:t>
      </w:r>
      <w:r>
        <w:rPr>
          <w:rFonts w:hint="eastAsia"/>
          <w:color w:val="auto"/>
        </w:rPr>
        <w:t>：</w:t>
      </w:r>
      <w:bookmarkStart w:id="19" w:name="_Hlk98607522"/>
      <w:r>
        <w:rPr>
          <w:rFonts w:hint="eastAsia"/>
          <w:color w:val="auto"/>
        </w:rPr>
        <w:t>指标值：</w:t>
      </w:r>
      <w:r>
        <w:rPr>
          <w:color w:val="auto"/>
        </w:rPr>
        <w:t>100</w:t>
      </w:r>
      <w:r>
        <w:rPr>
          <w:rFonts w:hint="eastAsia"/>
          <w:color w:val="auto"/>
        </w:rPr>
        <w:t>%</w:t>
      </w:r>
      <w:r>
        <w:rPr>
          <w:rFonts w:hint="eastAsia"/>
          <w:color w:val="auto"/>
          <w:lang w:eastAsia="zh-CN"/>
        </w:rPr>
        <w:t>，</w:t>
      </w:r>
      <w:r>
        <w:rPr>
          <w:rFonts w:hint="eastAsia"/>
          <w:color w:val="auto"/>
        </w:rPr>
        <w:t>实际完成值</w:t>
      </w:r>
      <w:r>
        <w:rPr>
          <w:rFonts w:hint="eastAsia"/>
          <w:color w:val="auto"/>
          <w:lang w:eastAsia="zh-CN"/>
        </w:rPr>
        <w:t>：</w:t>
      </w:r>
      <w:r>
        <w:rPr>
          <w:color w:val="auto"/>
        </w:rPr>
        <w:t>100</w:t>
      </w:r>
      <w:r>
        <w:rPr>
          <w:rFonts w:hint="eastAsia"/>
          <w:color w:val="auto"/>
        </w:rPr>
        <w:t>%</w:t>
      </w:r>
      <w:r>
        <w:rPr>
          <w:rFonts w:hint="eastAsia"/>
          <w:color w:val="auto"/>
          <w:lang w:eastAsia="zh-CN"/>
        </w:rPr>
        <w:t>，</w:t>
      </w:r>
      <w:r>
        <w:rPr>
          <w:rFonts w:hint="eastAsia"/>
          <w:color w:val="auto"/>
        </w:rPr>
        <w:t>指标完成率</w:t>
      </w:r>
      <w:r>
        <w:rPr>
          <w:color w:val="auto"/>
        </w:rPr>
        <w:t xml:space="preserve"> 100</w:t>
      </w:r>
      <w:r>
        <w:rPr>
          <w:rFonts w:hint="eastAsia"/>
          <w:color w:val="auto"/>
        </w:rPr>
        <w:t>%</w:t>
      </w:r>
      <w:bookmarkEnd w:id="19"/>
      <w:r>
        <w:rPr>
          <w:rFonts w:hint="eastAsia"/>
          <w:color w:val="auto"/>
        </w:rPr>
        <w:t>；</w:t>
      </w:r>
    </w:p>
    <w:p w14:paraId="71E518B2">
      <w:pPr>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lang w:val="en-US" w:eastAsia="zh-CN"/>
        </w:rPr>
        <w:t>2、满意度</w:t>
      </w:r>
      <w:r>
        <w:rPr>
          <w:rFonts w:hint="eastAsia"/>
          <w:color w:val="auto"/>
        </w:rPr>
        <w:t>指标：受益群众满意度，</w:t>
      </w:r>
      <w:r>
        <w:rPr>
          <w:rFonts w:hint="eastAsia"/>
          <w:color w:val="auto"/>
          <w:lang w:val="en-US" w:eastAsia="zh-CN"/>
        </w:rPr>
        <w:t>指标值：&gt;=95%，</w:t>
      </w:r>
      <w:r>
        <w:rPr>
          <w:rFonts w:hint="eastAsia"/>
          <w:color w:val="auto"/>
        </w:rPr>
        <w:t>实际完成值</w:t>
      </w:r>
      <w:r>
        <w:rPr>
          <w:rFonts w:hint="eastAsia"/>
          <w:color w:val="auto"/>
          <w:lang w:val="en-US" w:eastAsia="zh-CN"/>
        </w:rPr>
        <w:t>&gt;=95%</w:t>
      </w:r>
      <w:r>
        <w:rPr>
          <w:rFonts w:hint="eastAsia"/>
          <w:color w:val="auto"/>
        </w:rPr>
        <w:t>，指标完成率</w:t>
      </w:r>
      <w:r>
        <w:rPr>
          <w:rFonts w:hint="eastAsia"/>
          <w:color w:val="auto"/>
          <w:lang w:val="en-US" w:eastAsia="zh-CN"/>
        </w:rPr>
        <w:t>100</w:t>
      </w:r>
      <w:r>
        <w:rPr>
          <w:color w:val="auto"/>
        </w:rPr>
        <w:t xml:space="preserve"> </w:t>
      </w:r>
      <w:r>
        <w:rPr>
          <w:rFonts w:hint="eastAsia"/>
          <w:color w:val="auto"/>
        </w:rPr>
        <w:t>%。</w:t>
      </w:r>
    </w:p>
    <w:p w14:paraId="11526B09">
      <w:pPr>
        <w:pStyle w:val="3"/>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rPr>
        <w:t>五、</w:t>
      </w:r>
      <w:r>
        <w:rPr>
          <w:rFonts w:hint="eastAsia" w:ascii="宋体" w:hAnsi="宋体" w:eastAsia="宋体"/>
          <w:sz w:val="32"/>
          <w:szCs w:val="32"/>
          <w:lang w:val="en-US" w:eastAsia="zh-CN"/>
        </w:rPr>
        <w:t>预算执行进度与绩效指标总体完成率偏差</w:t>
      </w:r>
    </w:p>
    <w:p w14:paraId="1BF7DFAD">
      <w:pPr>
        <w:pageBreakBefore w:val="0"/>
        <w:widowControl w:val="0"/>
        <w:kinsoku/>
        <w:wordWrap/>
        <w:overflowPunct/>
        <w:topLinePunct w:val="0"/>
        <w:autoSpaceDE/>
        <w:autoSpaceDN/>
        <w:bidi w:val="0"/>
        <w:adjustRightInd/>
        <w:snapToGrid/>
        <w:spacing w:line="560" w:lineRule="exact"/>
        <w:ind w:leftChars="0" w:firstLine="600" w:firstLineChars="200"/>
        <w:textAlignment w:val="auto"/>
      </w:pPr>
      <w:r>
        <w:rPr>
          <w:rFonts w:hint="eastAsia"/>
          <w:color w:val="auto"/>
          <w:lang w:val="en-US" w:eastAsia="zh-CN"/>
        </w:rPr>
        <w:t>永宁镇下岔河村人居环境整治项目年初预算0万元，全年预算203.77万元，实际支出203.77万元，预算执行率100%，项目绩效指标总体完成率100%，总体偏差率0%。</w:t>
      </w:r>
    </w:p>
    <w:p w14:paraId="601957E1">
      <w:pPr>
        <w:pStyle w:val="3"/>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ascii="宋体" w:hAnsi="宋体" w:eastAsia="宋体"/>
          <w:sz w:val="32"/>
          <w:szCs w:val="32"/>
        </w:rPr>
      </w:pPr>
      <w:r>
        <w:rPr>
          <w:rFonts w:hint="eastAsia" w:ascii="宋体" w:hAnsi="宋体" w:eastAsia="宋体"/>
          <w:sz w:val="32"/>
          <w:szCs w:val="32"/>
          <w:lang w:eastAsia="zh-CN"/>
        </w:rPr>
        <w:t>六</w:t>
      </w:r>
      <w:r>
        <w:rPr>
          <w:rFonts w:hint="eastAsia" w:ascii="宋体" w:hAnsi="宋体" w:eastAsia="宋体"/>
          <w:sz w:val="32"/>
          <w:szCs w:val="32"/>
        </w:rPr>
        <w:t>、主要经验及做法、存在的问题及原因分析</w:t>
      </w:r>
      <w:bookmarkEnd w:id="18"/>
    </w:p>
    <w:p w14:paraId="571003E0">
      <w:pPr>
        <w:pStyle w:val="4"/>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14:paraId="773A4290">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21" w:name="_Toc68703844"/>
      <w:r>
        <w:rPr>
          <w:rFonts w:hint="eastAsia"/>
          <w:color w:val="auto"/>
        </w:rPr>
        <w:t>项目实施过程中，按照年度计划规范地组织实施，有条不</w:t>
      </w:r>
      <w:r>
        <w:rPr>
          <w:rFonts w:hint="eastAsia"/>
          <w:color w:val="auto"/>
          <w:lang w:eastAsia="zh-CN"/>
        </w:rPr>
        <w:t>紊地</w:t>
      </w:r>
      <w:r>
        <w:rPr>
          <w:rFonts w:hint="eastAsia"/>
          <w:color w:val="auto"/>
        </w:rPr>
        <w:t>开展相关工作，并做好资料收集整理工作。成立项目绩效管理领导小组，将项目的运行，资金使用情况全部纳入领导小组的全程监管之下。</w:t>
      </w:r>
    </w:p>
    <w:p w14:paraId="488F1213">
      <w:pPr>
        <w:pStyle w:val="4"/>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b w:val="0"/>
          <w:bCs w:val="0"/>
        </w:rPr>
      </w:pPr>
      <w:r>
        <w:rPr>
          <w:rFonts w:hint="eastAsia" w:ascii="仿宋_GB2312" w:eastAsia="仿宋_GB2312"/>
          <w:b w:val="0"/>
          <w:bCs w:val="0"/>
        </w:rPr>
        <w:t>（二）存在的问题及原因分析</w:t>
      </w:r>
      <w:bookmarkEnd w:id="21"/>
    </w:p>
    <w:p w14:paraId="6B35AB61">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color w:val="auto"/>
        </w:rPr>
      </w:pPr>
      <w:bookmarkStart w:id="22" w:name="_Toc68703845"/>
      <w:r>
        <w:rPr>
          <w:rFonts w:hint="eastAsia"/>
          <w:color w:val="auto"/>
        </w:rPr>
        <w:t>预算绩效管理水平仍有欠缺。原因：绩效管理体系不健全，工作人员相关专业知识有待提高。</w:t>
      </w:r>
    </w:p>
    <w:p w14:paraId="68F2140E">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default"/>
          <w:color w:val="auto"/>
          <w:lang w:val="en-US" w:eastAsia="zh-CN"/>
        </w:rPr>
      </w:pPr>
      <w:r>
        <w:rPr>
          <w:rFonts w:hint="eastAsia"/>
          <w:color w:val="auto"/>
        </w:rPr>
        <w:t>对全面实施预算绩效管理的要求认识还不到位。原因：相关工作人员和单位领导对绩效评价工作缺乏深刻</w:t>
      </w:r>
      <w:r>
        <w:rPr>
          <w:rFonts w:hint="eastAsia"/>
          <w:color w:val="auto"/>
          <w:lang w:eastAsia="zh-CN"/>
        </w:rPr>
        <w:t>地</w:t>
      </w:r>
      <w:r>
        <w:rPr>
          <w:rFonts w:hint="eastAsia"/>
          <w:color w:val="auto"/>
        </w:rPr>
        <w:t>认识，重视水平不够。</w:t>
      </w:r>
    </w:p>
    <w:p w14:paraId="688887CB">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rFonts w:hint="eastAsia" w:ascii="宋体" w:hAnsi="宋体" w:eastAsia="宋体"/>
          <w:sz w:val="32"/>
          <w:szCs w:val="32"/>
        </w:rPr>
      </w:pPr>
      <w:r>
        <w:rPr>
          <w:rFonts w:hint="eastAsia" w:ascii="宋体" w:hAnsi="宋体" w:eastAsia="宋体"/>
          <w:sz w:val="32"/>
          <w:szCs w:val="32"/>
          <w:lang w:eastAsia="zh-CN"/>
        </w:rPr>
        <w:t>七、</w:t>
      </w:r>
      <w:r>
        <w:rPr>
          <w:rFonts w:hint="eastAsia" w:ascii="宋体" w:hAnsi="宋体" w:eastAsia="宋体"/>
          <w:sz w:val="32"/>
          <w:szCs w:val="32"/>
        </w:rPr>
        <w:t>有关建议</w:t>
      </w:r>
      <w:bookmarkEnd w:id="22"/>
    </w:p>
    <w:p w14:paraId="709BAB40">
      <w:pPr>
        <w:pageBreakBefore w:val="0"/>
        <w:widowControl w:val="0"/>
        <w:kinsoku/>
        <w:wordWrap/>
        <w:overflowPunct/>
        <w:topLinePunct w:val="0"/>
        <w:autoSpaceDE/>
        <w:autoSpaceDN/>
        <w:bidi w:val="0"/>
        <w:adjustRightInd/>
        <w:snapToGrid/>
        <w:spacing w:line="560" w:lineRule="exact"/>
        <w:ind w:leftChars="0" w:firstLine="600" w:firstLineChars="200"/>
        <w:textAlignment w:val="auto"/>
      </w:pPr>
      <w:r>
        <w:rPr>
          <w:rFonts w:hint="eastAsia"/>
          <w:lang w:val="en-US" w:eastAsia="zh-CN"/>
        </w:rPr>
        <w:t xml:space="preserve"> </w:t>
      </w:r>
      <w:r>
        <w:rPr>
          <w:rFonts w:hint="eastAsia"/>
          <w:color w:val="auto"/>
        </w:rPr>
        <w:t>进一步提高绩效管理水平，加强与财政部门的紧密配合,开展好整体支出及项目资金绩效管理工作；加强</w:t>
      </w:r>
      <w:r>
        <w:rPr>
          <w:rFonts w:hint="eastAsia"/>
          <w:color w:val="auto"/>
          <w:lang w:val="en-US" w:eastAsia="zh-CN"/>
        </w:rPr>
        <w:t>单位内部项目绩效工作</w:t>
      </w:r>
      <w:r>
        <w:rPr>
          <w:rFonts w:hint="eastAsia"/>
          <w:color w:val="auto"/>
        </w:rPr>
        <w:t>学习。进一步明确全面实施预算绩效管理的要求，充分发挥预算绩效管理工作效用。</w:t>
      </w:r>
    </w:p>
    <w:p w14:paraId="21F6A88A">
      <w:pPr>
        <w:pStyle w:val="2"/>
        <w:pageBreakBefore w:val="0"/>
        <w:kinsoku/>
        <w:wordWrap/>
        <w:overflowPunct/>
        <w:topLinePunct w:val="0"/>
        <w:autoSpaceDE/>
        <w:autoSpaceDN/>
        <w:bidi w:val="0"/>
        <w:adjustRightInd/>
        <w:spacing w:before="0" w:after="0"/>
        <w:ind w:left="0"/>
        <w:jc w:val="both"/>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78AC63C-313F-4D77-AD13-F20703A242E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21F0DA02-CB0F-40C6-AAEA-F70240B8C218}"/>
  </w:font>
  <w:font w:name="等线 Light">
    <w:panose1 w:val="02010600030101010101"/>
    <w:charset w:val="86"/>
    <w:family w:val="auto"/>
    <w:pitch w:val="default"/>
    <w:sig w:usb0="A00002BF" w:usb1="38CF7CFA" w:usb2="00000016" w:usb3="00000000" w:csb0="0004000F" w:csb1="00000000"/>
    <w:embedRegular r:id="rId3" w:fontKey="{01FD91EC-5FDC-4AA6-B8F8-B285B5FA1146}"/>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4" w:fontKey="{D4C18EB6-DB51-4AC3-86C8-3CF5CB6B730B}"/>
  </w:font>
  <w:font w:name="方正仿宋_GBK">
    <w:altName w:val="微软雅黑"/>
    <w:panose1 w:val="02000000000000000000"/>
    <w:charset w:val="86"/>
    <w:family w:val="auto"/>
    <w:pitch w:val="default"/>
    <w:sig w:usb0="00000000" w:usb1="00000000" w:usb2="00082016" w:usb3="00000000" w:csb0="00040001" w:csb1="00000000"/>
    <w:embedRegular r:id="rId5" w:fontKey="{46EE692A-BEBE-4AAB-B802-2AFEA04BE8B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B4C4D17"/>
    <w:rsid w:val="0CC021A1"/>
    <w:rsid w:val="0CF956B3"/>
    <w:rsid w:val="113D21E3"/>
    <w:rsid w:val="15DA37C6"/>
    <w:rsid w:val="23630DD1"/>
    <w:rsid w:val="2732278A"/>
    <w:rsid w:val="27CB346C"/>
    <w:rsid w:val="286E0E76"/>
    <w:rsid w:val="2C4E2ECE"/>
    <w:rsid w:val="2DD218DC"/>
    <w:rsid w:val="36F375A1"/>
    <w:rsid w:val="433503C0"/>
    <w:rsid w:val="4E56318D"/>
    <w:rsid w:val="55DD569A"/>
    <w:rsid w:val="5A140BFB"/>
    <w:rsid w:val="60531E7A"/>
    <w:rsid w:val="622575EA"/>
    <w:rsid w:val="6B040620"/>
    <w:rsid w:val="74CA112A"/>
    <w:rsid w:val="7C7F3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autoRedefine/>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autoRedefine/>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autoRedefine/>
    <w:qFormat/>
    <w:uiPriority w:val="9"/>
    <w:rPr>
      <w:rFonts w:asciiTheme="majorHAnsi" w:hAnsiTheme="majorHAnsi" w:eastAsiaTheme="majorEastAsia" w:cstheme="majorBidi"/>
      <w:b/>
      <w:bCs/>
      <w:sz w:val="32"/>
      <w:szCs w:val="32"/>
    </w:rPr>
  </w:style>
  <w:style w:type="paragraph" w:customStyle="1" w:styleId="16">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7"/>
    <w:autoRedefine/>
    <w:qFormat/>
    <w:uiPriority w:val="99"/>
    <w:rPr>
      <w:rFonts w:ascii="Times New Roman" w:hAnsi="Times New Roman" w:eastAsia="仿宋_GB2312" w:cs="Times New Roman"/>
      <w:sz w:val="18"/>
      <w:szCs w:val="18"/>
    </w:rPr>
  </w:style>
  <w:style w:type="character" w:customStyle="1" w:styleId="18">
    <w:name w:val="页脚 字符"/>
    <w:basedOn w:val="12"/>
    <w:link w:val="6"/>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5294</Words>
  <Characters>5499</Characters>
  <Lines>52</Lines>
  <Paragraphs>14</Paragraphs>
  <TotalTime>7</TotalTime>
  <ScaleCrop>false</ScaleCrop>
  <LinksUpToDate>false</LinksUpToDate>
  <CharactersWithSpaces>5584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忆</cp:lastModifiedBy>
  <dcterms:modified xsi:type="dcterms:W3CDTF">2025-11-12T04:19:53Z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75F15A70DF294A25B185D4AF1C7D9E43_13</vt:lpwstr>
  </property>
  <property fmtid="{D5CDD505-2E9C-101B-9397-08002B2CF9AE}" pid="4" name="KSOTemplateDocerSaveRecord">
    <vt:lpwstr>eyJoZGlkIjoiZWE5M2E4OTRkNmEwYTUyNjM2Mzg3NThiMTA5NmIzZWUiLCJ1c2VySWQiOiI0OTMxMTE3MjUifQ==</vt:lpwstr>
  </property>
</Properties>
</file>