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13F8B"/>
    <w:p w14:paraId="29DDE2F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FFE165E">
      <w:pPr>
        <w:spacing w:line="540" w:lineRule="exact"/>
        <w:jc w:val="center"/>
        <w:rPr>
          <w:rFonts w:ascii="华文中宋" w:hAnsi="华文中宋" w:eastAsia="华文中宋" w:cs="宋体"/>
          <w:b/>
          <w:kern w:val="0"/>
          <w:sz w:val="52"/>
          <w:szCs w:val="52"/>
        </w:rPr>
      </w:pPr>
    </w:p>
    <w:p w14:paraId="4237717F">
      <w:pPr>
        <w:spacing w:line="540" w:lineRule="exact"/>
        <w:jc w:val="center"/>
        <w:rPr>
          <w:rFonts w:ascii="华文中宋" w:hAnsi="华文中宋" w:eastAsia="华文中宋" w:cs="宋体"/>
          <w:b/>
          <w:kern w:val="0"/>
          <w:sz w:val="52"/>
          <w:szCs w:val="52"/>
        </w:rPr>
      </w:pPr>
    </w:p>
    <w:p w14:paraId="3BEFD9F8">
      <w:pPr>
        <w:spacing w:line="540" w:lineRule="exact"/>
        <w:jc w:val="center"/>
        <w:rPr>
          <w:rFonts w:ascii="华文中宋" w:hAnsi="华文中宋" w:eastAsia="华文中宋" w:cs="宋体"/>
          <w:b/>
          <w:kern w:val="0"/>
          <w:sz w:val="52"/>
          <w:szCs w:val="52"/>
        </w:rPr>
      </w:pPr>
    </w:p>
    <w:p w14:paraId="4C85A658">
      <w:pPr>
        <w:spacing w:line="540" w:lineRule="exact"/>
        <w:jc w:val="center"/>
        <w:rPr>
          <w:rFonts w:ascii="华文中宋" w:hAnsi="华文中宋" w:eastAsia="华文中宋" w:cs="宋体"/>
          <w:b/>
          <w:kern w:val="0"/>
          <w:sz w:val="52"/>
          <w:szCs w:val="52"/>
        </w:rPr>
      </w:pPr>
    </w:p>
    <w:p w14:paraId="4E34D21A">
      <w:pPr>
        <w:spacing w:line="540" w:lineRule="exact"/>
        <w:jc w:val="center"/>
        <w:rPr>
          <w:rFonts w:ascii="华文中宋" w:hAnsi="华文中宋" w:eastAsia="华文中宋" w:cs="宋体"/>
          <w:b/>
          <w:kern w:val="0"/>
          <w:sz w:val="52"/>
          <w:szCs w:val="52"/>
        </w:rPr>
      </w:pPr>
    </w:p>
    <w:p w14:paraId="4C723E2A">
      <w:pPr>
        <w:spacing w:line="540" w:lineRule="exact"/>
        <w:jc w:val="center"/>
        <w:rPr>
          <w:rFonts w:ascii="华文中宋" w:hAnsi="华文中宋" w:eastAsia="华文中宋" w:cs="宋体"/>
          <w:b/>
          <w:kern w:val="0"/>
          <w:sz w:val="52"/>
          <w:szCs w:val="52"/>
        </w:rPr>
      </w:pPr>
    </w:p>
    <w:p w14:paraId="6B8DD33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AF5FB08">
      <w:pPr>
        <w:spacing w:line="540" w:lineRule="exact"/>
        <w:jc w:val="center"/>
        <w:rPr>
          <w:rFonts w:ascii="华文中宋" w:hAnsi="华文中宋" w:eastAsia="华文中宋" w:cs="宋体"/>
          <w:b/>
          <w:kern w:val="0"/>
          <w:sz w:val="52"/>
          <w:szCs w:val="52"/>
        </w:rPr>
      </w:pPr>
    </w:p>
    <w:p w14:paraId="13FA919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F9F78E9">
      <w:pPr>
        <w:spacing w:line="540" w:lineRule="exact"/>
        <w:jc w:val="center"/>
        <w:rPr>
          <w:rFonts w:hAnsi="宋体" w:eastAsia="仿宋_GB2312" w:cs="宋体"/>
          <w:kern w:val="0"/>
          <w:sz w:val="30"/>
          <w:szCs w:val="30"/>
        </w:rPr>
      </w:pPr>
    </w:p>
    <w:p w14:paraId="186A5B7B">
      <w:pPr>
        <w:spacing w:line="540" w:lineRule="exact"/>
        <w:jc w:val="center"/>
        <w:rPr>
          <w:rFonts w:hAnsi="宋体" w:eastAsia="仿宋_GB2312" w:cs="宋体"/>
          <w:kern w:val="0"/>
          <w:sz w:val="30"/>
          <w:szCs w:val="30"/>
        </w:rPr>
      </w:pPr>
    </w:p>
    <w:p w14:paraId="30DB3F43">
      <w:pPr>
        <w:spacing w:line="540" w:lineRule="exact"/>
        <w:jc w:val="center"/>
        <w:rPr>
          <w:rFonts w:hAnsi="宋体" w:eastAsia="仿宋_GB2312" w:cs="宋体"/>
          <w:kern w:val="0"/>
          <w:sz w:val="30"/>
          <w:szCs w:val="30"/>
        </w:rPr>
      </w:pPr>
    </w:p>
    <w:p w14:paraId="7F0CCB8C">
      <w:pPr>
        <w:spacing w:line="540" w:lineRule="exact"/>
        <w:jc w:val="center"/>
        <w:rPr>
          <w:rFonts w:hAnsi="宋体" w:eastAsia="仿宋_GB2312" w:cs="宋体"/>
          <w:kern w:val="0"/>
          <w:sz w:val="30"/>
          <w:szCs w:val="30"/>
        </w:rPr>
      </w:pPr>
    </w:p>
    <w:p w14:paraId="77758383">
      <w:pPr>
        <w:spacing w:line="540" w:lineRule="exact"/>
        <w:jc w:val="center"/>
        <w:rPr>
          <w:rFonts w:hAnsi="宋体" w:eastAsia="仿宋_GB2312" w:cs="宋体"/>
          <w:kern w:val="0"/>
          <w:sz w:val="30"/>
          <w:szCs w:val="30"/>
        </w:rPr>
      </w:pPr>
    </w:p>
    <w:p w14:paraId="29D218B7">
      <w:pPr>
        <w:spacing w:line="540" w:lineRule="exact"/>
        <w:rPr>
          <w:rFonts w:hAnsi="宋体" w:eastAsia="仿宋_GB2312" w:cs="宋体"/>
          <w:kern w:val="0"/>
          <w:sz w:val="30"/>
          <w:szCs w:val="30"/>
        </w:rPr>
      </w:pPr>
    </w:p>
    <w:p w14:paraId="270B2E4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AA2DB0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查汗采开乡哈尔布热村、阿尔莫墩村村委会办公楼建设工程，莫哈尔苏木村活动室建设项目资金</w:t>
      </w:r>
    </w:p>
    <w:p w14:paraId="2B9AE9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焉耆回族自治县查汗采开乡人民政府</w:t>
      </w:r>
    </w:p>
    <w:p w14:paraId="7239383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焉耆回族自治县查汗采开乡人民政府</w:t>
      </w:r>
    </w:p>
    <w:p w14:paraId="6080441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艾合买提·巴拉提</w:t>
      </w:r>
    </w:p>
    <w:p w14:paraId="485B321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23C17B01">
      <w:pPr>
        <w:spacing w:line="700" w:lineRule="exact"/>
        <w:ind w:firstLine="708" w:firstLineChars="236"/>
        <w:jc w:val="left"/>
        <w:rPr>
          <w:rFonts w:hAnsi="宋体" w:eastAsia="仿宋_GB2312" w:cs="宋体"/>
          <w:kern w:val="0"/>
          <w:sz w:val="30"/>
          <w:szCs w:val="30"/>
        </w:rPr>
      </w:pPr>
    </w:p>
    <w:p w14:paraId="7DCEEDD5">
      <w:pPr>
        <w:spacing w:line="540" w:lineRule="exact"/>
        <w:rPr>
          <w:rStyle w:val="19"/>
          <w:rFonts w:ascii="黑体" w:hAnsi="黑体" w:eastAsia="黑体"/>
          <w:b w:val="0"/>
          <w:spacing w:val="-4"/>
          <w:sz w:val="32"/>
          <w:szCs w:val="32"/>
        </w:rPr>
      </w:pPr>
    </w:p>
    <w:p w14:paraId="77DF3A8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AFA93F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0DEB25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一、基本情况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查汗采开乡哈尔布热村、阿尔莫墩村村委会办公楼建设工程，莫哈尔苏木村活动室建设项目结合农村环境综合整治、抗震安居、整村推进等工程，加大农村环境整治力度，逐步实施了庭院、道路、绿化、沼气池、卫生厕所、垃圾箱（桶）、垃圾车、路灯等基础设施建设，改变了以往“垃圾乱倒、污水乱泼、柴草乱垛、畜禽乱跑”的现象。根据查汗采开乡阿尔莫墩村现状发展情况，结合焉耆县总体发展规划，提出了对阿尔莫墩村进行改善农村人居环境工程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主要内容：查汗采开乡哈尔布热村、阿尔莫墩村村委会办公楼建设工程，莫哈尔苏木村活动室建设项目4470平方米；受益人数3876人，可以保障正常运转。项目总投资200万元。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资金投入情况：该项目年初预算数200万元，全年预算数200万元，实际总投入200万元，该项目资金落实到位200万元，资金来源为一般项目资金。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资金使用情况：该项目年初预算数200万元，全年预算数200万元，全年执行数200万元，预算执行率为100%，用于：查汗采开乡哈尔布热村、阿尔莫墩村村委会办公楼建设工程，莫哈尔苏木村活动室建设项目200万元：</w:t>
      </w:r>
    </w:p>
    <w:p w14:paraId="38B19EB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4FC57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1、总体目标：查汗采开乡哈尔布热村、阿尔莫墩村村委会办公楼建设工程，莫哈尔苏木村活动室建设项目4470平方米；受益人数3876人，可以保障正常运转。</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第一阶段：基础建设。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第二阶段：办公楼建设。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第三阶段：院内硬化。</w:t>
      </w:r>
    </w:p>
    <w:p w14:paraId="4C7A52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B36C38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A8DD9B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二、绩效评价工作开展情况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查汗采开乡农村综合改革公益事业财政奖补项目经费的具体情况，评价该项目资金安排的科学性、合理性、规范性和资金的使用成效，及时总结项目管理经验，完善项目管理办法，提高项目管理水平和资金使用效益。促使我乡根据绩效评价中发现的问题，认真加以整改，及时调整和完善单位的工作计划和绩效目标并加强项目管理，提高管理水平，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查汗采开乡农村综合改革公益事业财政奖补项目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查汗采开乡农村综合改革公益事业财政奖补项目评价，评价核心为专项资金的支出完成情况和效果。</w:t>
      </w:r>
    </w:p>
    <w:p w14:paraId="583D01D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850F16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（四）公开透明。查汗采开乡人民政府已按要求在焉耆回族自治县人民政府门户网站公开绩效目标表；项目完成后在焉耆回族自治县人民政府门户网站公开自评表及自评报告。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2、评价指标体系（附表说明在最后）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14:paraId="43A05D6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3ECB7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3.分析评价。收集梳理的资料围绕项目立项、资金落实、业务管理、财务管理、项目产出、项目效益等内容，对照已确定的绩效评价指标进行详细全面的分析评价，逐项打分并形成绩效评价最终结果。</w:t>
      </w:r>
    </w:p>
    <w:p w14:paraId="385C381C">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E1161E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项目绩效评价原则，采用因素分析评价方法，坚持计划绩效评价标准对本项目的立项、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查汗采开乡哈尔布热村、阿尔莫墩村村委会办公楼建设工程，莫哈尔苏木村活动室建设项目项目评价得分情况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本项目的项目决策、项目过程、项目产出、项目效益均达到了预期要求，最终得分为100分，项目达成年度指标。</w:t>
      </w:r>
    </w:p>
    <w:p w14:paraId="676764C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601FA0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F46D9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四、绩效评价指标分析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该项目立项符合国家法律法规、国民经济发展规划和相关政策；符合行业发展规划和政策要求；是与部门职责范围相符，</w:t>
      </w:r>
      <w:r>
        <w:rPr>
          <w:rStyle w:val="19"/>
          <w:rFonts w:hint="eastAsia" w:ascii="楷体" w:hAnsi="楷体" w:eastAsia="楷体"/>
          <w:spacing w:val="-4"/>
          <w:sz w:val="32"/>
          <w:szCs w:val="32"/>
          <w:lang w:val="en-US" w:eastAsia="zh-CN"/>
        </w:rPr>
        <w:t>属于部门</w:t>
      </w:r>
      <w:r>
        <w:rPr>
          <w:rStyle w:val="19"/>
          <w:rFonts w:hint="eastAsia" w:ascii="楷体" w:hAnsi="楷体" w:eastAsia="楷体"/>
          <w:spacing w:val="-4"/>
          <w:sz w:val="32"/>
          <w:szCs w:val="32"/>
        </w:rPr>
        <w:t>履职所需；是属于公共财政支持范围，是否符合中央、地方事权支出责任划分原则；是与相关部门同类项目或部门内部相关项目重复。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该项目按照规定的程序申请设立，审批文件、材料符合相关要求，事前已经过必要的可行性研究、风险评估、绩效评估、集体决策。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查汗采开乡2024项目设立了项目绩效目标，与查汗采开乡哈尔布热村、阿尔莫墩村村委会办公楼建设工程，莫哈尔苏木村活动室建设项目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查汗采开乡哈尔布热村、阿尔莫墩村村委会办公楼建设工程，莫哈尔苏木村活动室建设项目将项目绩效目标细化分解为具体的绩效指标，一级指标共4条，二级指标共6条，三级指标共11条，其中量化指标条数共21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该项目预算编制是经过科学论证，预算内容与项目内容相匹配，预算额度测算依据充分，按照计划标准，确定的项目投资额与工作任务相匹配。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该项目预算资金分配依据充分，资金分配额度合理，与项目相适应。</w:t>
      </w:r>
    </w:p>
    <w:p w14:paraId="3277341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AAC641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实际到位资金200万元，预算资金200万元，资金到位率100%。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年初预算数200万元，全年预算数200万元，全年执行数     200万元，预算执行率为100%。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该项目符合国家财经法规和财务管理制度以及有关专项资金管理办法的规定；资金的拨付有完整的审批程序和手续；项目使用符合项目预算批复或合同规定的用途；不存在截留、挤占、挪用、虚列支出等情况。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遵守《会计法》、《中华人民共和国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实施遵守相关法律法规和相关管理规定；项目调整及支出调整手续完备，项目实施过程中镇政府加强项目的监督管理，确保项目按时按量完成。镇政府认真对资料进行整理和收集。镇党政办、镇项目办与财政所的分工协做，共同管理好焉耆镇项目资金支付，提高资金使用效益。</w:t>
      </w:r>
    </w:p>
    <w:p w14:paraId="7B210D8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6C64A9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 活动场所建设工程量，指标值=4470平方米，实际完成值4470平方米，指标完成率100%，偏差原因：无；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指标2：活动场所建设工程数量，指标值=1个，实际完成值1个，指标完成率100%，偏差原因：无；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指标1：项目竣工验收合格率 ，指标值：&gt;=98% ，实际完成值 98%，指标完成率 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指标2：项目设计变更率 ，指标值：&lt;=5% ，实际完成值5%，指标完成率 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指标3：项目资金支付及时率 ，指标值：&gt;=100%  ，实际完成值100%，指标完成率 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指标1：项目开工及时率，指标值&gt;=98% ，完成值98%。指标完成率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指标2：项目完工及时率，指标值&gt;=98% ，完成值98%。指标完成率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指标1：预算控制率，指标值&lt;=100%，完成值100%。指标完成率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指标1：正常运转率，指标值&gt;=98% ，完成值98%。指标完成率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指标2：项目受益人数，指标值&gt;=3876人 ，完成值3876人。指标完成率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指标1：村民满意度，指标值&gt;=95% ，完成值95%。指标完成率 100%，偏差原因：无；</w:t>
      </w:r>
    </w:p>
    <w:p w14:paraId="59DDA9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5C7F1C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查汗采开乡哈尔布热村、阿尔莫墩村村委会办公楼建设工程，莫哈尔苏木村活动室建设项目以建设4470平方米村级基层阵地及配套设施，查汗采开乡哈尔布热村、阿尔莫墩村受益人数3876人，可以保障正常运转。</w:t>
      </w:r>
    </w:p>
    <w:p w14:paraId="78550F6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（五）满意度指标完成情况。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满意度指标：村民满意度，指标：≥95%，实际完成值95%，指标完成率100%。</w:t>
      </w:r>
    </w:p>
    <w:p w14:paraId="6281BE0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A2E270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1、项目实施过程中，按</w:t>
      </w:r>
      <w:bookmarkStart w:id="0" w:name="_GoBack"/>
      <w:bookmarkEnd w:id="0"/>
      <w:r>
        <w:rPr>
          <w:rStyle w:val="19"/>
          <w:rFonts w:hint="eastAsia" w:ascii="楷体" w:hAnsi="楷体" w:eastAsia="楷体"/>
          <w:spacing w:val="-4"/>
          <w:sz w:val="32"/>
          <w:szCs w:val="32"/>
        </w:rPr>
        <w:t>照年度计划规范地组织实施，有条不紊开展相关工作，并做好资料收集整理工作。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2、成立项目绩效管理领导小组，将项目的运行，资金使用情况全部纳入领导小组的全程监管之下。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1、存在问题：财政绩效管理有待提高。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2、原因分析：按照财政支出绩效管理要求，不断完善绩效评价的评价体系及工作流程，提高财政资金使用管理的水平和效率。</w:t>
      </w:r>
    </w:p>
    <w:p w14:paraId="471C37B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98274C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七、有关建议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1、进一步提高绩效管理水平，加强与财政部门的紧密配合,开展好整体支出及项目资金绩效管理工作；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2、加强学习。进一步明确全面实施预算绩效管理的要求，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充分发挥预算绩效管理工作效用。</w:t>
      </w:r>
    </w:p>
    <w:p w14:paraId="6738E20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925B0D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八、其他需要说明的问题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14:paraId="027C810E">
      <w:pPr>
        <w:spacing w:line="540" w:lineRule="exact"/>
        <w:ind w:firstLine="567"/>
        <w:rPr>
          <w:rStyle w:val="19"/>
          <w:rFonts w:ascii="仿宋" w:hAnsi="仿宋" w:eastAsia="仿宋"/>
          <w:b w:val="0"/>
          <w:spacing w:val="-4"/>
          <w:sz w:val="32"/>
          <w:szCs w:val="32"/>
        </w:rPr>
      </w:pPr>
    </w:p>
    <w:p w14:paraId="77642ECA">
      <w:pPr>
        <w:spacing w:line="540" w:lineRule="exact"/>
        <w:ind w:firstLine="567"/>
        <w:rPr>
          <w:rStyle w:val="19"/>
          <w:rFonts w:ascii="仿宋" w:hAnsi="仿宋" w:eastAsia="仿宋"/>
          <w:b w:val="0"/>
          <w:spacing w:val="-4"/>
          <w:sz w:val="32"/>
          <w:szCs w:val="32"/>
        </w:rPr>
      </w:pPr>
    </w:p>
    <w:p w14:paraId="39F14B21">
      <w:pPr>
        <w:spacing w:line="540" w:lineRule="exact"/>
        <w:ind w:firstLine="567"/>
        <w:rPr>
          <w:rStyle w:val="19"/>
          <w:rFonts w:ascii="仿宋" w:hAnsi="仿宋" w:eastAsia="仿宋"/>
          <w:b w:val="0"/>
          <w:spacing w:val="-4"/>
          <w:sz w:val="32"/>
          <w:szCs w:val="32"/>
        </w:rPr>
      </w:pPr>
    </w:p>
    <w:p w14:paraId="5E72D4EF">
      <w:pPr>
        <w:spacing w:line="540" w:lineRule="exact"/>
        <w:ind w:firstLine="567"/>
        <w:rPr>
          <w:rStyle w:val="19"/>
          <w:rFonts w:ascii="仿宋" w:hAnsi="仿宋" w:eastAsia="仿宋"/>
          <w:b w:val="0"/>
          <w:spacing w:val="-4"/>
          <w:sz w:val="32"/>
          <w:szCs w:val="32"/>
        </w:rPr>
      </w:pPr>
    </w:p>
    <w:p w14:paraId="704471AE">
      <w:pPr>
        <w:spacing w:line="540" w:lineRule="exact"/>
        <w:ind w:firstLine="567"/>
        <w:rPr>
          <w:rStyle w:val="19"/>
          <w:rFonts w:ascii="仿宋" w:hAnsi="仿宋" w:eastAsia="仿宋"/>
          <w:b w:val="0"/>
          <w:spacing w:val="-4"/>
          <w:sz w:val="32"/>
          <w:szCs w:val="32"/>
        </w:rPr>
      </w:pPr>
    </w:p>
    <w:p w14:paraId="77EE125F">
      <w:pPr>
        <w:spacing w:line="540" w:lineRule="exact"/>
        <w:ind w:firstLine="567"/>
        <w:rPr>
          <w:rStyle w:val="19"/>
          <w:rFonts w:ascii="仿宋" w:hAnsi="仿宋" w:eastAsia="仿宋"/>
          <w:b w:val="0"/>
          <w:spacing w:val="-4"/>
          <w:sz w:val="32"/>
          <w:szCs w:val="32"/>
        </w:rPr>
      </w:pPr>
    </w:p>
    <w:p w14:paraId="57239CD8">
      <w:pPr>
        <w:spacing w:line="540" w:lineRule="exact"/>
        <w:ind w:firstLine="567"/>
        <w:rPr>
          <w:rStyle w:val="19"/>
          <w:rFonts w:ascii="仿宋" w:hAnsi="仿宋" w:eastAsia="仿宋"/>
          <w:b w:val="0"/>
          <w:spacing w:val="-4"/>
          <w:sz w:val="32"/>
          <w:szCs w:val="32"/>
        </w:rPr>
      </w:pPr>
    </w:p>
    <w:p w14:paraId="5D3BEF79">
      <w:pPr>
        <w:spacing w:line="540" w:lineRule="exact"/>
        <w:ind w:firstLine="567"/>
        <w:rPr>
          <w:rStyle w:val="19"/>
          <w:rFonts w:ascii="仿宋" w:hAnsi="仿宋" w:eastAsia="仿宋"/>
          <w:b w:val="0"/>
          <w:spacing w:val="-4"/>
          <w:sz w:val="32"/>
          <w:szCs w:val="32"/>
        </w:rPr>
      </w:pPr>
    </w:p>
    <w:p w14:paraId="07F34D38">
      <w:pPr>
        <w:spacing w:line="540" w:lineRule="exact"/>
        <w:ind w:firstLine="567"/>
        <w:rPr>
          <w:rStyle w:val="19"/>
          <w:rFonts w:ascii="仿宋" w:hAnsi="仿宋" w:eastAsia="仿宋"/>
          <w:b w:val="0"/>
          <w:spacing w:val="-4"/>
          <w:sz w:val="32"/>
          <w:szCs w:val="32"/>
        </w:rPr>
      </w:pPr>
    </w:p>
    <w:p w14:paraId="2A0CE8A7">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1E07C4-851F-4429-958E-B8D2AA98FF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0D2599F-0F91-4AB3-AF97-B2A8132DE7C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2BF234A-86B4-4B86-8601-8BC0BB1CA340}"/>
  </w:font>
  <w:font w:name="华文中宋">
    <w:panose1 w:val="02010600040101010101"/>
    <w:charset w:val="86"/>
    <w:family w:val="auto"/>
    <w:pitch w:val="default"/>
    <w:sig w:usb0="00000287" w:usb1="080F0000" w:usb2="00000000" w:usb3="00000000" w:csb0="0004009F" w:csb1="DFD70000"/>
    <w:embedRegular r:id="rId4" w:fontKey="{035FFC24-EC9B-49C6-8E2D-ADBE21DE3835}"/>
  </w:font>
  <w:font w:name="方正小标宋_GBK">
    <w:panose1 w:val="02000000000000000000"/>
    <w:charset w:val="86"/>
    <w:family w:val="script"/>
    <w:pitch w:val="default"/>
    <w:sig w:usb0="A00002BF" w:usb1="38CF7CFA" w:usb2="00082016" w:usb3="00000000" w:csb0="00040001" w:csb1="00000000"/>
    <w:embedRegular r:id="rId5" w:fontKey="{8701B777-0218-4382-BCB6-C51AF85C1043}"/>
  </w:font>
  <w:font w:name="仿宋_GB2312">
    <w:panose1 w:val="02010609030101010101"/>
    <w:charset w:val="86"/>
    <w:family w:val="modern"/>
    <w:pitch w:val="default"/>
    <w:sig w:usb0="00000001" w:usb1="080E0000" w:usb2="00000000" w:usb3="00000000" w:csb0="00040000" w:csb1="00000000"/>
    <w:embedRegular r:id="rId6" w:fontKey="{D33BFE52-9217-45B8-AE4C-19F579D02F7E}"/>
  </w:font>
  <w:font w:name="楷体">
    <w:panose1 w:val="02010609060101010101"/>
    <w:charset w:val="86"/>
    <w:family w:val="modern"/>
    <w:pitch w:val="default"/>
    <w:sig w:usb0="800002BF" w:usb1="38CF7CFA" w:usb2="00000016" w:usb3="00000000" w:csb0="00040001" w:csb1="00000000"/>
    <w:embedRegular r:id="rId7" w:fontKey="{950CD28D-3BD1-48D5-AFBC-6D2285552B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281E379">
        <w:pPr>
          <w:pStyle w:val="12"/>
          <w:jc w:val="center"/>
        </w:pPr>
        <w:r>
          <w:fldChar w:fldCharType="begin"/>
        </w:r>
        <w:r>
          <w:instrText xml:space="preserve">PAGE   \* MERGEFORMAT</w:instrText>
        </w:r>
        <w:r>
          <w:fldChar w:fldCharType="separate"/>
        </w:r>
        <w:r>
          <w:rPr>
            <w:lang w:val="zh-CN"/>
          </w:rPr>
          <w:t>1</w:t>
        </w:r>
        <w:r>
          <w:fldChar w:fldCharType="end"/>
        </w:r>
      </w:p>
    </w:sdtContent>
  </w:sdt>
  <w:p w14:paraId="4405B5E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E3936E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a2b2067-df7d-44be-9896-03a41ce2c702}">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4626</Words>
  <Characters>4822</Characters>
  <Lines>5</Lines>
  <Paragraphs>1</Paragraphs>
  <TotalTime>0</TotalTime>
  <ScaleCrop>false</ScaleCrop>
  <LinksUpToDate>false</LinksUpToDate>
  <CharactersWithSpaces>4878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雨。</cp:lastModifiedBy>
  <cp:lastPrinted>2018-12-31T10:56:00Z</cp:lastPrinted>
  <dcterms:modified xsi:type="dcterms:W3CDTF">2025-11-11T08:49:41Z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160D1BA1944349B08C48068401F6E698</vt:lpwstr>
  </property>
</Properties>
</file>