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巴财综（2023）18号-中央体育彩票公益金支持地方社会公益事业发展资金-11人制社会足球场建设项目和东湖新城体育公园建设项目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焉耆回族自治县文化体育广播电视和旅游局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焉耆回族自治县文化体育广播电视和旅游局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白鹭</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2025年03月18日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1、项目背景</w:t>
        <w:br/>
        <w:t>根据巴财综 &lt;2024年中央、自治区体育彩票公益金项目的通知&gt;［2023］18号文件精神，下达体育彩票公益金项目资金，通过该项目的建设，有利于改变焉耆县公共体育设施严重落后状况，进一步优化焉耆县的人居环境，促进全民健身运动的开展，进一步满足广大人民群众日益增长的体育健身需求，进一步发挥体育的综合功能和社会效应，丰富社会体育文化生活，提升城市品位，构建宜居城市。</w:t>
        <w:br/>
        <w:t></w:t>
        <w:br/>
        <w:t>2、主要内容及实施情况</w:t>
        <w:br/>
        <w:t>主要内容：新建11人制足球场7500平方米。在东湖新城建设体育公园，占地面积4万平方米，新建篮球场、7人制足球场、排球场、旱冰场等场地，健身步道、室外健身器械及配套服务设施。</w:t>
        <w:br/>
        <w:t>实施情况：在东湖新城建设体育公园，项目建设投资800万元，新建11人制足球场,项目建设投资300万元。体育公园建设面积40000平方米，11人制足球场建设面积7500平方米。改变焉耆县公共体育设施严重落后状况，进一步优化焉耆县的人居环境，促进全民健身运动的开展，进一步满足广大人民群众日益增长的体育健身需求，进一步发挥体育的综合功能和社会效应，丰富社会体育文化生活，提升城市品位，构建宜居城市。</w:t>
        <w:br/>
        <w:t>4、资金投入和使用情况</w:t>
        <w:br/>
        <w:t>资金投入情况：该项目年初预算数1100万元，全年预算数830万元，实际总投入830万元，该项目资金已全部落实到位，资金来源为财政拨款。</w:t>
        <w:br/>
        <w:t>资金使用情况：该项目年初预算数1100万元，全年预算数830万元，全年执行数830万元，预算执行率为100%，用于：东湖新城建设体育公园、11人制足球场建设。</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1、总体目标：东湖新城建设体育公园、11人制足球场建设。保障群众体育锻炼需求。改变焉耆县公共体育设施严重落后状况，进一步优化焉耆县的人居环境，促进全民健身运动的开展</w:t>
        <w:br/>
        <w:t>2、阶段性目标：</w:t>
        <w:br/>
        <w:t>第一阶段：项目前期做了项目立项，前期审批项目建议书，可研性研究报告。</w:t>
        <w:br/>
        <w:t>第二阶段：进行初步设计，投资概算，实施准备阶段，设计院进行施工图设计，施工招标，监理招标。</w:t>
        <w:br/>
        <w:t>第三阶段：项目实施阶段施工，验收，竣工结算和决算审计。</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1、绩效评价目的：</w:t>
        <w:br/>
        <w:t>通过绩效评价，客观地评判项目的管理绩效，了解和掌握体育馆免费开放项目经费的具体情况，评价该项目资金安排的科学性、合理性、规范性和资金的使用成效，及时总结项目管理经验，完善项目管理办法，提高项目管理水平和资金使用效益。促使文旅局根据绩效评价中发现的问题，认真加以整改，及时调整和完善单位的工作计划和绩效目标并加强项目管理，提高管理水平，同时为项目后续资金投入、分配和管理提供决策依据。</w:t>
        <w:br/>
        <w:t>2、绩效评价对象：</w:t>
        <w:br/>
        <w:t>巴财综（2023）18号-中央体育彩票公益金支持地方社会公益事业发展资金-11人制社会足球场建设项目和东湖新城体育公园建设项目。</w:t>
        <w:br/>
        <w:t>3、绩效评价范围：</w:t>
        <w:br/>
        <w:t>本次评价从项目决策（包括绩效目标、决策过程）、项目管理（包括项目资金、项目实施）、项目产出（包括项目产出数量、产出质量、产出时效和产出成本）项目效益四个维度进行中央体育彩票公益金支持地方社会公益事业发展资金项目 评价，评价核心为专项资金的支出完成情况和效果。</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文旅局绩效评价结束以后，将根据《政府信息公开条例》规定，自评结果拟在焉耆县政府政务信息公开网站进行公开，广泛接受人民群众监督，接受社会各界监督，让公众全面了解政府绩效评价过程和评价结果。</w:t>
        <w:br/>
        <w:t>2、评价指标体系（附表说明）</w:t>
        <w:br/>
        <w:t>3、评价方法</w:t>
        <w:br/>
        <w:t>本次项目支出绩效自评采用因素分析法。原因是：本次项目自评需要通过分析影响年初设置的三级指标完成情况的内外因素,在此基础上进行评价考虑各种内外因素产生的影响及量化社会效益进行评价。</w:t>
        <w:br/>
        <w:t>4、评价标准</w:t>
        <w:br/>
        <w:t>本次项目支出绩效自评采用计划标准。原因是：本项目通过项目实施方案及巴财综（2023）18号-中央体育彩票公益金支持地方社会公益事业发展资金-11人制社会足球场建设项目和东湖新城体育公园建设项目指标数据确定三级指标进行自评，使评价结果更加科学真实。</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1.前期准备。首先成立评价工作组，开展前期调研；其次明确项目绩效目标，设计绩效评价指标体系并确定绩效评价方法；接着确定现场和非现场评价范围，设计资料清单；最后制定评价实施方案并进行论证。</w:t>
        <w:br/>
        <w:t>2.组织实施。制定绩效评价工作方案，具体包括项目概况、评价思路、方法手段、组织实施、进度安排等。收集项目立项依据、相关会议纪要、实施方案、财政资金分配方案、支付管理情况等相关评价资料并进行梳理。</w:t>
        <w:br/>
        <w:t>3.分析评价。根据收集梳理的资料围绕项目立项、资金落实、业务管理、财务管理、项目产出、项目效益等内容，对照已确定的绩效评价指标进行详细全面的分析评价，逐项打分并形成绩效评价最终结果。</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（一）综合评价情况</w:t>
        <w:br/>
        <w:t>本项目严格按照科学公正、统筹兼顾、激励约束、公开透明的绩效评价原则，采用因素分析法评价方法，坚持因素分析法绩效评价标准对本项目的立项、项绩效目标、资金投入、资金管理、组织实施、产出数量、产出质量、产出时效、产出成本、项目效益进行了综合评价。</w:t>
        <w:br/>
        <w:t></w:t>
        <w:br/>
        <w:t>（二）评价结论</w:t>
        <w:br/>
        <w:t>本项目的项目决策、项目过程、项目产出、项目效益均达到了预期要求，最终得分为98分，项目达成年度指标。</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1、立项依据充分性</w:t>
        <w:br/>
        <w:t>项目立项符合体育彩票公益金要求；项目立项与部门职责范围相符，属于部门履职所需；项目属于公共财政支持范围，符合中央、地方事权支出责任划分原则；项目与相关部门同类项目或部门内部相关项目无重复。</w:t>
        <w:br/>
        <w:t>项目立项依据：巴财综 &lt;2024年中央、自治区体育彩票公益金项目的通知&gt;［2023］18号文件。</w:t>
        <w:br/>
        <w:t>2、立项程序规范性</w:t>
        <w:br/>
        <w:t>项目资金年初纳入2024年预算资金，县财政批复后在县政府网站公开后实施此项目。项目按照规定的程序申请设立，审批文件、材料符合相关要求，且事前已经过必要的可行性研究、绩效评估、集体决策。项目的立项符合规划，根据评分标准，项目立项权重10分，实际得分10分，实际得分率为100%。</w:t>
        <w:br/>
        <w:t>3、绩效目标合理性</w:t>
        <w:br/>
        <w:t>项目设立了项目绩效目标，与建设具有相关性，项目的预期产出效益和效果也均能符合正常的业绩水平，并且与预算确定的项目投资额或资金量相匹配。二是绩效指标明确性：资金项目将项目绩效目标细化分解为具体的绩效指标，一级指标共3条，二级指标共5条，三级指标共10条，其中量化指标条数共9条，所有绩效指标均通过清晰、可衡量的指标值予以体现，并且做到了与项目目标任务数或计划数相对应。项目的立项符合规划，根据评分标准，绩效目标权重5分，实际得分5分，实际得分率为100%。</w:t>
        <w:br/>
        <w:t>4、绩效指标明确性</w:t>
        <w:br/>
        <w:t>2024年项目将项目绩效目标细化分解为具体的绩效指标，一级指标共3条，二级指标共5条，三级指标共10条，其中量化指标条数共9条，所有绩效指标均通过清晰、可衡量的指标值予以体现，并且做到了与项目目标任务数或计划数相对应。</w:t>
        <w:br/>
        <w:t>5、预算编制科学性</w:t>
        <w:br/>
        <w:t>该项目经过科学论证，预算内容与项目内容匹配，预算额度测算依据充分，按照标准编制，年初预算数1100万元，全年预算数830万元，经县财政局批复后，在县政府网站公开，预算确定的项目投资额与该项工作任务相匹配。</w:t>
        <w:br/>
        <w:t>6、资金分配合理性</w:t>
        <w:br/>
        <w:t>资金分配合理性：本年初预算数1100万元，预算资金分配依据充分，根据项目设置目标需求巴财综（2023）18号-中央体育彩票公益金支持地方社会公益事业发展资金-11人制社会足球场建设项目和东湖新城体育公园建设项目830万元。资金分配额度合理，与项目实际相适应。项目的立项符合规划，根据评分标准，资金投入权重10分，实际得分10分，实际得分率为100%。</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1、资金到位率：</w:t>
        <w:br/>
        <w:t>实际到位资金 830万元，预算资金830万元，资金到位率100%.</w:t>
        <w:br/>
        <w:t>2、预算执行率</w:t>
        <w:br/>
        <w:t>年初预算数1100万元，全年预算数830万元，全年执行数830万元，预算执行率为100%。</w:t>
        <w:br/>
        <w:t>3、资金使用合规性</w:t>
        <w:br/>
        <w:t>县财政下达资金告知单，本单位向县委财经领导小组申请资金拨付，经县委财经领导小组通过后拨付资金；此项目按照预算批复资金830万元实施，用于巴财综（2023）18号-中央体育彩票公益金支持地方社会公益事业发展资金-11人制社会足球场建设项目和东湖新城体育公园建设项目，不存在截留、挤占、挪用、虚列支出等情况。按照部门相关内控管理制度严格执行，专项财务和业务管理制度建设完善。项目的立项符合规划，根据评分标准，资金管理权重12分，实际得分12分，实际得分率为100%。</w:t>
        <w:br/>
        <w:t>4、管理制度健全性</w:t>
        <w:br/>
        <w:t>项目实施过程中，严格按照相应的财务《中华人民共和国会计法》、《行政事业单位财务规则》、内部控制制度等业务管理制度，但项目相对应专项财务和业务管理制度建设不完善。</w:t>
        <w:br/>
        <w:t>5、制度执行有效性</w:t>
        <w:br/>
        <w:t>专项项目管理制度执行遵守相关法律法规和相关管理规定；项目支出未进行调整，严格按照年度工作计划实施；项目相关资料资料齐全并及时归档；项目实施的人员条件、设备、信息支撑等落实到位。成立领导小组，明确分管领导、牵头科室和具体负责人。建立了沟通联系机制，组织调研，明确项目任务，制定项目实施方案。按季度对项目执行情况进行调度，定期对项目开展情况进行绩效考核，加快项目的实施。 项目的立项符合规划，根据评分标准，组织实施权重8分，实际得分8分。实际得分率为100%。</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1、产出数量指标：指标1： 体育公园建设面积，指标值：&gt;=40000平方米，实际完成值： 40000平方米，指标完成率100%。偏差原因：无偏差。指标2：篮球场建设面积，指标值：&gt;=1800平方米，实际完成值： 1800平方米，指标完成率100%。偏差原因：无偏差。指标3：11人制足球场建设面积，指标值：&gt;=7500平方米，实际完成值 ：7500平方米，指标完成率100%。偏差原因：无偏差。指标4：7人制足球场建设面积，指标值：&gt;=2300平方米，实际完成值 ：2300平方米，指标完成率100%。偏差原因：无偏差。</w:t>
        <w:br/>
        <w:t>2、产出质量指标：工程合格率，指标值：=100%，实际完成值100%，指标完成率100%。</w:t>
        <w:br/>
        <w:t>3、产出时效指标：指标1：工程按时完成率：指标值：≥100%，实际完成值：100%。指标完成率100%.偏差原因：无偏差。指标2：建成场地投入使用率：指标值：≥100%，实际完成值：100%。指标完成率100%.偏差原因：无偏差。</w:t>
        <w:br/>
        <w:t>4、对于“社会效益”，指标1： 有效提升焉耆县群众健身需求：效果显著,实际完成值100%，指标完成率100%。偏差原因：无偏差。根据评分标准，该指标不扣分。指标2：促进群众体育活动积极性&gt;=9分，实际完成值100%，指标完成率100%。偏差原因：无偏差。根据评分标准，该指标不扣分。</w:t>
        <w:br/>
        <w:t>5、对于“服务对象满意度”，服务对象满意度，指标值≥90%，实际完成值100%，指标完成率100%,偏差原因：无偏差。根据评分标准，该指标不扣分。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该项目完成在东湖新城建设体育公园、篮球场、7人制足球场11人制足球场。体育公园建设面积40000平方米，篮球-球场建设面积1800平方米、7人制足球场建设面积2300平方米、11人制足球场建设面积7500平方米。改变焉耆县公共体育设施严重落后状况，进一步优化焉耆县的人居环境，促进全民健身运动的开展，进一步满足广大人民群众日益增长的体育健身需求，进一步发挥体育的综合功能和社会效应，丰富社会体育文化生活，提升城市品位，构建宜居城市。</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对于“服务对象满意度”，指标：服务对象满意度，指标值≥90%，实际完成值90%，指标完成率100%,，偏差原因：无偏差。</w:t>
      </w:r>
      <w:bookmarkStart w:id="0" w:name="_GoBack"/>
      <w:bookmarkEnd w:id="0"/>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（一）主要经验及做法</w:t>
        <w:br/>
        <w:t>1．做好项目支出绩效实施的跟踪检查工作。定期不定期地对项目实施情况和经费使用情况进行跟踪检查，对能实现预期项目绩效目标的项目予以充分肯定，对进展缓慢，预期绩效目标较差的项目，及时进行协调和提出整改措施，确保项目支出绩效实施工作正常运行，达到预期绩效目标。</w:t>
        <w:br/>
        <w:t></w:t>
        <w:br/>
        <w:t>2.项目实施过程中，按照年度计划规范地组织实施，有条不紊开展相关工作，并做好资料收集整理工作。</w:t>
        <w:br/>
        <w:t></w:t>
        <w:br/>
        <w:t></w:t>
        <w:br/>
        <w:t>（二）存在的问题及原因分析</w:t>
        <w:br/>
        <w:t>该项目在支付上稍有延后的情况。此项目是建设类的项目，需要初步设计，投资概算，实施准备阶段，设计院进行施工图设计，施工招标，监理招标，项目实施阶段施工，验收，竣工结算和决算审计，导致资金支付有波动。</w:t>
      </w:r>
    </w:p>
    <w:p>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 xml:space="preserve"> 进一步强化单位各部门绩效管理理念，将被动认识转化为主动实践，完善项目专项财务和业务管理制度，切实加强组织领导，深入推进项目管理和绩效评价工作。</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本次预算绩效评价所采集的数据因为采集时间、数据来源等诸多因素的影响，可能会出现一定的偏差，进而对评价结果存在影响。</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4C3D1751"/>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0</TotalTime>
  <ScaleCrop>false</ScaleCrop>
  <LinksUpToDate>false</LinksUpToDate>
  <CharactersWithSpaces>760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sj</cp:lastModifiedBy>
  <cp:lastPrinted>2018-12-31T10:56:00Z</cp:lastPrinted>
  <dcterms:modified xsi:type="dcterms:W3CDTF">2024-07-23T09:36:28Z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