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焉耆回族自治县质量与计量检测所</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一、关于焉耆回族自治县质量与计量检测所2025年收支预算情况的总体说明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二、关于焉耆回族自治县质量与计量检测所2025年收入预算情况说明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三、关于焉耆回族自治县质量与计量检测所2025年支出预算情况说明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四、关于焉耆回族自治县质量与计量检测所2025年财政拨款收支预算情况的总体说明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五、关于焉耆回族自治县质量与计量检测所2025年一般公共预算当年拨款情况说明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六、关于焉耆回族自治县质量与计量检测所2025年一般公共预算基本支出情况说明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七、关于焉耆回族自治县质量与计量检测所2025年一般公共预算项目支出情况说明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八、关于焉耆回族自治县质量与计量检测所2025年政府性基金预算拨款情况说明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九、关于焉耆回族自治县质量与计量检测所2025年国有资本经营预算拨款情况说明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十、关于焉耆回族自治县质量与计量检测所2025年财政拨款“三公”经费预算情况说明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十一、关于焉耆回族自治县质量与计量检测所2025年上年结转结余预算情况说明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1.宣传贯彻执行国家和自治区有关质量技术监督工作的方针、政策和法律法规，根据有关法律法规开展工作。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2.负责管理质量监督工作。组织实施重点产品的监督检验工作，开展产品质量仲裁检验。</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3.负责计量监督管理工作。推行法定计量单位和国家计量制度。依法管理标准计量器具规范和监督商品量的计量行为。</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4.依法开展计量器具检定工作，规范市场计量和公正计量机构的行为。</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5.依法开展质量检验工作，使产品质量和安全问题得到有效保障。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6.依法提供技术支持，为生产企业和消费者提供技术支持和咨询服务，为行业发展和提高产品质量提供技术保障。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焉耆回族自治县质量与计量检测所</w:t>
      </w:r>
      <w:r>
        <w:rPr>
          <w:rFonts w:hint="default" w:ascii="Times New Roman" w:hAnsi="Times New Roman" w:eastAsia="仿宋_GB2312" w:cs="Times New Roman"/>
          <w:bCs/>
          <w:color w:val="auto"/>
          <w:kern w:val="0"/>
          <w:sz w:val="32"/>
          <w:szCs w:val="32"/>
          <w:highlight w:val="none"/>
          <w:lang w:val="en-US" w:eastAsia="zh-CN"/>
        </w:rPr>
        <w:t>无下属预算单位，下设4个科室，分别是：业务室、综合室、检查室、化验室。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焉耆回族自治县质量与计量检测所</w:t>
      </w:r>
      <w:r>
        <w:rPr>
          <w:rFonts w:hint="default" w:ascii="Times New Roman" w:hAnsi="Times New Roman" w:eastAsia="仿宋_GB2312" w:cs="Times New Roman"/>
          <w:bCs/>
          <w:color w:val="auto"/>
          <w:kern w:val="0"/>
          <w:sz w:val="32"/>
          <w:szCs w:val="32"/>
          <w:highlight w:val="none"/>
          <w:lang w:val="en-US" w:eastAsia="zh-CN"/>
        </w:rPr>
        <w:t>编制数12，实有人数15人，其中：在职11人，增加0人；退休4人，减少1人；离休0人，增加0人。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val="en-US" w:eastAsia="zh-CN"/>
        </w:rPr>
        <w:t>焉耆回族自治县质量与计量检测所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            </w:t>
      </w:r>
      <w:r>
        <w:rPr>
          <w:rFonts w:hint="default" w:ascii="Times New Roman" w:hAnsi="Times New Roman" w:eastAsia="仿宋_GB2312" w:cs="Times New Roman"/>
          <w:color w:val="auto"/>
          <w:kern w:val="0"/>
          <w:sz w:val="24"/>
          <w:highlight w:val="none"/>
          <w:lang w:val="en-US" w:eastAsia="zh-CN"/>
        </w:rPr>
        <w:t xml:space="preserve"> </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182.75</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131.28</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182.75</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182.75</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29.04</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8.44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13.99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182.75</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182.75</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val="en-US" w:eastAsia="zh-CN"/>
        </w:rPr>
        <w:t>焉耆回族自治县质量与计量检测所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p>
    <w:tbl>
      <w:tblPr>
        <w:tblStyle w:val="10"/>
        <w:tblW w:w="11385" w:type="dxa"/>
        <w:tblInd w:w="-1371" w:type="dxa"/>
        <w:tblLayout w:type="fixed"/>
        <w:tblCellMar>
          <w:top w:w="0" w:type="dxa"/>
          <w:left w:w="108" w:type="dxa"/>
          <w:bottom w:w="0" w:type="dxa"/>
          <w:right w:w="108" w:type="dxa"/>
        </w:tblCellMar>
      </w:tblPr>
      <w:tblGrid>
        <w:gridCol w:w="615"/>
        <w:gridCol w:w="555"/>
        <w:gridCol w:w="465"/>
        <w:gridCol w:w="1755"/>
        <w:gridCol w:w="840"/>
        <w:gridCol w:w="855"/>
        <w:gridCol w:w="855"/>
        <w:gridCol w:w="705"/>
        <w:gridCol w:w="465"/>
        <w:gridCol w:w="645"/>
        <w:gridCol w:w="555"/>
        <w:gridCol w:w="735"/>
        <w:gridCol w:w="660"/>
        <w:gridCol w:w="375"/>
        <w:gridCol w:w="540"/>
        <w:gridCol w:w="765"/>
      </w:tblGrid>
      <w:tr>
        <w:tblPrEx>
          <w:tblCellMar>
            <w:top w:w="0" w:type="dxa"/>
            <w:left w:w="108" w:type="dxa"/>
            <w:bottom w:w="0" w:type="dxa"/>
            <w:right w:w="108" w:type="dxa"/>
          </w:tblCellMar>
        </w:tblPrEx>
        <w:trPr>
          <w:trHeight w:val="697" w:hRule="atLeast"/>
        </w:trPr>
        <w:tc>
          <w:tcPr>
            <w:tcW w:w="163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75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4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81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66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7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单位资金</w:t>
            </w:r>
          </w:p>
        </w:tc>
        <w:tc>
          <w:tcPr>
            <w:tcW w:w="540"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765"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615"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55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6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75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4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5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5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0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6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4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55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660"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p>
        </w:tc>
        <w:tc>
          <w:tcPr>
            <w:tcW w:w="375"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p>
        </w:tc>
        <w:tc>
          <w:tcPr>
            <w:tcW w:w="540"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65" w:type="dxa"/>
            <w:vMerge w:val="continue"/>
            <w:tcBorders>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201</w:t>
            </w:r>
          </w:p>
        </w:tc>
        <w:tc>
          <w:tcPr>
            <w:tcW w:w="55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6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75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一般公共服务支出</w:t>
            </w:r>
          </w:p>
        </w:tc>
        <w:tc>
          <w:tcPr>
            <w:tcW w:w="84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131.28</w:t>
            </w:r>
          </w:p>
        </w:tc>
        <w:tc>
          <w:tcPr>
            <w:tcW w:w="85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85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70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7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4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76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201</w:t>
            </w:r>
          </w:p>
        </w:tc>
        <w:tc>
          <w:tcPr>
            <w:tcW w:w="5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38</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7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市场监督管理事务</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131.28</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201</w:t>
            </w:r>
          </w:p>
        </w:tc>
        <w:tc>
          <w:tcPr>
            <w:tcW w:w="5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38</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50</w:t>
            </w:r>
          </w:p>
        </w:tc>
        <w:tc>
          <w:tcPr>
            <w:tcW w:w="17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事业运行</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131.28</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7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社会保障和就业支出</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29.04</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29.04</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29.04</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7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行政事业单位养老支出</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29.04</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29.04</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29.04</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17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事业单位离退休</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1.07</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1.07</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1.07</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17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机关事业单位基本养老保险缴费支出</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18.65</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18.65</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18.65</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17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机关事业单位职业年金缴费支出</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9.32</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9.32</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9.32</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5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7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 xml:space="preserve">卫生健康支出 </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8.44</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5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7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行政事业单位医疗</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8.44</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5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17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事业单位医疗</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8.44</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5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7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住房保障支出</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13.99</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5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17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住房改革支出</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13.99</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5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46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175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住房公积金</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13.99</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61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5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p>
        </w:tc>
        <w:tc>
          <w:tcPr>
            <w:tcW w:w="17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　</w:t>
            </w:r>
          </w:p>
        </w:tc>
        <w:tc>
          <w:tcPr>
            <w:tcW w:w="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182.75</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182.75</w:t>
            </w:r>
          </w:p>
        </w:tc>
        <w:tc>
          <w:tcPr>
            <w:tcW w:w="8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182.75</w:t>
            </w:r>
          </w:p>
        </w:tc>
        <w:tc>
          <w:tcPr>
            <w:tcW w:w="7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6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4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3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4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6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焉耆回族自治县质量与计量检测所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                           </w:t>
      </w:r>
    </w:p>
    <w:tbl>
      <w:tblPr>
        <w:tblStyle w:val="10"/>
        <w:tblW w:w="9420" w:type="dxa"/>
        <w:tblInd w:w="-240" w:type="dxa"/>
        <w:tblLayout w:type="autofit"/>
        <w:tblCellMar>
          <w:top w:w="0" w:type="dxa"/>
          <w:left w:w="108" w:type="dxa"/>
          <w:bottom w:w="0" w:type="dxa"/>
          <w:right w:w="108" w:type="dxa"/>
        </w:tblCellMar>
      </w:tblPr>
      <w:tblGrid>
        <w:gridCol w:w="651"/>
        <w:gridCol w:w="440"/>
        <w:gridCol w:w="467"/>
        <w:gridCol w:w="2453"/>
        <w:gridCol w:w="1716"/>
        <w:gridCol w:w="1823"/>
        <w:gridCol w:w="1870"/>
      </w:tblGrid>
      <w:tr>
        <w:tblPrEx>
          <w:tblCellMar>
            <w:top w:w="0" w:type="dxa"/>
            <w:left w:w="108" w:type="dxa"/>
            <w:bottom w:w="0" w:type="dxa"/>
            <w:right w:w="108" w:type="dxa"/>
          </w:tblCellMar>
        </w:tblPrEx>
        <w:trPr>
          <w:trHeight w:val="328" w:hRule="atLeast"/>
        </w:trPr>
        <w:tc>
          <w:tcPr>
            <w:tcW w:w="401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409"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55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5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71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7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5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7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201</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一般公共服务支出</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201</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38</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市场监督管理事务</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201</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38</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50</w:t>
            </w: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事业运行</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社会保障和就业支出</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29.04</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29.04</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行政事业单位养老支出</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29.04</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29.04</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事业单位离退休</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1.07</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1.07</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机关事业单位基本养老保险缴费支出</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18.65</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18.65</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机关事业单位职业年金缴费支出</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9.32</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9.32</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 xml:space="preserve">卫生健康支出 </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行政事业单位医疗</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事业单位医疗</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住房保障支出</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住房改革支出</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245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住房公积金</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2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7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46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r>
              <w:rPr>
                <w:rFonts w:hint="default" w:ascii="Times New Roman" w:hAnsi="Times New Roman" w:cs="Times New Roman"/>
                <w:b/>
                <w:bCs/>
                <w:color w:val="auto"/>
                <w:kern w:val="0"/>
                <w:sz w:val="16"/>
                <w:szCs w:val="16"/>
                <w:highlight w:val="none"/>
              </w:rPr>
              <w:t>　</w:t>
            </w:r>
          </w:p>
        </w:tc>
        <w:tc>
          <w:tcPr>
            <w:tcW w:w="245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c>
          <w:tcPr>
            <w:tcW w:w="17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2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40"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467"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2453" w:type="dxa"/>
            <w:tcBorders>
              <w:top w:val="nil"/>
              <w:left w:val="nil"/>
              <w:bottom w:val="single" w:color="auto" w:sz="4" w:space="0"/>
              <w:right w:val="single" w:color="auto" w:sz="4" w:space="0"/>
            </w:tcBorders>
            <w:noWrap w:val="0"/>
            <w:vAlign w:val="center"/>
          </w:tcPr>
          <w:p>
            <w:pPr>
              <w:rPr>
                <w:rFonts w:hint="default" w:ascii="Times New Roman" w:hAnsi="Times New Roman" w:cs="Times New Roman"/>
                <w:color w:val="auto"/>
                <w:highlight w:val="none"/>
              </w:rPr>
            </w:pP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highlight w:val="none"/>
              </w:rPr>
            </w:pP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highlight w:val="none"/>
              </w:rPr>
            </w:pPr>
          </w:p>
        </w:tc>
        <w:tc>
          <w:tcPr>
            <w:tcW w:w="1870"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color w:val="auto"/>
                <w:highlight w:val="none"/>
              </w:rPr>
            </w:pPr>
          </w:p>
        </w:tc>
      </w:tr>
      <w:tr>
        <w:tblPrEx>
          <w:tblCellMar>
            <w:top w:w="0" w:type="dxa"/>
            <w:left w:w="108" w:type="dxa"/>
            <w:bottom w:w="0" w:type="dxa"/>
            <w:right w:w="108" w:type="dxa"/>
          </w:tblCellMar>
        </w:tblPrEx>
        <w:trPr>
          <w:trHeight w:val="405" w:hRule="atLeast"/>
        </w:trPr>
        <w:tc>
          <w:tcPr>
            <w:tcW w:w="651"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4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6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45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合  计</w:t>
            </w: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182.75</w:t>
            </w:r>
          </w:p>
        </w:tc>
        <w:tc>
          <w:tcPr>
            <w:tcW w:w="182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182.75</w:t>
            </w:r>
          </w:p>
        </w:tc>
        <w:tc>
          <w:tcPr>
            <w:tcW w:w="187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4"/>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eastAsia="zh-CN"/>
        </w:rPr>
        <w:t>焉耆</w:t>
      </w:r>
      <w:r>
        <w:rPr>
          <w:rFonts w:hint="eastAsia" w:eastAsia="仿宋_GB2312" w:cs="Times New Roman"/>
          <w:color w:val="auto"/>
          <w:kern w:val="0"/>
          <w:sz w:val="24"/>
          <w:highlight w:val="none"/>
          <w:lang w:eastAsia="zh-CN"/>
        </w:rPr>
        <w:t>回族自治</w:t>
      </w:r>
      <w:r>
        <w:rPr>
          <w:rFonts w:hint="default" w:ascii="Times New Roman" w:hAnsi="Times New Roman" w:eastAsia="仿宋_GB2312" w:cs="Times New Roman"/>
          <w:color w:val="auto"/>
          <w:kern w:val="0"/>
          <w:sz w:val="24"/>
          <w:highlight w:val="none"/>
          <w:lang w:eastAsia="zh-CN"/>
        </w:rPr>
        <w:t>县质量与计量检测所</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单位：万元                              </w:t>
      </w:r>
    </w:p>
    <w:tbl>
      <w:tblPr>
        <w:tblStyle w:val="10"/>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34"/>
        <w:gridCol w:w="5"/>
        <w:gridCol w:w="1129"/>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182.75</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131.28</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131.28</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182.75</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29.04</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29.04</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8.44</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8.44</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lang w:val="en-US" w:eastAsia="zh-CN"/>
              </w:rPr>
              <w:t>13.99</w:t>
            </w: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13.99</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宋体" w:cs="Times New Roman"/>
                <w:color w:val="auto"/>
                <w:kern w:val="0"/>
                <w:sz w:val="20"/>
                <w:szCs w:val="20"/>
                <w:highlight w:val="none"/>
                <w:lang w:val="en-US" w:eastAsia="zh-CN" w:bidi="ar-SA"/>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182.75</w:t>
            </w:r>
            <w:r>
              <w:rPr>
                <w:rFonts w:hint="default" w:ascii="Times New Roman" w:hAnsi="Times New Roman" w:eastAsia="仿宋_GB2312" w:cs="Times New Roman"/>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rPr>
              <w:t>182.75</w:t>
            </w:r>
            <w:r>
              <w:rPr>
                <w:rFonts w:hint="default" w:ascii="Times New Roman" w:hAnsi="Times New Roman" w:eastAsia="仿宋_GB2312" w:cs="Times New Roman"/>
                <w:color w:val="auto"/>
                <w:kern w:val="0"/>
                <w:sz w:val="21"/>
                <w:szCs w:val="21"/>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仿宋_GB2312" w:cs="Times New Roman"/>
                <w:color w:val="auto"/>
                <w:kern w:val="0"/>
                <w:sz w:val="21"/>
                <w:szCs w:val="21"/>
                <w:highlight w:val="none"/>
                <w:lang w:val="en-US" w:eastAsia="zh-CN"/>
              </w:rPr>
              <w:t>182.75</w:t>
            </w:r>
            <w:r>
              <w:rPr>
                <w:rFonts w:hint="default" w:ascii="Times New Roman" w:hAnsi="Times New Roman" w:eastAsia="仿宋_GB2312" w:cs="Times New Roman"/>
                <w:color w:val="auto"/>
                <w:kern w:val="0"/>
                <w:sz w:val="21"/>
                <w:szCs w:val="21"/>
                <w:highlight w:val="none"/>
              </w:rPr>
              <w:t>　</w:t>
            </w:r>
          </w:p>
        </w:tc>
        <w:tc>
          <w:tcPr>
            <w:tcW w:w="1139"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rPr>
              <w:t>　</w:t>
            </w:r>
          </w:p>
        </w:tc>
        <w:tc>
          <w:tcPr>
            <w:tcW w:w="1129"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1"/>
                <w:szCs w:val="21"/>
                <w:highlight w:val="none"/>
              </w:rPr>
            </w:pPr>
          </w:p>
        </w:tc>
      </w:tr>
    </w:tbl>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autofit"/>
        <w:tblCellMar>
          <w:top w:w="0" w:type="dxa"/>
          <w:left w:w="108" w:type="dxa"/>
          <w:bottom w:w="0" w:type="dxa"/>
          <w:right w:w="108" w:type="dxa"/>
        </w:tblCellMar>
      </w:tblPr>
      <w:tblGrid>
        <w:gridCol w:w="516"/>
        <w:gridCol w:w="499"/>
        <w:gridCol w:w="503"/>
        <w:gridCol w:w="2494"/>
        <w:gridCol w:w="1677"/>
        <w:gridCol w:w="1834"/>
        <w:gridCol w:w="1691"/>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w:t>
            </w:r>
            <w:r>
              <w:rPr>
                <w:rFonts w:hint="eastAsia" w:eastAsia="仿宋_GB2312" w:cs="Times New Roman"/>
                <w:color w:val="auto"/>
                <w:kern w:val="0"/>
                <w:sz w:val="24"/>
                <w:highlight w:val="none"/>
                <w:lang w:eastAsia="zh-CN"/>
              </w:rPr>
              <w:t>回族自治</w:t>
            </w:r>
            <w:r>
              <w:rPr>
                <w:rFonts w:hint="default" w:ascii="Times New Roman" w:hAnsi="Times New Roman" w:eastAsia="仿宋_GB2312" w:cs="Times New Roman"/>
                <w:color w:val="auto"/>
                <w:kern w:val="0"/>
                <w:sz w:val="24"/>
                <w:highlight w:val="none"/>
                <w:lang w:eastAsia="zh-CN"/>
              </w:rPr>
              <w:t>县质量与计量检测所</w:t>
            </w:r>
            <w:r>
              <w:rPr>
                <w:rFonts w:hint="default" w:ascii="Times New Roman" w:hAnsi="Times New Roman" w:eastAsia="仿宋_GB2312" w:cs="Times New Roman"/>
                <w:color w:val="auto"/>
                <w:kern w:val="0"/>
                <w:sz w:val="24"/>
                <w:szCs w:val="24"/>
                <w:highlight w:val="none"/>
              </w:rPr>
              <w:t xml:space="preserve">  </w:t>
            </w:r>
            <w:r>
              <w:rPr>
                <w:rFonts w:hint="eastAsia"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3994"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20"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489"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0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8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0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4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201</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一般公共服务支出</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201</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38</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市场监督管理事务</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201</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38</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50</w:t>
            </w: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事业运行</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131.28</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社会保障和就业支出</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29.04</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29.04</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行政事业单位养老支出</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29.04</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29.04</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事业单位离退休</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1.07</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1.07</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机关事业单位基本养老保险缴费支出</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18.65</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18.65</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208</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05</w:t>
            </w: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机关事业单位职业年金缴费支出</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9.32</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9.32</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 xml:space="preserve">卫生健康支出 </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行政事业单位医疗</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210</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事业单位医疗</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8.44</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住房保障支出</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住房改革支出</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221</w:t>
            </w:r>
          </w:p>
        </w:tc>
        <w:tc>
          <w:tcPr>
            <w:tcW w:w="5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w:t>
            </w:r>
          </w:p>
        </w:tc>
        <w:tc>
          <w:tcPr>
            <w:tcW w:w="5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01</w:t>
            </w:r>
          </w:p>
        </w:tc>
        <w:tc>
          <w:tcPr>
            <w:tcW w:w="250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shd w:val="clear" w:color="auto" w:fill="auto"/>
                <w:lang w:val="en-US" w:eastAsia="zh-CN" w:bidi="ar-SA"/>
              </w:rPr>
            </w:pPr>
            <w:r>
              <w:rPr>
                <w:rFonts w:hint="default" w:ascii="Times New Roman" w:hAnsi="Times New Roman" w:eastAsia="仿宋_GB2312" w:cs="Times New Roman"/>
                <w:color w:val="auto"/>
                <w:kern w:val="0"/>
                <w:sz w:val="20"/>
                <w:szCs w:val="20"/>
                <w:highlight w:val="none"/>
                <w:shd w:val="clear" w:color="auto" w:fill="auto"/>
                <w:lang w:val="en-US" w:eastAsia="zh-CN"/>
              </w:rPr>
              <w:t>住房公积金</w:t>
            </w:r>
          </w:p>
        </w:tc>
        <w:tc>
          <w:tcPr>
            <w:tcW w:w="168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184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13.99</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8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8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8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8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8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50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8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182.75</w:t>
            </w:r>
          </w:p>
        </w:tc>
        <w:tc>
          <w:tcPr>
            <w:tcW w:w="184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182.75</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cs="Times New Roman"/>
          <w:lang w:val="en-US" w:eastAsia="zh-CN"/>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962"/>
        <w:gridCol w:w="1630"/>
        <w:gridCol w:w="1701"/>
        <w:gridCol w:w="170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w:t>
            </w:r>
            <w:r>
              <w:rPr>
                <w:rFonts w:hint="eastAsia" w:eastAsia="仿宋_GB2312" w:cs="Times New Roman"/>
                <w:color w:val="auto"/>
                <w:kern w:val="0"/>
                <w:sz w:val="24"/>
                <w:highlight w:val="none"/>
                <w:lang w:eastAsia="zh-CN"/>
              </w:rPr>
              <w:t>回族自治</w:t>
            </w:r>
            <w:r>
              <w:rPr>
                <w:rFonts w:hint="default" w:ascii="Times New Roman" w:hAnsi="Times New Roman" w:eastAsia="仿宋_GB2312" w:cs="Times New Roman"/>
                <w:color w:val="auto"/>
                <w:kern w:val="0"/>
                <w:sz w:val="24"/>
                <w:highlight w:val="none"/>
                <w:lang w:eastAsia="zh-CN"/>
              </w:rPr>
              <w:t>县质量与计量检测所</w:t>
            </w:r>
            <w:r>
              <w:rPr>
                <w:rFonts w:hint="default" w:ascii="Times New Roman" w:hAnsi="Times New Roman" w:eastAsia="仿宋_GB2312" w:cs="Times New Roman"/>
                <w:color w:val="auto"/>
                <w:kern w:val="0"/>
                <w:sz w:val="24"/>
                <w:szCs w:val="24"/>
                <w:highlight w:val="none"/>
              </w:rPr>
              <w:t xml:space="preserve">  </w:t>
            </w:r>
            <w:r>
              <w:rPr>
                <w:rFonts w:hint="eastAsia"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296"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032"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96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63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96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63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bookmarkStart w:id="0" w:name="OLE_LINK1" w:colFirst="4" w:colLast="4"/>
            <w:r>
              <w:rPr>
                <w:rFonts w:hint="default" w:ascii="Times New Roman" w:hAnsi="Times New Roman" w:eastAsia="仿宋_GB2312" w:cs="Times New Roman"/>
                <w:i w:val="0"/>
                <w:color w:val="000000"/>
                <w:kern w:val="0"/>
                <w:sz w:val="20"/>
                <w:szCs w:val="20"/>
                <w:u w:val="none"/>
                <w:lang w:val="en-US" w:eastAsia="zh-CN" w:bidi="ar"/>
              </w:rPr>
              <w:t>3</w:t>
            </w:r>
            <w:r>
              <w:rPr>
                <w:rStyle w:val="16"/>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工资福利</w:t>
            </w:r>
            <w:r>
              <w:rPr>
                <w:rFonts w:hint="default" w:ascii="Times New Roman" w:hAnsi="Times New Roman" w:eastAsia="仿宋_GB2312" w:cs="Times New Roman"/>
                <w:i w:val="0"/>
                <w:color w:val="000000"/>
                <w:kern w:val="0"/>
                <w:sz w:val="20"/>
                <w:szCs w:val="20"/>
                <w:highlight w:val="none"/>
                <w:u w:val="none" w:color="auto"/>
                <w:lang w:val="en-US" w:eastAsia="zh-CN" w:bidi="ar"/>
              </w:rPr>
              <w:t>支出</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175.94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175.94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6"/>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6"/>
                <w:rFonts w:hint="default" w:ascii="Times New Roman" w:hAnsi="Times New Roman" w:eastAsia="仿宋_GB2312" w:cs="Times New Roman"/>
                <w:sz w:val="20"/>
                <w:szCs w:val="20"/>
                <w:lang w:val="en-US" w:eastAsia="zh-CN" w:bidi="ar"/>
              </w:rPr>
              <w:t>1</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基本工资</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60.53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60.53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6"/>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6"/>
                <w:rFonts w:hint="default" w:ascii="Times New Roman" w:hAnsi="Times New Roman" w:eastAsia="仿宋_GB2312" w:cs="Times New Roman"/>
                <w:sz w:val="20"/>
                <w:szCs w:val="20"/>
                <w:lang w:val="en-US" w:eastAsia="zh-CN" w:bidi="ar"/>
              </w:rPr>
              <w:t>2</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津贴补贴</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64.19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64.19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6"/>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6"/>
                <w:rFonts w:hint="default" w:ascii="Times New Roman" w:hAnsi="Times New Roman" w:eastAsia="仿宋_GB2312" w:cs="Times New Roman"/>
                <w:sz w:val="20"/>
                <w:szCs w:val="20"/>
                <w:lang w:val="en-US" w:eastAsia="zh-CN" w:bidi="ar"/>
              </w:rPr>
              <w:t>8</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机关事业单位养老保险缴费</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18.65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18.65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6"/>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6"/>
                <w:rFonts w:hint="default" w:ascii="Times New Roman" w:hAnsi="Times New Roman" w:eastAsia="仿宋_GB2312" w:cs="Times New Roman"/>
                <w:sz w:val="20"/>
                <w:szCs w:val="20"/>
                <w:lang w:val="en-US" w:eastAsia="zh-CN" w:bidi="ar"/>
              </w:rPr>
              <w:t>9</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职业年金缴费</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9.32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9.32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6"/>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w:t>
            </w:r>
            <w:r>
              <w:rPr>
                <w:rStyle w:val="16"/>
                <w:rFonts w:hint="default" w:ascii="Times New Roman" w:hAnsi="Times New Roman" w:eastAsia="仿宋_GB2312" w:cs="Times New Roman"/>
                <w:sz w:val="20"/>
                <w:szCs w:val="20"/>
                <w:lang w:val="en-US" w:eastAsia="zh-CN" w:bidi="ar"/>
              </w:rPr>
              <w:t>0</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职工基本医疗保险缴费</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8.44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8.44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6"/>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w:t>
            </w:r>
            <w:r>
              <w:rPr>
                <w:rStyle w:val="16"/>
                <w:rFonts w:hint="default" w:ascii="Times New Roman" w:hAnsi="Times New Roman" w:eastAsia="仿宋_GB2312" w:cs="Times New Roman"/>
                <w:sz w:val="20"/>
                <w:szCs w:val="20"/>
                <w:lang w:val="en-US" w:eastAsia="zh-CN" w:bidi="ar"/>
              </w:rPr>
              <w:t>2</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 xml:space="preserve">其他社会保障缴费 </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0.8</w:t>
            </w:r>
            <w:r>
              <w:rPr>
                <w:rFonts w:hint="eastAsia" w:cs="Times New Roman"/>
                <w:color w:val="auto"/>
                <w:kern w:val="0"/>
                <w:sz w:val="20"/>
                <w:szCs w:val="20"/>
                <w:highlight w:val="none"/>
                <w:lang w:val="en-US" w:eastAsia="zh-CN"/>
              </w:rPr>
              <w:t>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0.8</w:t>
            </w:r>
            <w:r>
              <w:rPr>
                <w:rFonts w:hint="eastAsia" w:cs="Times New Roman"/>
                <w:color w:val="auto"/>
                <w:kern w:val="0"/>
                <w:sz w:val="20"/>
                <w:szCs w:val="20"/>
                <w:highlight w:val="none"/>
                <w:lang w:val="en-US" w:eastAsia="zh-CN"/>
              </w:rPr>
              <w:t>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6"/>
                <w:rFonts w:hint="default" w:ascii="Times New Roman" w:hAnsi="Times New Roman" w:eastAsia="仿宋_GB2312" w:cs="Times New Roman"/>
                <w:sz w:val="20"/>
                <w:szCs w:val="20"/>
                <w:lang w:val="en-US" w:eastAsia="zh-CN" w:bidi="ar"/>
              </w:rPr>
              <w:t>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w:t>
            </w:r>
            <w:r>
              <w:rPr>
                <w:rStyle w:val="16"/>
                <w:rFonts w:hint="default" w:ascii="Times New Roman" w:hAnsi="Times New Roman" w:eastAsia="仿宋_GB2312" w:cs="Times New Roman"/>
                <w:sz w:val="20"/>
                <w:szCs w:val="20"/>
                <w:lang w:val="en-US" w:eastAsia="zh-CN" w:bidi="ar"/>
              </w:rPr>
              <w:t>3</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住房公积金</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13.99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13.99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商品与服务</w:t>
            </w:r>
            <w:r>
              <w:rPr>
                <w:rFonts w:hint="default" w:ascii="Times New Roman" w:hAnsi="Times New Roman" w:eastAsia="仿宋_GB2312" w:cs="Times New Roman"/>
                <w:i w:val="0"/>
                <w:color w:val="000000"/>
                <w:kern w:val="0"/>
                <w:sz w:val="20"/>
                <w:szCs w:val="20"/>
                <w:highlight w:val="none"/>
                <w:u w:val="none" w:color="auto"/>
                <w:lang w:val="en-US" w:eastAsia="zh-CN" w:bidi="ar"/>
              </w:rPr>
              <w:t>支出</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5.74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5.74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6"/>
                <w:rFonts w:hint="default" w:ascii="Times New Roman" w:hAnsi="Times New Roman" w:eastAsia="仿宋_GB2312" w:cs="Times New Roman"/>
                <w:sz w:val="20"/>
                <w:szCs w:val="20"/>
                <w:lang w:val="en-US" w:eastAsia="zh-CN" w:bidi="ar"/>
              </w:rPr>
              <w:t>1</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办公费</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1.45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1.45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6"/>
                <w:rFonts w:hint="default" w:ascii="Times New Roman" w:hAnsi="Times New Roman" w:eastAsia="仿宋_GB2312" w:cs="Times New Roman"/>
                <w:sz w:val="20"/>
                <w:szCs w:val="20"/>
                <w:lang w:val="en-US" w:eastAsia="zh-CN" w:bidi="ar"/>
              </w:rPr>
              <w:t>2</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印刷费</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0.40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0.40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05</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color="auto"/>
                <w:lang w:val="en-US" w:eastAsia="zh-CN" w:bidi="ar"/>
              </w:rPr>
              <w:t>水费</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0.36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0.36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06</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电费</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0.43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0.43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w:t>
            </w:r>
            <w:r>
              <w:rPr>
                <w:rStyle w:val="16"/>
                <w:rFonts w:hint="default" w:ascii="Times New Roman" w:hAnsi="Times New Roman" w:eastAsia="仿宋_GB2312" w:cs="Times New Roman"/>
                <w:sz w:val="20"/>
                <w:szCs w:val="20"/>
                <w:lang w:val="en-US" w:eastAsia="zh-CN" w:bidi="ar"/>
              </w:rPr>
              <w:t>7</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邮电费</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0.46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0.46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28</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工会经费</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0.02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29</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color w:val="000000"/>
                <w:kern w:val="2"/>
                <w:sz w:val="20"/>
                <w:szCs w:val="20"/>
                <w:highlight w:val="none"/>
                <w:lang w:val="en-US" w:eastAsia="zh-CN" w:bidi="ar-SA"/>
              </w:rPr>
            </w:pPr>
            <w:r>
              <w:rPr>
                <w:rFonts w:hint="default" w:ascii="Times New Roman" w:hAnsi="Times New Roman" w:eastAsia="仿宋_GB2312" w:cs="Times New Roman"/>
                <w:i w:val="0"/>
                <w:color w:val="000000"/>
                <w:kern w:val="0"/>
                <w:sz w:val="20"/>
                <w:szCs w:val="20"/>
                <w:highlight w:val="none"/>
                <w:u w:val="none"/>
                <w:lang w:val="en-US" w:eastAsia="zh-CN" w:bidi="ar"/>
              </w:rPr>
              <w:t>福利费</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0.02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w:t>
            </w:r>
            <w:r>
              <w:rPr>
                <w:rStyle w:val="16"/>
                <w:rFonts w:hint="default" w:ascii="Times New Roman" w:hAnsi="Times New Roman" w:eastAsia="仿宋_GB2312" w:cs="Times New Roman"/>
                <w:sz w:val="20"/>
                <w:szCs w:val="20"/>
                <w:lang w:val="en-US" w:eastAsia="zh-CN" w:bidi="ar"/>
              </w:rPr>
              <w:t>1</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kern w:val="2"/>
                <w:sz w:val="20"/>
                <w:szCs w:val="20"/>
                <w:highlight w:val="none"/>
                <w:lang w:val="en-US" w:eastAsia="zh-CN" w:bidi="ar-SA"/>
              </w:rPr>
            </w:pPr>
            <w:r>
              <w:rPr>
                <w:rFonts w:hint="default" w:ascii="Times New Roman" w:hAnsi="Times New Roman" w:eastAsia="仿宋_GB2312" w:cs="Times New Roman"/>
                <w:b w:val="0"/>
                <w:bCs w:val="0"/>
                <w:i w:val="0"/>
                <w:color w:val="000000"/>
                <w:kern w:val="0"/>
                <w:sz w:val="20"/>
                <w:szCs w:val="20"/>
                <w:highlight w:val="none"/>
                <w:u w:val="none"/>
                <w:lang w:val="en-US" w:eastAsia="zh-CN" w:bidi="ar"/>
              </w:rPr>
              <w:t>公务用车运行费</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2.60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2.60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color w:val="000000"/>
                <w:kern w:val="2"/>
                <w:sz w:val="20"/>
                <w:szCs w:val="20"/>
                <w:highlight w:val="none"/>
                <w:lang w:val="en-US" w:eastAsia="zh-CN" w:bidi="ar-SA"/>
              </w:rPr>
            </w:pPr>
            <w:r>
              <w:rPr>
                <w:rFonts w:hint="default" w:ascii="Times New Roman" w:hAnsi="Times New Roman" w:eastAsia="仿宋_GB2312" w:cs="Times New Roman"/>
                <w:b w:val="0"/>
                <w:bCs w:val="0"/>
                <w:i w:val="0"/>
                <w:color w:val="000000"/>
                <w:kern w:val="0"/>
                <w:sz w:val="20"/>
                <w:szCs w:val="20"/>
                <w:highlight w:val="none"/>
                <w:u w:val="none"/>
                <w:lang w:val="en-US" w:eastAsia="zh-CN" w:bidi="ar"/>
              </w:rPr>
              <w:t>对个人和家庭</w:t>
            </w:r>
            <w:r>
              <w:rPr>
                <w:rFonts w:hint="default" w:ascii="Times New Roman" w:hAnsi="Times New Roman" w:eastAsia="仿宋_GB2312" w:cs="Times New Roman"/>
                <w:b w:val="0"/>
                <w:bCs w:val="0"/>
                <w:i w:val="0"/>
                <w:color w:val="000000"/>
                <w:kern w:val="0"/>
                <w:sz w:val="20"/>
                <w:szCs w:val="20"/>
                <w:highlight w:val="none"/>
                <w:u w:val="none" w:color="auto"/>
                <w:lang w:val="en-US" w:eastAsia="zh-CN" w:bidi="ar"/>
              </w:rPr>
              <w:t>支出</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1.07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02</w:t>
            </w:r>
          </w:p>
        </w:tc>
        <w:tc>
          <w:tcPr>
            <w:tcW w:w="296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kern w:val="2"/>
                <w:sz w:val="20"/>
                <w:szCs w:val="20"/>
                <w:lang w:val="en-US" w:eastAsia="zh-CN" w:bidi="ar-SA"/>
              </w:rPr>
            </w:pPr>
            <w:r>
              <w:rPr>
                <w:rFonts w:hint="default" w:ascii="Times New Roman" w:hAnsi="Times New Roman" w:eastAsia="仿宋_GB2312" w:cs="Times New Roman"/>
                <w:b w:val="0"/>
                <w:bCs w:val="0"/>
                <w:i w:val="0"/>
                <w:color w:val="000000"/>
                <w:kern w:val="0"/>
                <w:sz w:val="20"/>
                <w:szCs w:val="20"/>
                <w:u w:val="none"/>
                <w:lang w:val="en-US" w:eastAsia="zh-CN" w:bidi="ar"/>
              </w:rPr>
              <w:t>退休费</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1.07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bidi="ar-SA"/>
              </w:rPr>
            </w:pPr>
            <w:r>
              <w:rPr>
                <w:rFonts w:hint="default" w:ascii="Times New Roman" w:hAnsi="Times New Roman" w:cs="Times New Roman"/>
                <w:color w:val="auto"/>
                <w:kern w:val="0"/>
                <w:sz w:val="20"/>
                <w:szCs w:val="20"/>
                <w:highlight w:val="none"/>
                <w:lang w:val="en-US" w:eastAsia="zh-CN"/>
              </w:rPr>
              <w:t>1.07</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bookmarkEnd w:id="0"/>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9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9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96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96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3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182.75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177.01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cs="Times New Roman"/>
                <w:color w:val="auto"/>
                <w:kern w:val="0"/>
                <w:sz w:val="20"/>
                <w:szCs w:val="20"/>
                <w:highlight w:val="none"/>
                <w:lang w:val="en-US" w:eastAsia="zh-CN"/>
              </w:rPr>
              <w:t>5.74</w:t>
            </w:r>
          </w:p>
        </w:tc>
      </w:tr>
    </w:tbl>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w:t>
            </w:r>
            <w:r>
              <w:rPr>
                <w:rFonts w:hint="eastAsia" w:eastAsia="仿宋_GB2312" w:cs="Times New Roman"/>
                <w:color w:val="auto"/>
                <w:kern w:val="0"/>
                <w:sz w:val="24"/>
                <w:highlight w:val="none"/>
                <w:lang w:eastAsia="zh-CN"/>
              </w:rPr>
              <w:t>回族自治</w:t>
            </w:r>
            <w:r>
              <w:rPr>
                <w:rFonts w:hint="default" w:ascii="Times New Roman" w:hAnsi="Times New Roman" w:eastAsia="仿宋_GB2312" w:cs="Times New Roman"/>
                <w:color w:val="auto"/>
                <w:kern w:val="0"/>
                <w:sz w:val="24"/>
                <w:highlight w:val="none"/>
                <w:lang w:eastAsia="zh-CN"/>
              </w:rPr>
              <w:t>县质量与计量检测所</w:t>
            </w:r>
            <w:r>
              <w:rPr>
                <w:rFonts w:hint="default" w:ascii="Times New Roman" w:hAnsi="Times New Roman" w:eastAsia="仿宋_GB2312" w:cs="Times New Roman"/>
                <w:color w:val="auto"/>
                <w:kern w:val="0"/>
                <w:sz w:val="24"/>
                <w:szCs w:val="24"/>
                <w:highlight w:val="none"/>
              </w:rPr>
              <w:t xml:space="preserve">  </w:t>
            </w:r>
            <w:r>
              <w:rPr>
                <w:rFonts w:hint="eastAsia"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widowControl/>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2025年</w:t>
      </w:r>
      <w:r>
        <w:rPr>
          <w:rFonts w:hint="eastAsia" w:eastAsia="仿宋_GB2312" w:cs="Times New Roman"/>
          <w:b/>
          <w:kern w:val="0"/>
          <w:sz w:val="28"/>
          <w:szCs w:val="32"/>
          <w:highlight w:val="none"/>
          <w:lang w:val="en-US" w:eastAsia="zh-CN"/>
        </w:rPr>
        <w:t>本单位无</w:t>
      </w:r>
      <w:r>
        <w:rPr>
          <w:rFonts w:hint="default" w:ascii="Times New Roman" w:hAnsi="Times New Roman" w:eastAsia="仿宋_GB2312" w:cs="Times New Roman"/>
          <w:b/>
          <w:kern w:val="0"/>
          <w:sz w:val="28"/>
          <w:szCs w:val="32"/>
          <w:highlight w:val="none"/>
          <w:lang w:val="en-US" w:eastAsia="zh-CN"/>
        </w:rPr>
        <w:t>一般公共预算项目支出，此表为空表。</w:t>
      </w:r>
    </w:p>
    <w:p>
      <w:pPr>
        <w:widowControl/>
        <w:outlineLvl w:val="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w:t>
      </w:r>
      <w:r>
        <w:rPr>
          <w:rFonts w:hint="eastAsia" w:eastAsia="仿宋_GB2312" w:cs="Times New Roman"/>
          <w:color w:val="auto"/>
          <w:kern w:val="0"/>
          <w:sz w:val="24"/>
          <w:highlight w:val="none"/>
          <w:lang w:eastAsia="zh-CN"/>
        </w:rPr>
        <w:t>回族自治</w:t>
      </w:r>
      <w:r>
        <w:rPr>
          <w:rFonts w:hint="default" w:ascii="Times New Roman" w:hAnsi="Times New Roman" w:eastAsia="仿宋_GB2312" w:cs="Times New Roman"/>
          <w:color w:val="auto"/>
          <w:kern w:val="0"/>
          <w:sz w:val="24"/>
          <w:highlight w:val="none"/>
          <w:lang w:eastAsia="zh-CN"/>
        </w:rPr>
        <w:t>县质量与计量检测所</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单位：万元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keepNext w:val="0"/>
        <w:keepLines w:val="0"/>
        <w:pageBreakBefore w:val="0"/>
        <w:widowControl/>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val="en-US" w:eastAsia="zh-CN"/>
        </w:rPr>
        <w:t>2025年</w:t>
      </w:r>
      <w:r>
        <w:rPr>
          <w:rFonts w:hint="eastAsia" w:eastAsia="仿宋_GB2312" w:cs="Times New Roman"/>
          <w:b/>
          <w:kern w:val="0"/>
          <w:sz w:val="28"/>
          <w:szCs w:val="32"/>
          <w:highlight w:val="none"/>
          <w:lang w:val="en-US" w:eastAsia="zh-CN"/>
        </w:rPr>
        <w:t>本单位无</w:t>
      </w:r>
      <w:r>
        <w:rPr>
          <w:rFonts w:hint="default" w:ascii="Times New Roman" w:hAnsi="Times New Roman" w:eastAsia="仿宋_GB2312" w:cs="Times New Roman"/>
          <w:b/>
          <w:kern w:val="0"/>
          <w:sz w:val="28"/>
          <w:szCs w:val="32"/>
          <w:highlight w:val="none"/>
          <w:lang w:val="en-US" w:eastAsia="zh-CN"/>
        </w:rPr>
        <w:t>政府性基金支出，此表为空表。</w:t>
      </w: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p>
    <w:p>
      <w:pPr>
        <w:pStyle w:val="2"/>
        <w:ind w:left="0" w:leftChars="0" w:firstLine="0" w:firstLineChars="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lang w:val="en-US" w:eastAsia="zh-CN"/>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w:t>
      </w:r>
      <w:r>
        <w:rPr>
          <w:rFonts w:hint="eastAsia" w:eastAsia="仿宋_GB2312" w:cs="Times New Roman"/>
          <w:color w:val="auto"/>
          <w:kern w:val="0"/>
          <w:sz w:val="24"/>
          <w:highlight w:val="none"/>
          <w:lang w:eastAsia="zh-CN"/>
        </w:rPr>
        <w:t>回族自治</w:t>
      </w:r>
      <w:r>
        <w:rPr>
          <w:rFonts w:hint="default" w:ascii="Times New Roman" w:hAnsi="Times New Roman" w:eastAsia="仿宋_GB2312" w:cs="Times New Roman"/>
          <w:color w:val="auto"/>
          <w:kern w:val="0"/>
          <w:sz w:val="24"/>
          <w:highlight w:val="none"/>
          <w:lang w:eastAsia="zh-CN"/>
        </w:rPr>
        <w:t>县质量与计量检测所</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outlineLvl w:val="1"/>
        <w:rPr>
          <w:rFonts w:hint="default" w:ascii="Times New Roman" w:hAnsi="Times New Roman" w:eastAsia="仿宋_GB2312" w:cs="Times New Roman"/>
          <w:b/>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2025年</w:t>
      </w:r>
      <w:r>
        <w:rPr>
          <w:rFonts w:hint="eastAsia" w:eastAsia="仿宋_GB2312" w:cs="Times New Roman"/>
          <w:b/>
          <w:kern w:val="0"/>
          <w:sz w:val="28"/>
          <w:szCs w:val="32"/>
          <w:highlight w:val="none"/>
          <w:lang w:val="en-US" w:eastAsia="zh-CN"/>
        </w:rPr>
        <w:t>本单位无</w:t>
      </w:r>
      <w:r>
        <w:rPr>
          <w:rFonts w:hint="default" w:ascii="Times New Roman" w:hAnsi="Times New Roman" w:eastAsia="仿宋_GB2312" w:cs="Times New Roman"/>
          <w:b/>
          <w:kern w:val="0"/>
          <w:sz w:val="28"/>
          <w:szCs w:val="32"/>
          <w:highlight w:val="none"/>
          <w:lang w:val="en-US" w:eastAsia="zh-CN"/>
        </w:rPr>
        <w:t>国有资本经营预算支出，此表为空表。</w:t>
      </w:r>
    </w:p>
    <w:p>
      <w:pPr>
        <w:widowControl/>
        <w:spacing w:line="280" w:lineRule="exact"/>
        <w:outlineLvl w:val="1"/>
        <w:rPr>
          <w:rFonts w:hint="default" w:ascii="Times New Roman" w:hAnsi="Times New Roman" w:eastAsia="仿宋_GB2312" w:cs="Times New Roman"/>
          <w:color w:val="auto"/>
          <w:kern w:val="0"/>
          <w:sz w:val="32"/>
          <w:szCs w:val="32"/>
          <w:highlight w:val="none"/>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pStyle w:val="8"/>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eastAsia="zh-CN"/>
        </w:rPr>
        <w:t>焉耆</w:t>
      </w:r>
      <w:r>
        <w:rPr>
          <w:rFonts w:hint="eastAsia" w:eastAsia="仿宋_GB2312" w:cs="Times New Roman"/>
          <w:color w:val="auto"/>
          <w:kern w:val="0"/>
          <w:sz w:val="24"/>
          <w:highlight w:val="none"/>
          <w:lang w:eastAsia="zh-CN"/>
        </w:rPr>
        <w:t>回族自治</w:t>
      </w:r>
      <w:r>
        <w:rPr>
          <w:rFonts w:hint="default" w:ascii="Times New Roman" w:hAnsi="Times New Roman" w:eastAsia="仿宋_GB2312" w:cs="Times New Roman"/>
          <w:color w:val="auto"/>
          <w:kern w:val="0"/>
          <w:sz w:val="24"/>
          <w:highlight w:val="none"/>
          <w:lang w:eastAsia="zh-CN"/>
        </w:rPr>
        <w:t>县质量与计量检测所</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p>
      <w:pPr>
        <w:widowControl/>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15"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31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621"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2.6</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2.6</w:t>
            </w: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2.6</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2.6</w:t>
            </w: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2.6</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2"/>
                <w:szCs w:val="24"/>
                <w:highlight w:val="none"/>
                <w:vertAlign w:val="baseline"/>
                <w:lang w:val="en-US" w:eastAsia="zh-CN"/>
              </w:rPr>
            </w:pPr>
            <w:r>
              <w:rPr>
                <w:rFonts w:hint="default" w:ascii="Times New Roman" w:hAnsi="Times New Roman" w:eastAsia="仿宋_GB2312" w:cs="Times New Roman"/>
                <w:b w:val="0"/>
                <w:bCs/>
                <w:color w:val="auto"/>
                <w:kern w:val="0"/>
                <w:sz w:val="22"/>
                <w:szCs w:val="24"/>
                <w:highlight w:val="none"/>
                <w:vertAlign w:val="baseline"/>
                <w:lang w:val="en-US" w:eastAsia="zh-CN"/>
              </w:rPr>
              <w:t>2.6</w:t>
            </w:r>
          </w:p>
        </w:tc>
        <w:tc>
          <w:tcPr>
            <w:tcW w:w="1595"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c>
          <w:tcPr>
            <w:tcW w:w="1621"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lang w:val="en-US" w:eastAsia="zh-CN"/>
              </w:rPr>
            </w:pPr>
          </w:p>
        </w:tc>
      </w:tr>
    </w:tbl>
    <w:p>
      <w:pPr>
        <w:widowControl/>
        <w:outlineLvl w:val="1"/>
        <w:rPr>
          <w:rFonts w:hint="default" w:ascii="Times New Roman" w:hAnsi="Times New Roman" w:eastAsia="仿宋_GB2312" w:cs="Times New Roman"/>
          <w:b/>
          <w:color w:val="auto"/>
          <w:kern w:val="0"/>
          <w:sz w:val="28"/>
          <w:szCs w:val="32"/>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cs="Times New Roman"/>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eastAsia="zh-CN"/>
        </w:rPr>
        <w:t>焉耆</w:t>
      </w:r>
      <w:r>
        <w:rPr>
          <w:rFonts w:hint="eastAsia" w:eastAsia="仿宋_GB2312" w:cs="Times New Roman"/>
          <w:color w:val="auto"/>
          <w:kern w:val="0"/>
          <w:sz w:val="24"/>
          <w:highlight w:val="none"/>
          <w:lang w:eastAsia="zh-CN"/>
        </w:rPr>
        <w:t>回族自治</w:t>
      </w:r>
      <w:r>
        <w:rPr>
          <w:rFonts w:hint="default" w:ascii="Times New Roman" w:hAnsi="Times New Roman" w:eastAsia="仿宋_GB2312" w:cs="Times New Roman"/>
          <w:color w:val="auto"/>
          <w:kern w:val="0"/>
          <w:sz w:val="24"/>
          <w:highlight w:val="none"/>
          <w:lang w:eastAsia="zh-CN"/>
        </w:rPr>
        <w:t>县质量与计量检测所</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                                 </w:t>
      </w:r>
    </w:p>
    <w:tbl>
      <w:tblPr>
        <w:tblStyle w:val="11"/>
        <w:tblpPr w:leftFromText="180" w:rightFromText="180" w:vertAnchor="text" w:horzAnchor="page" w:tblpX="1390" w:tblpY="190"/>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49"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49"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49"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4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4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4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49"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50"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1054"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spacing w:line="600" w:lineRule="exact"/>
        <w:jc w:val="both"/>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2025年本单位</w:t>
      </w:r>
      <w:r>
        <w:rPr>
          <w:rFonts w:hint="eastAsia"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eastAsia="zh-CN"/>
        </w:rPr>
        <w:t>上年结转结余资金，此表为空表。</w:t>
      </w:r>
    </w:p>
    <w:p>
      <w:pPr>
        <w:widowControl/>
        <w:outlineLvl w:val="1"/>
        <w:rPr>
          <w:rFonts w:hint="default" w:ascii="Times New Roman" w:hAnsi="Times New Roman" w:eastAsia="仿宋_GB2312" w:cs="Times New Roman"/>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一、关于焉耆回族自治县质量与计量检测所2025年收支预算情况的总体说明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按照全口径预算的原则，焉耆回族自治县质量与计量检测所2025年所有收入和支出均纳入单位预算管理。收支总预算182.75万元。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支出预算包括:一般公共服务支出、社会保障和就业支出、卫生健康支出、住房保障支出。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二、关于焉耆回族自治县质量与计量检测所2025年收入预算情况说明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焉耆回族自治县质量与计量检测所收入预算182.75万元，其中：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一般公共预算182.75万元，占100%，比上年预算减少0.2万元，下降0.11%，主要原因</w:t>
      </w:r>
      <w:r>
        <w:rPr>
          <w:rFonts w:hint="eastAsia"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：根据单位实际合理安排预算。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三、关于焉耆回族自治县质量与计量检测所2025年支出预算情况说明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焉耆回族自治县质量与计量检测所</w:t>
      </w:r>
      <w:r>
        <w:rPr>
          <w:rFonts w:hint="default" w:ascii="Times New Roman" w:hAnsi="Times New Roman" w:eastAsia="仿宋_GB2312" w:cs="Times New Roman"/>
          <w:color w:val="auto"/>
          <w:kern w:val="0"/>
          <w:sz w:val="32"/>
          <w:szCs w:val="32"/>
          <w:highlight w:val="none"/>
          <w:lang w:eastAsia="zh-CN"/>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182.75</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182.75</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0.2</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0.11%，</w:t>
      </w:r>
      <w:r>
        <w:rPr>
          <w:rFonts w:hint="default" w:ascii="Times New Roman" w:hAnsi="Times New Roman" w:eastAsia="仿宋_GB2312" w:cs="Times New Roman"/>
          <w:color w:val="auto"/>
          <w:kern w:val="0"/>
          <w:sz w:val="32"/>
          <w:szCs w:val="32"/>
          <w:highlight w:val="none"/>
        </w:rPr>
        <w:t>主要原因</w:t>
      </w:r>
      <w:r>
        <w:rPr>
          <w:rFonts w:hint="eastAsia" w:eastAsia="仿宋_GB2312" w:cs="Times New Roman"/>
          <w:color w:val="auto"/>
          <w:kern w:val="0"/>
          <w:sz w:val="32"/>
          <w:szCs w:val="32"/>
          <w:highlight w:val="none"/>
          <w:lang w:eastAsia="zh-CN"/>
        </w:rPr>
        <w:t>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根据单位实际合理安排预算。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w:t>
      </w:r>
      <w:r>
        <w:rPr>
          <w:rFonts w:hint="eastAsia" w:eastAsia="仿宋_GB2312" w:cs="Times New Roman"/>
          <w:color w:val="auto"/>
          <w:kern w:val="0"/>
          <w:sz w:val="32"/>
          <w:szCs w:val="32"/>
          <w:highlight w:val="none"/>
          <w:lang w:eastAsia="zh-CN"/>
        </w:rPr>
        <w:t>是</w:t>
      </w:r>
      <w:r>
        <w:rPr>
          <w:rFonts w:hint="default" w:ascii="Times New Roman" w:hAnsi="Times New Roman" w:eastAsia="仿宋_GB2312" w:cs="Times New Roman"/>
          <w:color w:val="auto"/>
          <w:kern w:val="0"/>
          <w:sz w:val="32"/>
          <w:szCs w:val="32"/>
          <w:highlight w:val="none"/>
          <w:lang w:eastAsia="zh-CN"/>
        </w:rPr>
        <w:t>：与上年相比无变化。</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四、关于焉耆回族自治县质量与计量检测所2025年财政拨款收支预算情况的总体说明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2025年财政拨款收支总预算182.75万元。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收入预算包括：一般公共预算拨款182.75万元。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一般公共预算支出包括:一般公共服务支出131.28万元，主要用于</w:t>
      </w:r>
      <w:r>
        <w:rPr>
          <w:rFonts w:hint="default" w:ascii="Times New Roman" w:hAnsi="Times New Roman" w:eastAsia="仿宋_GB2312" w:cs="Times New Roman"/>
          <w:kern w:val="0"/>
          <w:sz w:val="32"/>
          <w:szCs w:val="32"/>
          <w:highlight w:val="none"/>
        </w:rPr>
        <w:t>人员经费和日常公用经费等支出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社会保障和就业支出29.04万元,主要用于</w:t>
      </w:r>
      <w:r>
        <w:rPr>
          <w:rFonts w:hint="default" w:ascii="Times New Roman" w:hAnsi="Times New Roman" w:eastAsia="仿宋_GB2312" w:cs="Times New Roman"/>
          <w:kern w:val="0"/>
          <w:sz w:val="32"/>
          <w:szCs w:val="32"/>
          <w:highlight w:val="none"/>
        </w:rPr>
        <w:t>机关事业单位基本养老保险缴费支出、机关事业单位职业年金缴费、单位离退休支出。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卫生健康支出8.44万元,主要用于</w:t>
      </w:r>
      <w:r>
        <w:rPr>
          <w:rFonts w:hint="default" w:ascii="Times New Roman" w:hAnsi="Times New Roman" w:eastAsia="仿宋_GB2312" w:cs="Times New Roman"/>
          <w:kern w:val="0"/>
          <w:sz w:val="32"/>
          <w:szCs w:val="32"/>
          <w:highlight w:val="none"/>
        </w:rPr>
        <w:t>事业单位医疗保险等支出。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住房保障支出13.99万元，主要用于</w:t>
      </w:r>
      <w:r>
        <w:rPr>
          <w:rFonts w:hint="default" w:ascii="Times New Roman" w:hAnsi="Times New Roman" w:eastAsia="仿宋_GB2312" w:cs="Times New Roman"/>
          <w:kern w:val="0"/>
          <w:sz w:val="32"/>
          <w:szCs w:val="32"/>
          <w:highlight w:val="none"/>
        </w:rPr>
        <w:t>职工住房公积金支出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五、关于焉耆回族自治县质量与计量检测所2025年一般公共预算当年拨款情况说明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焉耆回族自治县质量与计量检测所2025年一般公共预算拨款合计182.75万元,其中：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基本支出182.75万元，比上年预算减少0.2万元，下降0.11%，主要原因：根据单位实际合理安排预算。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w:t>
      </w:r>
      <w:r>
        <w:rPr>
          <w:rFonts w:hint="default" w:ascii="Times New Roman" w:hAnsi="Times New Roman" w:eastAsia="仿宋_GB2312" w:cs="Times New Roman"/>
          <w:color w:val="auto"/>
          <w:kern w:val="0"/>
          <w:sz w:val="32"/>
          <w:szCs w:val="32"/>
          <w:highlight w:val="none"/>
          <w:lang w:eastAsia="zh-CN"/>
        </w:rPr>
        <w:t>与上年相比无变化</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1.一般公共服务支出（类）131.28万元，占71.84%。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2.社会保障和就业支出（类）29.04万元，占15.89%。</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3.卫生健康支出（类）8.44万元，占4.62%。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4.住房保障支出（类）13.99万元，占7.65%。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1.一般公共服务支出（类）市场监督管理事务（款）事业运行(项):2025年预算数为131.28万元，比上年预算减少0.03万元,下降0.02%,主要原因是：根据单位实际合理安排预算。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2.社会保障和就业支出（类）行政事业单位养老支出（款）事业单位离退休(项):2025年预算数为1.07万元，比上年预算减少2.46万元,下降69.78%,主要原因是：根据单位实际合理安排预算。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3.社会保障和就业支出（类）行政事业单位养老支出（款）机关事业单位基本养老保险缴费支出(项):2025年预算数为18.65万元，比上年预算增加0.75万元,增长4.19%,主要原因是：社保缴费基数上调。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4.社会保障和就业支出（类）行政事业单位养老支出（款）机关事业单位职业年金缴费支出(项):2025年预算数为9.32万元，比上年预算增加0.37万元,增长4.1</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%,主要原因是：社保缴费基数上调。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5.卫生健康支出（类）行政事业单位医疗（款）事业单位医疗(项):2025年预算数为8.44万元，比上年预算增加0.61万元,增长7.7</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%,主要原因是：医疗缴费基数上调。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6.住房保障支出（类）住房改革支出（款）住房公积金(项):2025年预算数为13.99万元，比上年预算增加0.56万元,增长4.1</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%,主要原因是：公积金缴费基数调整。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六、关于焉耆回族自治县质量与计量检测所2025年一般公共预算基本支出情况说明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焉耆回族自治县质量与计量检测所2025年一般公共预算基本支出182.75万元，其中：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人员经费177.01万元，主要包括:基本工资、津贴补贴、机关事业单位基本养老保险缴费、职业年金缴费、职工基本医疗保险缴费、其他社会保障缴费、住房公积金、退休费。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公用经费5.74万元，主要包括:办公费、印刷费、水费、电费、邮电费、工会经费、福利费、公务用车运行维护费。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七、关于焉耆回族自治县质量与计量检测所2025年一般公共预算项目支出情况说明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焉耆回族自治县质量与计量检测所2025年没有使用一般公共预算项目支出，一般公共预算项目支出情况表为空表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八、关于焉耆回族自治县质量与计量检测所2025年政府性基金预算支出情况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焉耆回族自治县质量与计量检测所2025年没有使用政府性基金预算拨款安排的支出，政府性基金预算支出情况表为空表。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九、关于焉耆回族自治县质量与计量检测所2025年国有资本经营预算拨款情况说明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焉耆回族自治县质量与计量检测所2025年没有使用国有资本经营预算拨款安排的支出，国有资本经营预算支出情况表为空表。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十、关于焉耆回族自治县质量与计量检测所2025年财政拨款“三公”经费预算情况说明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焉耆回族自治县质量与计量检测所2025年财政拨款“三公”经费数为2.6万元，其中：因公出国（境）费0万元,公务用车购置费0万元,公务用车运行费2.6万元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w:t>
      </w:r>
      <w:r>
        <w:rPr>
          <w:rFonts w:hint="default" w:ascii="Times New Roman" w:hAnsi="Times New Roman" w:eastAsia="仿宋_GB2312" w:cs="Times New Roman"/>
          <w:color w:val="auto"/>
          <w:kern w:val="0"/>
          <w:sz w:val="32"/>
          <w:szCs w:val="32"/>
          <w:highlight w:val="none"/>
          <w:lang w:eastAsia="zh-CN"/>
        </w:rPr>
        <w:t>与上年相比无变化</w:t>
      </w:r>
      <w:r>
        <w:rPr>
          <w:rFonts w:hint="default" w:ascii="Times New Roman" w:hAnsi="Times New Roman" w:eastAsia="仿宋_GB2312" w:cs="Times New Roman"/>
          <w:color w:val="auto"/>
          <w:kern w:val="0"/>
          <w:sz w:val="32"/>
          <w:szCs w:val="32"/>
          <w:highlight w:val="none"/>
          <w:lang w:val="en-US" w:eastAsia="zh-CN"/>
        </w:rPr>
        <w:t>。公务用车购置费增加0万元，增长0%,主要原因是</w:t>
      </w:r>
      <w:r>
        <w:rPr>
          <w:rFonts w:hint="default" w:ascii="Times New Roman" w:hAnsi="Times New Roman" w:eastAsia="仿宋_GB2312" w:cs="Times New Roman"/>
          <w:color w:val="auto"/>
          <w:kern w:val="0"/>
          <w:sz w:val="32"/>
          <w:szCs w:val="32"/>
          <w:highlight w:val="none"/>
          <w:lang w:eastAsia="zh-CN"/>
        </w:rPr>
        <w:t>与上年相比无变化</w:t>
      </w:r>
      <w:r>
        <w:rPr>
          <w:rFonts w:hint="default" w:ascii="Times New Roman" w:hAnsi="Times New Roman" w:eastAsia="仿宋_GB2312" w:cs="Times New Roman"/>
          <w:color w:val="auto"/>
          <w:kern w:val="0"/>
          <w:sz w:val="32"/>
          <w:szCs w:val="32"/>
          <w:highlight w:val="none"/>
          <w:lang w:val="en-US" w:eastAsia="zh-CN"/>
        </w:rPr>
        <w:t>。公务用车运行费增加0万元，增长0%,主要原因是</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eastAsia="zh-CN"/>
        </w:rPr>
        <w:t>与上年相比无变化</w:t>
      </w:r>
      <w:r>
        <w:rPr>
          <w:rFonts w:hint="default" w:ascii="Times New Roman" w:hAnsi="Times New Roman" w:eastAsia="仿宋_GB2312" w:cs="Times New Roman"/>
          <w:color w:val="auto"/>
          <w:kern w:val="0"/>
          <w:sz w:val="32"/>
          <w:szCs w:val="32"/>
          <w:highlight w:val="none"/>
          <w:lang w:val="en-US" w:eastAsia="zh-CN"/>
        </w:rPr>
        <w:t>。公务接待费增加0万元，增长0%,主要原因是：</w:t>
      </w:r>
      <w:r>
        <w:rPr>
          <w:rFonts w:hint="default" w:ascii="Times New Roman" w:hAnsi="Times New Roman" w:eastAsia="仿宋_GB2312" w:cs="Times New Roman"/>
          <w:color w:val="auto"/>
          <w:kern w:val="0"/>
          <w:sz w:val="32"/>
          <w:szCs w:val="32"/>
          <w:highlight w:val="none"/>
          <w:lang w:eastAsia="zh-CN"/>
        </w:rPr>
        <w:t>与上年相比无变化</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、关于焉耆回族自治县质量与计量检测所</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eastAsia="zh-CN"/>
        </w:rPr>
        <w:t>焉耆县质量与计量检测所</w:t>
      </w:r>
      <w:r>
        <w:rPr>
          <w:rFonts w:hint="default" w:ascii="Times New Roman" w:hAnsi="Times New Roman" w:eastAsia="仿宋_GB2312" w:cs="Times New Roman"/>
          <w:color w:val="auto"/>
          <w:kern w:val="0"/>
          <w:sz w:val="32"/>
          <w:szCs w:val="32"/>
          <w:highlight w:val="none"/>
          <w:lang w:val="en-US" w:eastAsia="zh-CN"/>
        </w:rPr>
        <w:t>2025年没有上年结转结余预算的支出，上年结转结余情况明细表为空表。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焉耆回族自治县质量与计量检测所2025年的事业单位运行经费5.74万元，比上年预算增加0万元，增长0%。主要原因是：</w:t>
      </w:r>
      <w:r>
        <w:rPr>
          <w:rFonts w:hint="default" w:ascii="Times New Roman" w:hAnsi="Times New Roman" w:eastAsia="仿宋_GB2312" w:cs="Times New Roman"/>
          <w:color w:val="auto"/>
          <w:kern w:val="0"/>
          <w:sz w:val="32"/>
          <w:szCs w:val="32"/>
          <w:highlight w:val="none"/>
          <w:lang w:eastAsia="zh-CN"/>
        </w:rPr>
        <w:t>与上年相比无变化</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2025年，焉耆回族自治县质量与计量检测所政府采购预算</w:t>
      </w:r>
      <w:r>
        <w:rPr>
          <w:rFonts w:hint="eastAsia" w:eastAsia="仿宋_GB2312" w:cs="Times New Roman"/>
          <w:color w:val="auto"/>
          <w:kern w:val="0"/>
          <w:sz w:val="32"/>
          <w:szCs w:val="32"/>
          <w:highlight w:val="none"/>
          <w:lang w:val="en-US" w:eastAsia="zh-CN"/>
        </w:rPr>
        <w:t>2.40</w:t>
      </w:r>
      <w:r>
        <w:rPr>
          <w:rFonts w:hint="default" w:ascii="Times New Roman" w:hAnsi="Times New Roman" w:eastAsia="仿宋_GB2312" w:cs="Times New Roman"/>
          <w:color w:val="auto"/>
          <w:kern w:val="0"/>
          <w:sz w:val="32"/>
          <w:szCs w:val="32"/>
          <w:highlight w:val="none"/>
          <w:lang w:val="en-US" w:eastAsia="zh-CN"/>
        </w:rPr>
        <w:t>万元，其中：政府采购货物预算0万元，政府采购工程预算0万元，政府采购服务预算</w:t>
      </w:r>
      <w:r>
        <w:rPr>
          <w:rFonts w:hint="eastAsia" w:eastAsia="仿宋_GB2312" w:cs="Times New Roman"/>
          <w:color w:val="auto"/>
          <w:kern w:val="0"/>
          <w:sz w:val="32"/>
          <w:szCs w:val="32"/>
          <w:highlight w:val="none"/>
          <w:lang w:val="en-US" w:eastAsia="zh-CN"/>
        </w:rPr>
        <w:t>2.40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2025年，焉耆回族自治县质量与计量检测所面向中小企业预留政府采购项目预算金额</w:t>
      </w:r>
      <w:r>
        <w:rPr>
          <w:rFonts w:hint="eastAsia" w:eastAsia="仿宋_GB2312" w:cs="Times New Roman"/>
          <w:color w:val="auto"/>
          <w:kern w:val="0"/>
          <w:sz w:val="32"/>
          <w:szCs w:val="32"/>
          <w:highlight w:val="none"/>
          <w:lang w:val="en-US" w:eastAsia="zh-CN"/>
        </w:rPr>
        <w:t>2.40</w:t>
      </w:r>
      <w:r>
        <w:rPr>
          <w:rFonts w:hint="default" w:ascii="Times New Roman" w:hAnsi="Times New Roman" w:eastAsia="仿宋_GB2312" w:cs="Times New Roman"/>
          <w:color w:val="auto"/>
          <w:kern w:val="0"/>
          <w:sz w:val="32"/>
          <w:szCs w:val="32"/>
          <w:highlight w:val="none"/>
          <w:lang w:val="en-US" w:eastAsia="zh-CN"/>
        </w:rPr>
        <w:t>万元，小微企业预留政府采购项目预算金额</w:t>
      </w:r>
      <w:r>
        <w:rPr>
          <w:rFonts w:hint="eastAsia" w:eastAsia="仿宋_GB2312" w:cs="Times New Roman"/>
          <w:color w:val="auto"/>
          <w:kern w:val="0"/>
          <w:sz w:val="32"/>
          <w:szCs w:val="32"/>
          <w:highlight w:val="none"/>
          <w:lang w:val="en-US" w:eastAsia="zh-CN"/>
        </w:rPr>
        <w:t>2.40</w:t>
      </w:r>
      <w:r>
        <w:rPr>
          <w:rFonts w:hint="default" w:ascii="Times New Roman" w:hAnsi="Times New Roman" w:eastAsia="仿宋_GB2312" w:cs="Times New Roman"/>
          <w:color w:val="auto"/>
          <w:kern w:val="0"/>
          <w:sz w:val="32"/>
          <w:szCs w:val="32"/>
          <w:highlight w:val="none"/>
          <w:lang w:val="en-US" w:eastAsia="zh-CN"/>
        </w:rPr>
        <w:t>万元。</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截至2024年底，焉耆回族自治县质量与计量检测所及下属各预算单位占用使用国有资产总体情况为：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1.房屋660平方米，价值47.5万元。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2.车辆2辆，价值27.28万元。其中：一般公务用车0辆，价值0万元，执法执勤用车2辆，价值27.28万元，其他用车0辆，价值0万元。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3.办公家具价值0.82万元。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4.其他资产价值112.34万元。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w:t>
      </w:r>
      <w:r>
        <w:rPr>
          <w:rFonts w:hint="eastAsia" w:eastAsia="仿宋_GB2312" w:cs="Times New Roman"/>
          <w:kern w:val="0"/>
          <w:sz w:val="32"/>
          <w:szCs w:val="32"/>
          <w:highlight w:val="none"/>
          <w:lang w:val="en-US" w:eastAsia="zh-CN"/>
        </w:rPr>
        <w:t>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整体预算绩效目标1个，涉及预算金额182.75万元；当年预算安排项目共0个，其中: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宋体" w:cs="Times New Roman"/>
                <w:i w:val="0"/>
                <w:iCs w:val="0"/>
                <w:color w:val="000000"/>
                <w:sz w:val="24"/>
                <w:szCs w:val="24"/>
                <w:highlight w:val="none"/>
                <w:u w:val="none"/>
                <w:lang w:val="en-US" w:eastAsia="zh-CN"/>
              </w:rPr>
              <w:t>（202</w:t>
            </w:r>
            <w:r>
              <w:rPr>
                <w:rFonts w:hint="default" w:ascii="Times New Roman" w:hAnsi="Times New Roman" w:cs="Times New Roman"/>
                <w:i w:val="0"/>
                <w:iCs w:val="0"/>
                <w:color w:val="000000"/>
                <w:sz w:val="24"/>
                <w:szCs w:val="24"/>
                <w:highlight w:val="none"/>
                <w:u w:val="none"/>
                <w:lang w:val="en-US" w:eastAsia="zh-CN"/>
              </w:rPr>
              <w:t>5</w:t>
            </w:r>
            <w:r>
              <w:rPr>
                <w:rFonts w:hint="default" w:ascii="Times New Roman" w:hAnsi="Times New Roman" w:eastAsia="宋体" w:cs="Times New Roman"/>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u w:val="none"/>
                <w:lang w:val="en-US" w:eastAsia="zh-CN" w:bidi="ar"/>
              </w:rPr>
              <w:t>焉耆县质量与计量检测所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600" w:firstLineChars="30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u w:val="none"/>
                <w:lang w:eastAsia="zh-CN"/>
              </w:rPr>
              <w:t>雍珍</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u w:val="none"/>
                <w:lang w:val="en-US" w:eastAsia="zh-CN"/>
              </w:rPr>
              <w:t>1899915681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承担焉耆辖区内本所开展的所有项目的计量管理、检定、测试及仲裁检定，对全县的计量器具进行监督检查，特别是针对农贸市场及农产品收购点在用计量器具进行周期检定监督检查，力争创造公平、公开、公正的交易环境；承担各种产（商）品质量监督检验、委托检验、仲裁检验，并按计划对县域产品进行抽检，保证县域产品质量，让老百姓吃的放心，用的放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上级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kern w:val="0"/>
                <w:sz w:val="20"/>
                <w:szCs w:val="20"/>
                <w:highlight w:val="none"/>
                <w:u w:val="none"/>
                <w:lang w:val="en-US" w:eastAsia="zh-CN" w:bidi="ar"/>
              </w:rPr>
              <w:t>本级</w:t>
            </w:r>
            <w:r>
              <w:rPr>
                <w:rFonts w:hint="default" w:ascii="Times New Roman" w:hAnsi="Times New Roman" w:eastAsia="宋体" w:cs="Times New Roman"/>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800" w:firstLineChars="400"/>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182.75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计量器具周期检定批次</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≥2批次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2</w:t>
            </w:r>
            <w:r>
              <w:rPr>
                <w:rFonts w:hint="default" w:ascii="Times New Roman" w:hAnsi="Times New Roman" w:cs="Times New Roman"/>
                <w:i w:val="0"/>
                <w:iCs w:val="0"/>
                <w:color w:val="000000"/>
                <w:sz w:val="20"/>
                <w:szCs w:val="20"/>
                <w:u w:val="none"/>
                <w:lang w:val="en-US" w:eastAsia="zh-CN"/>
              </w:rPr>
              <w:t>024</w:t>
            </w:r>
            <w:r>
              <w:rPr>
                <w:rFonts w:hint="default" w:ascii="Times New Roman" w:hAnsi="Times New Roman" w:eastAsia="宋体" w:cs="Times New Roman"/>
                <w:i w:val="0"/>
                <w:iCs w:val="0"/>
                <w:color w:val="000000"/>
                <w:sz w:val="20"/>
                <w:szCs w:val="20"/>
                <w:u w:val="none"/>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cs="Times New Roman"/>
                <w:i w:val="0"/>
                <w:iCs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农产品快速检测批次</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≥1000批次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2</w:t>
            </w:r>
            <w:r>
              <w:rPr>
                <w:rFonts w:hint="default" w:ascii="Times New Roman" w:hAnsi="Times New Roman" w:cs="Times New Roman"/>
                <w:i w:val="0"/>
                <w:iCs w:val="0"/>
                <w:color w:val="000000"/>
                <w:sz w:val="20"/>
                <w:szCs w:val="20"/>
                <w:u w:val="none"/>
                <w:lang w:val="en-US" w:eastAsia="zh-CN"/>
              </w:rPr>
              <w:t>024</w:t>
            </w:r>
            <w:r>
              <w:rPr>
                <w:rFonts w:hint="default" w:ascii="Times New Roman" w:hAnsi="Times New Roman" w:eastAsia="宋体" w:cs="Times New Roman"/>
                <w:i w:val="0"/>
                <w:iCs w:val="0"/>
                <w:color w:val="000000"/>
                <w:sz w:val="20"/>
                <w:szCs w:val="20"/>
                <w:u w:val="none"/>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cs="Times New Roman"/>
                <w:i w:val="0"/>
                <w:iCs w:val="0"/>
                <w:color w:val="000000"/>
                <w:sz w:val="24"/>
                <w:szCs w:val="24"/>
                <w:u w:val="none"/>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i w:val="0"/>
                <w:iCs w:val="0"/>
                <w:color w:val="000000"/>
                <w:sz w:val="20"/>
                <w:szCs w:val="20"/>
                <w:u w:val="none"/>
                <w:lang w:eastAsia="zh-CN"/>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食品检测批次</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≥1</w:t>
            </w:r>
            <w:r>
              <w:rPr>
                <w:rFonts w:hint="default" w:ascii="Times New Roman" w:hAnsi="Times New Roman" w:cs="Times New Roman"/>
                <w:i w:val="0"/>
                <w:iCs w:val="0"/>
                <w:color w:val="000000"/>
                <w:sz w:val="20"/>
                <w:szCs w:val="20"/>
                <w:u w:val="none"/>
                <w:lang w:val="en-US" w:eastAsia="zh-CN"/>
              </w:rPr>
              <w:t>8</w:t>
            </w:r>
            <w:r>
              <w:rPr>
                <w:rFonts w:hint="default" w:ascii="Times New Roman" w:hAnsi="Times New Roman" w:eastAsia="宋体" w:cs="Times New Roman"/>
                <w:i w:val="0"/>
                <w:iCs w:val="0"/>
                <w:color w:val="000000"/>
                <w:sz w:val="20"/>
                <w:szCs w:val="20"/>
                <w:u w:val="none"/>
              </w:rPr>
              <w:t>0批次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2</w:t>
            </w:r>
            <w:r>
              <w:rPr>
                <w:rFonts w:hint="default" w:ascii="Times New Roman" w:hAnsi="Times New Roman" w:cs="Times New Roman"/>
                <w:i w:val="0"/>
                <w:iCs w:val="0"/>
                <w:color w:val="000000"/>
                <w:sz w:val="20"/>
                <w:szCs w:val="20"/>
                <w:u w:val="none"/>
                <w:lang w:val="en-US" w:eastAsia="zh-CN"/>
              </w:rPr>
              <w:t>024</w:t>
            </w:r>
            <w:r>
              <w:rPr>
                <w:rFonts w:hint="default" w:ascii="Times New Roman" w:hAnsi="Times New Roman" w:eastAsia="宋体" w:cs="Times New Roman"/>
                <w:i w:val="0"/>
                <w:iCs w:val="0"/>
                <w:color w:val="000000"/>
                <w:sz w:val="20"/>
                <w:szCs w:val="20"/>
                <w:u w:val="none"/>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cs="Times New Roman"/>
                <w:i w:val="0"/>
                <w:iCs w:val="0"/>
                <w:color w:val="000000"/>
                <w:sz w:val="24"/>
                <w:szCs w:val="24"/>
                <w:u w:val="none"/>
                <w:lang w:val="en-US" w:eastAsia="zh-CN"/>
              </w:rPr>
              <w:t>30</w:t>
            </w:r>
          </w:p>
        </w:tc>
      </w:tr>
    </w:tbl>
    <w:p>
      <w:pPr>
        <w:pStyle w:val="2"/>
        <w:ind w:left="0" w:leftChars="0" w:firstLine="0" w:firstLineChars="0"/>
        <w:rPr>
          <w:rFonts w:hint="default" w:ascii="Times New Roman" w:hAnsi="Times New Roman" w:eastAsia="仿宋_GB2312" w:cs="Times New Roman"/>
          <w:color w:val="auto"/>
          <w:kern w:val="0"/>
          <w:sz w:val="32"/>
          <w:szCs w:val="32"/>
          <w:highlight w:val="none"/>
          <w:lang w:val="en-US" w:eastAsia="zh-CN"/>
        </w:rPr>
      </w:pPr>
    </w:p>
    <w:p>
      <w:pPr>
        <w:pStyle w:val="2"/>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楷体_GB2312" w:cs="Times New Roman"/>
          <w:b/>
          <w:kern w:val="0"/>
          <w:sz w:val="32"/>
          <w:szCs w:val="32"/>
          <w:highlight w:val="none"/>
        </w:rPr>
      </w:pPr>
      <w:r>
        <w:rPr>
          <w:rFonts w:hint="default" w:ascii="Times New Roman" w:hAnsi="Times New Roman" w:eastAsia="楷体_GB2312" w:cs="Times New Roman"/>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default" w:ascii="Times New Roman" w:hAnsi="Times New Roman" w:eastAsia="黑体"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本单位无其他</w:t>
      </w:r>
      <w:r>
        <w:rPr>
          <w:rFonts w:hint="eastAsia" w:eastAsia="仿宋_GB2312" w:cs="Times New Roman"/>
          <w:kern w:val="0"/>
          <w:sz w:val="32"/>
          <w:szCs w:val="32"/>
          <w:highlight w:val="none"/>
          <w:lang w:val="en-US" w:eastAsia="zh-CN"/>
        </w:rPr>
        <w:t>需</w:t>
      </w:r>
      <w:r>
        <w:rPr>
          <w:rFonts w:hint="default" w:ascii="Times New Roman" w:hAnsi="Times New Roman" w:eastAsia="仿宋_GB2312" w:cs="Times New Roman"/>
          <w:kern w:val="0"/>
          <w:sz w:val="32"/>
          <w:szCs w:val="32"/>
          <w:highlight w:val="none"/>
          <w:lang w:val="en-US" w:eastAsia="zh-CN"/>
        </w:rPr>
        <w:t>说明的事项</w:t>
      </w:r>
      <w:r>
        <w:rPr>
          <w:rFonts w:hint="eastAsia" w:eastAsia="仿宋_GB2312" w:cs="Times New Roman"/>
          <w:kern w:val="0"/>
          <w:sz w:val="32"/>
          <w:szCs w:val="32"/>
          <w:highlight w:val="none"/>
          <w:lang w:val="en-US" w:eastAsia="zh-CN"/>
        </w:rPr>
        <w:t>。</w:t>
      </w:r>
    </w:p>
    <w:p>
      <w:pPr>
        <w:rPr>
          <w:rFonts w:hint="default" w:ascii="Times New Roman" w:hAnsi="Times New Roman" w:eastAsia="黑体" w:cs="Times New Roman"/>
          <w:kern w:val="0"/>
          <w:sz w:val="32"/>
          <w:szCs w:val="32"/>
          <w:highlight w:val="none"/>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焉耆回族自治县质量与计量检测所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eastAsia" w:eastAsia="仿宋_GB2312" w:cs="Times New Roman"/>
          <w:kern w:val="0"/>
          <w:sz w:val="32"/>
          <w:szCs w:val="32"/>
          <w:highlight w:val="none"/>
          <w:lang w:val="en-US" w:eastAsia="zh-CN"/>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 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00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rKDLnAQAA9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RNn5wjm1A68siaMX86JhA76s4qR&#10;+iSOhmFwcBrcPG0v90PV82P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fOsoMucBAAD0&#10;AwAADgAAAAAAAAABACAAAAAfAQAAZHJzL2Uyb0RvYy54bWxQSwUGAAAAAAYABgBZAQAAeA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000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SJMrnAQAA9AMAAA4AAABkcnMvZTJvRG9jLnhtbK1TTYvbMBC9F/of&#10;hO6NnVC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lnzrxw1PDnvqTfM9Jyl/3pIlZU9hQPMO2Q&#10;wiy21+DyP8lg/eDp9eap6hOTlFyuV+t1SXZLOps3hFO8fB4B01cVHMtBzYGaNngpLg+YxtK5JN/m&#10;w95YS3lRWf9HgjBzpsiMR445Sv2xn4gfQ3MluRDGOcAo94bufBCYDgKo8cSTnkZ6pEXb0NU8TBFn&#10;bYBf/8rneuoHnXLW0SDV3NO74cx+89SnPHNzAHNwnAPhJX1Y88TZOYI5tQOvrAnjl3MioYP+rGKk&#10;PomjYRgcnAY3T9vr/VD18l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BhIkyucBAAD0&#10;AwAADgAAAAAAAAABACAAAAAfAQAAZHJzL2Uyb0RvYy54bWxQSwUGAAAAAAYABgBZAQAAe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1D55EC0"/>
    <w:rsid w:val="04651DBF"/>
    <w:rsid w:val="04F90D65"/>
    <w:rsid w:val="066D6221"/>
    <w:rsid w:val="07093E73"/>
    <w:rsid w:val="0BB61521"/>
    <w:rsid w:val="1047146D"/>
    <w:rsid w:val="13E24B85"/>
    <w:rsid w:val="14BE3D9C"/>
    <w:rsid w:val="167C4D9E"/>
    <w:rsid w:val="1A124506"/>
    <w:rsid w:val="1E1D04CB"/>
    <w:rsid w:val="218E027C"/>
    <w:rsid w:val="21DF245E"/>
    <w:rsid w:val="24755753"/>
    <w:rsid w:val="249D622C"/>
    <w:rsid w:val="28797ECD"/>
    <w:rsid w:val="29235564"/>
    <w:rsid w:val="29560BA8"/>
    <w:rsid w:val="29F90A2A"/>
    <w:rsid w:val="2BF71078"/>
    <w:rsid w:val="2E1200F9"/>
    <w:rsid w:val="2F22609A"/>
    <w:rsid w:val="309317B4"/>
    <w:rsid w:val="31851125"/>
    <w:rsid w:val="32BD7D6B"/>
    <w:rsid w:val="32F765C1"/>
    <w:rsid w:val="33594956"/>
    <w:rsid w:val="359C3188"/>
    <w:rsid w:val="36A9071B"/>
    <w:rsid w:val="3AD42E09"/>
    <w:rsid w:val="3B28795F"/>
    <w:rsid w:val="40891C97"/>
    <w:rsid w:val="43B97E6B"/>
    <w:rsid w:val="444A653E"/>
    <w:rsid w:val="465778BC"/>
    <w:rsid w:val="48A13744"/>
    <w:rsid w:val="4908399C"/>
    <w:rsid w:val="49E82BE6"/>
    <w:rsid w:val="49EA4FAD"/>
    <w:rsid w:val="4B6B172E"/>
    <w:rsid w:val="4B7C4E1D"/>
    <w:rsid w:val="4C187491"/>
    <w:rsid w:val="4C193546"/>
    <w:rsid w:val="4D3B34C4"/>
    <w:rsid w:val="4D97257F"/>
    <w:rsid w:val="4E6A16D1"/>
    <w:rsid w:val="4F681E06"/>
    <w:rsid w:val="50402779"/>
    <w:rsid w:val="50647ECD"/>
    <w:rsid w:val="51010914"/>
    <w:rsid w:val="510577DE"/>
    <w:rsid w:val="523D083C"/>
    <w:rsid w:val="5408072A"/>
    <w:rsid w:val="55A21BB7"/>
    <w:rsid w:val="56A56BD8"/>
    <w:rsid w:val="56DA1F1B"/>
    <w:rsid w:val="5B434790"/>
    <w:rsid w:val="5B6579BF"/>
    <w:rsid w:val="5C641607"/>
    <w:rsid w:val="5E2E4EED"/>
    <w:rsid w:val="611D723D"/>
    <w:rsid w:val="61864D95"/>
    <w:rsid w:val="638B13BF"/>
    <w:rsid w:val="658B198C"/>
    <w:rsid w:val="66890E32"/>
    <w:rsid w:val="6A1B541D"/>
    <w:rsid w:val="6C394668"/>
    <w:rsid w:val="6CB12B9B"/>
    <w:rsid w:val="70EB3BC8"/>
    <w:rsid w:val="71D0390B"/>
    <w:rsid w:val="7229067A"/>
    <w:rsid w:val="7459318C"/>
    <w:rsid w:val="74B769FA"/>
    <w:rsid w:val="7733228F"/>
    <w:rsid w:val="78150609"/>
    <w:rsid w:val="7D703706"/>
    <w:rsid w:val="7E260CFD"/>
    <w:rsid w:val="7F6C0C4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footnote text"/>
    <w:basedOn w:val="1"/>
    <w:qFormat/>
    <w:uiPriority w:val="0"/>
    <w:pPr>
      <w:snapToGrid w:val="0"/>
      <w:jc w:val="left"/>
    </w:pPr>
    <w:rPr>
      <w:sz w:val="18"/>
    </w:rPr>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font10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1ea875-8488-48d3-9f48-56b6a49e61dd}">
  <ds:schemaRefs/>
</ds:datastoreItem>
</file>

<file path=customXml/itemProps3.xml><?xml version="1.0" encoding="utf-8"?>
<ds:datastoreItem xmlns:ds="http://schemas.openxmlformats.org/officeDocument/2006/customXml" ds:itemID="{49d33bd7-971e-4a11-a173-ba8489ad1c3c}">
  <ds:schemaRefs/>
</ds:datastoreItem>
</file>

<file path=customXml/itemProps4.xml><?xml version="1.0" encoding="utf-8"?>
<ds:datastoreItem xmlns:ds="http://schemas.openxmlformats.org/officeDocument/2006/customXml" ds:itemID="{7fdaf1ba-83e2-4e3a-a1a6-a5458222522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6249</Words>
  <Characters>6321</Characters>
  <Lines>0</Lines>
  <Paragraphs>0</Paragraphs>
  <TotalTime>2</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2025-04-08T10:59:00Z</cp:lastPrinted>
  <dcterms:modified xsi:type="dcterms:W3CDTF">2025-04-27T09:58:06Z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872BC1AE281E4AD9827550DAF2A31F2C_12</vt:lpwstr>
  </property>
</Properties>
</file>