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焉耆回族自治县财政局</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一、关于焉耆回族自治县财政局2025年收支预算情况的总体说明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二、关于焉耆回族自治县财政局2025年收入预算情况说明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三、关于焉耆回族自治县财政局2025年支出预算情况说明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四、关于焉耆回族自治县财政局2025年财政拨款收支预算情况的总体说明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五、关于焉耆回族自治县财政局2025年一般公共预算当年拨款情况说明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六、关于焉耆回族自治县财政局2025年一般公共预算基本支出情况说明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七、关于焉耆回族自治县财政局2025年一般公共预算项目支出情况说明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八、关于焉耆回族自治县财政局2025年政府性基金预算拨款情况说明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九、关于焉耆回族自治县财政局2025年国有资本经营预算拨款情况说明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十、关于焉耆回族自治县财政局2025年财政拨款“三公”经费预算情况说明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十一、关于焉耆回族自治县财政局2025年上年结转结余预算情况说明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1.贯彻执行国家财政、税收、国有资产管理的法规、制度和方针政策；组织拟定自治县财政、国有资产、财务会计等方面的管理办法和规章制度并监督实施；参与自治县有关税收管理办法和制度的拟定工作。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根据自治县国民经济和社会发展战略，拟定自治县财政发展战略和中长期财政规划，参与制定有关综合经济政策，提出运用财税政策实施县域经济调控和综合平衡社会财力的建议；对自治县社会财力进行综合平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编制自治县本级预决算，代编全县预决算草案并组织执行；审查、编制、批复部门预算，受自治县政府委托向自治县代表大会报告自治县本级和全县预算及其执行情况，向自治县人大常委会报告预算和决算变动事项。</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根据预算安排，拟定财政税收计划，并组织实施和监督管理；负责自治县农业各税、非税性财政收入规章制度的拟定及自治县本级收入的征收和管理；会同有关部门审查批准行政事业性收费项目并参与标准的制定。</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管理和监督由自治县本级承担的各项财政收入和财政支出，组织和监督自治县财政预算的执行；对行政单位财务实行集中核算；代表政府管理、监督地方国库资金的缴拔使用；负责预算外资金的财务管理工作；负责预算外资金收支计划的核定及预算外资金财政专户管理工作; 管理农业综合开发项目资金，管理社会保障专项资金、财政扶贫资金、发展资金、少数民族补助费、扶贫贷款贴息等资金；负责粮食风险基金管理及粮食挂帐处理；管理和监督彩票发行与彩票市场;管理自治县财政统发工资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拟定和执行需要全县统一规定的开支标准和支出政策，负责建立和实施国库集中收付制度；贯彻执行《企业财务通则》及分行业企业财务制度、《事业单位财务规则》、《行政单位财务规则》；参与自治县社会保障制度的改革和管理办法的研究制定；拟定全县社会保障资金的管理办法；执行社会保障资金财务制度、基本建设财务制度和涉外企业财务制度；拟定全县政府采购管理制度和办法，指导、监督、检查全县政府采购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7.负责外国政府、国际金融组织贷款项目的审核、申报、转贷、签定贷款协定、财务会计核算、提款报帐、办理还本付息等资金管理工作。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管理和指导全县会计工作，加强会计监督，规范会计行为，保障会计资料的真实完整，查处各单位违犯《会计法》及有关会计法规的案件；组织执行《企业会计准则》、《事业单位会计准则》和分行业会计制度，制定补充规定并贯彻执行；负责会计委派工作；组织和管理自治县会计人员的业务培训和会计人员从业资格证书。</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9.执行国有资本金基础管理的有关政策、规章制度、管理办法；研究制定国有股权管理办法；组织查处国有资产流失案件；组织实施全县国有企业、城镇集体企业和国有预算单位的股权管理、清产核资、产权交易、资本金权属界定、产权登记；负责实施国有企业绩效评价、国有资本金营运监测；负责国有资本金的统计、分析，负责国有企业和行政事业单位国有资产的管理。</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焉耆回族自治县财政局</w:t>
      </w:r>
      <w:r>
        <w:rPr>
          <w:rFonts w:hint="eastAsia" w:ascii="仿宋_GB2312" w:hAnsi="黑体" w:eastAsia="仿宋_GB2312" w:cs="宋体"/>
          <w:bCs/>
          <w:color w:val="auto"/>
          <w:kern w:val="0"/>
          <w:sz w:val="32"/>
          <w:szCs w:val="32"/>
          <w:highlight w:val="none"/>
          <w:lang w:val="en-US" w:eastAsia="zh-CN"/>
        </w:rPr>
        <w:t>无下属预算单位，下设4个处室，分别是：办公室、预算股、国库股、综合业务股。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焉耆回族自治县财政局</w:t>
      </w:r>
      <w:r>
        <w:rPr>
          <w:rFonts w:hint="eastAsia" w:ascii="仿宋_GB2312" w:hAnsi="黑体" w:eastAsia="仿宋_GB2312" w:cs="宋体"/>
          <w:bCs/>
          <w:color w:val="auto"/>
          <w:kern w:val="0"/>
          <w:sz w:val="32"/>
          <w:szCs w:val="32"/>
          <w:highlight w:val="none"/>
          <w:lang w:val="en-US" w:eastAsia="zh-CN"/>
        </w:rPr>
        <w:t>编制数48，实有人数75人，其中：在职45人，减少2人；退休30人，增加1人；离休0人，增加 0人。</w:t>
      </w:r>
    </w:p>
    <w:p>
      <w:pPr>
        <w:rPr>
          <w:rFonts w:hint="eastAsia" w:ascii="仿宋_GB2312" w:hAnsi="黑体" w:eastAsia="仿宋_GB2312" w:cs="宋体"/>
          <w:b/>
          <w:bCs/>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焉耆回族自治县财政局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                               </w:t>
      </w:r>
      <w:r>
        <w:rPr>
          <w:rFonts w:hint="eastAsia" w:ascii="仿宋_GB2312" w:hAnsi="宋体" w:eastAsia="仿宋_GB2312"/>
          <w:color w:val="auto"/>
          <w:kern w:val="0"/>
          <w:sz w:val="24"/>
          <w:highlight w:val="none"/>
          <w:lang w:val="en-US" w:eastAsia="zh-CN"/>
        </w:rPr>
        <w:t xml:space="preserve"> </w:t>
      </w:r>
    </w:p>
    <w:tbl>
      <w:tblPr>
        <w:tblStyle w:val="9"/>
        <w:tblW w:w="8890" w:type="dxa"/>
        <w:tblInd w:w="-135" w:type="dxa"/>
        <w:tblLayout w:type="autofit"/>
        <w:tblCellMar>
          <w:top w:w="0" w:type="dxa"/>
          <w:left w:w="108" w:type="dxa"/>
          <w:bottom w:w="0" w:type="dxa"/>
          <w:right w:w="108" w:type="dxa"/>
        </w:tblCellMar>
      </w:tblPr>
      <w:tblGrid>
        <w:gridCol w:w="3506"/>
        <w:gridCol w:w="990"/>
        <w:gridCol w:w="3010"/>
        <w:gridCol w:w="1384"/>
      </w:tblGrid>
      <w:tr>
        <w:tblPrEx>
          <w:tblCellMar>
            <w:top w:w="0" w:type="dxa"/>
            <w:left w:w="108" w:type="dxa"/>
            <w:bottom w:w="0" w:type="dxa"/>
            <w:right w:w="108" w:type="dxa"/>
          </w:tblCellMar>
        </w:tblPrEx>
        <w:trPr>
          <w:trHeight w:val="360" w:hRule="atLeast"/>
        </w:trPr>
        <w:tc>
          <w:tcPr>
            <w:tcW w:w="4496"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     目</w:t>
            </w:r>
          </w:p>
        </w:tc>
        <w:tc>
          <w:tcPr>
            <w:tcW w:w="99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301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38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一、本年收入</w:t>
            </w:r>
          </w:p>
        </w:tc>
        <w:tc>
          <w:tcPr>
            <w:tcW w:w="9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777.11</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201 一般公共服务支出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530.42</w:t>
            </w: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1.一般公共预算拨款</w:t>
            </w:r>
          </w:p>
        </w:tc>
        <w:tc>
          <w:tcPr>
            <w:tcW w:w="9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777.11</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202 外交支出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其中：一般财力</w:t>
            </w:r>
          </w:p>
        </w:tc>
        <w:tc>
          <w:tcPr>
            <w:tcW w:w="9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747.11</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203 国防支出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5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上级一般公共预算安排转移支付</w:t>
            </w:r>
          </w:p>
        </w:tc>
        <w:tc>
          <w:tcPr>
            <w:tcW w:w="9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204 公共安全支出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eastAsia="zh-CN"/>
              </w:rPr>
            </w:pPr>
            <w:r>
              <w:rPr>
                <w:rFonts w:hint="default" w:ascii="Times New Roman" w:hAnsi="Times New Roman" w:eastAsia="仿宋_GB2312" w:cs="Times New Roman"/>
                <w:color w:val="auto"/>
                <w:kern w:val="0"/>
                <w:sz w:val="20"/>
                <w:szCs w:val="20"/>
                <w:highlight w:val="none"/>
                <w:shd w:val="clear" w:color="auto" w:fill="auto"/>
              </w:rPr>
              <w:t>2.</w:t>
            </w:r>
            <w:r>
              <w:rPr>
                <w:rFonts w:hint="default" w:ascii="Times New Roman" w:hAnsi="Times New Roman" w:eastAsia="仿宋_GB2312" w:cs="Times New Roman"/>
                <w:color w:val="auto"/>
                <w:kern w:val="0"/>
                <w:sz w:val="20"/>
                <w:szCs w:val="20"/>
                <w:highlight w:val="none"/>
                <w:shd w:val="clear" w:color="auto" w:fill="auto"/>
                <w:lang w:val="en-US" w:eastAsia="zh-CN"/>
              </w:rPr>
              <w:t>政府性</w:t>
            </w:r>
            <w:r>
              <w:rPr>
                <w:rFonts w:hint="default" w:ascii="Times New Roman" w:hAnsi="Times New Roman" w:eastAsia="仿宋_GB2312" w:cs="Times New Roman"/>
                <w:color w:val="auto"/>
                <w:kern w:val="0"/>
                <w:sz w:val="20"/>
                <w:szCs w:val="20"/>
                <w:highlight w:val="none"/>
                <w:shd w:val="clear" w:color="auto" w:fill="auto"/>
              </w:rPr>
              <w:t>基金预算拨款</w:t>
            </w:r>
            <w:r>
              <w:rPr>
                <w:rFonts w:hint="default" w:ascii="Times New Roman" w:hAnsi="Times New Roman" w:eastAsia="仿宋_GB2312" w:cs="Times New Roman"/>
                <w:color w:val="auto"/>
                <w:kern w:val="0"/>
                <w:sz w:val="20"/>
                <w:szCs w:val="20"/>
                <w:highlight w:val="none"/>
                <w:shd w:val="clear" w:color="auto" w:fill="auto"/>
                <w:lang w:eastAsia="zh-CN"/>
              </w:rPr>
              <w:tab/>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205 教育支出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其中：政府性基金收入</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206 科学技术支出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上级政府性基金安排转移支付</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207 文化旅游体育与传媒支出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3.国有资本经营预算拨款</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208 社会保障和就业支出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123.47</w:t>
            </w:r>
          </w:p>
        </w:tc>
      </w:tr>
      <w:tr>
        <w:tblPrEx>
          <w:tblCellMar>
            <w:top w:w="0" w:type="dxa"/>
            <w:left w:w="108" w:type="dxa"/>
            <w:bottom w:w="0" w:type="dxa"/>
            <w:right w:w="108" w:type="dxa"/>
          </w:tblCellMar>
        </w:tblPrEx>
        <w:trPr>
          <w:trHeight w:val="315"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其中：国有资本经营收入</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209 社会保险基金支出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上级国有资本经营预算安排转移支付</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210</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卫生健康支出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36.64</w:t>
            </w: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4.财政专户核拨</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211 节能环保支出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5.单位资金</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212 城乡社区支出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其中：事业收入</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213 农林水支出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w:t>
            </w: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上级补助收入</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214 交通运输支出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附属单位上缴收入</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215 资源勘探</w:t>
            </w:r>
            <w:r>
              <w:rPr>
                <w:rFonts w:hint="default" w:ascii="Times New Roman" w:hAnsi="Times New Roman" w:eastAsia="仿宋_GB2312" w:cs="Times New Roman"/>
                <w:color w:val="auto"/>
                <w:kern w:val="0"/>
                <w:sz w:val="20"/>
                <w:szCs w:val="20"/>
                <w:highlight w:val="none"/>
                <w:lang w:val="en-US" w:eastAsia="zh-Hans"/>
              </w:rPr>
              <w:t>工业</w:t>
            </w:r>
            <w:r>
              <w:rPr>
                <w:rFonts w:hint="default" w:ascii="Times New Roman" w:hAnsi="Times New Roman" w:eastAsia="仿宋_GB2312" w:cs="Times New Roman"/>
                <w:color w:val="auto"/>
                <w:kern w:val="0"/>
                <w:sz w:val="20"/>
                <w:szCs w:val="20"/>
                <w:highlight w:val="none"/>
              </w:rPr>
              <w:t>信息等支出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事业单位经营收入</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216 商业服务业等支出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其他收入</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217 金融支出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二、上年结转结余</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219 援助其他地区支出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1.财政拨款结转</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220 自然资源海洋气象等支出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其中：一般公共预算拨款</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221 住房保障支出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56.58</w:t>
            </w: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政府性</w:t>
            </w:r>
            <w:r>
              <w:rPr>
                <w:rFonts w:hint="default" w:ascii="Times New Roman" w:hAnsi="Times New Roman" w:eastAsia="仿宋_GB2312" w:cs="Times New Roman"/>
                <w:color w:val="auto"/>
                <w:kern w:val="0"/>
                <w:sz w:val="20"/>
                <w:szCs w:val="20"/>
                <w:highlight w:val="none"/>
                <w:shd w:val="clear" w:color="auto" w:fill="auto"/>
              </w:rPr>
              <w:t>基金预算拨款</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222 粮油物资储备支出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国有资本经营预算拨款</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223 国有资本经营预算支出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2.非财政拨款结余</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224</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灾害防治及应急管理支出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其中：财政专户核拨</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227 预备费</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单位资金</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229 其他支出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296"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230</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转移性支出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231 债务还本支出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232 债务付息支出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9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p>
        </w:tc>
        <w:tc>
          <w:tcPr>
            <w:tcW w:w="99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p>
        </w:tc>
        <w:tc>
          <w:tcPr>
            <w:tcW w:w="301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xml:space="preserve">                    </w:t>
            </w:r>
          </w:p>
        </w:tc>
        <w:tc>
          <w:tcPr>
            <w:tcW w:w="138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506" w:type="dxa"/>
            <w:tcBorders>
              <w:top w:val="nil"/>
              <w:left w:val="single" w:color="auto" w:sz="4" w:space="0"/>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rPr>
            </w:pPr>
          </w:p>
        </w:tc>
        <w:tc>
          <w:tcPr>
            <w:tcW w:w="99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rPr>
            </w:pPr>
          </w:p>
        </w:tc>
        <w:tc>
          <w:tcPr>
            <w:tcW w:w="3010"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eastAsia" w:ascii="仿宋_GB2312" w:hAnsi="宋体" w:eastAsia="仿宋_GB2312" w:cs="宋体"/>
                <w:color w:val="auto"/>
                <w:kern w:val="0"/>
                <w:sz w:val="18"/>
                <w:szCs w:val="18"/>
                <w:highlight w:val="none"/>
                <w:lang w:bidi="ar"/>
              </w:rPr>
            </w:pPr>
          </w:p>
        </w:tc>
        <w:tc>
          <w:tcPr>
            <w:tcW w:w="1384"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506"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rPr>
            </w:pPr>
            <w:r>
              <w:rPr>
                <w:rFonts w:hint="default" w:ascii="Times New Roman" w:hAnsi="Times New Roman" w:eastAsia="仿宋_GB2312" w:cs="Times New Roman"/>
                <w:color w:val="auto"/>
                <w:kern w:val="0"/>
                <w:sz w:val="20"/>
                <w:szCs w:val="20"/>
                <w:highlight w:val="none"/>
                <w:lang w:val="en-US" w:eastAsia="zh-CN"/>
              </w:rPr>
              <w:t>777.11</w:t>
            </w:r>
            <w:r>
              <w:rPr>
                <w:rFonts w:hint="default" w:ascii="Times New Roman" w:hAnsi="Times New Roman" w:eastAsia="仿宋_GB2312" w:cs="Times New Roman"/>
                <w:color w:val="auto"/>
                <w:kern w:val="0"/>
                <w:sz w:val="20"/>
                <w:szCs w:val="20"/>
                <w:highlight w:val="none"/>
              </w:rPr>
              <w:t>　</w:t>
            </w:r>
          </w:p>
        </w:tc>
        <w:tc>
          <w:tcPr>
            <w:tcW w:w="3010"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777.11</w:t>
            </w:r>
            <w:r>
              <w:rPr>
                <w:rFonts w:hint="default" w:ascii="Times New Roman" w:hAnsi="Times New Roman" w:eastAsia="仿宋_GB2312" w:cs="Times New Roman"/>
                <w:color w:val="auto"/>
                <w:kern w:val="0"/>
                <w:sz w:val="20"/>
                <w:szCs w:val="20"/>
                <w:highlight w:val="none"/>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仿宋_GB2312" w:hAnsi="宋体" w:eastAsia="仿宋_GB2312"/>
          <w:b/>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rPr>
        <w:t>单位收入总体情况表</w:t>
      </w:r>
      <w:r>
        <w:rPr>
          <w:rFonts w:hint="eastAsia" w:ascii="仿宋_GB2312" w:hAnsi="仿宋_GB2312" w:eastAsia="仿宋_GB2312" w:cs="仿宋_GB2312"/>
          <w:b/>
          <w:bCs w:val="0"/>
          <w:color w:val="auto"/>
          <w:kern w:val="0"/>
          <w:sz w:val="32"/>
          <w:szCs w:val="32"/>
          <w:highlight w:val="none"/>
          <w:lang w:val="en-US" w:eastAsia="zh-CN"/>
        </w:rPr>
        <w:t xml:space="preserve">   </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焉耆回族自治县财政局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单位：万元                              </w:t>
      </w:r>
    </w:p>
    <w:tbl>
      <w:tblPr>
        <w:tblStyle w:val="9"/>
        <w:tblW w:w="11250" w:type="dxa"/>
        <w:tblInd w:w="-1289" w:type="dxa"/>
        <w:tblLayout w:type="fixed"/>
        <w:tblCellMar>
          <w:top w:w="0" w:type="dxa"/>
          <w:left w:w="108" w:type="dxa"/>
          <w:bottom w:w="0" w:type="dxa"/>
          <w:right w:w="108" w:type="dxa"/>
        </w:tblCellMar>
      </w:tblPr>
      <w:tblGrid>
        <w:gridCol w:w="570"/>
        <w:gridCol w:w="452"/>
        <w:gridCol w:w="471"/>
        <w:gridCol w:w="2267"/>
        <w:gridCol w:w="906"/>
        <w:gridCol w:w="939"/>
        <w:gridCol w:w="989"/>
        <w:gridCol w:w="734"/>
        <w:gridCol w:w="440"/>
        <w:gridCol w:w="703"/>
        <w:gridCol w:w="435"/>
        <w:gridCol w:w="746"/>
        <w:gridCol w:w="536"/>
        <w:gridCol w:w="369"/>
        <w:gridCol w:w="360"/>
        <w:gridCol w:w="333"/>
      </w:tblGrid>
      <w:tr>
        <w:tblPrEx>
          <w:tblCellMar>
            <w:top w:w="0" w:type="dxa"/>
            <w:left w:w="108" w:type="dxa"/>
            <w:bottom w:w="0" w:type="dxa"/>
            <w:right w:w="108" w:type="dxa"/>
          </w:tblCellMar>
        </w:tblPrEx>
        <w:trPr>
          <w:trHeight w:val="551" w:hRule="atLeast"/>
        </w:trPr>
        <w:tc>
          <w:tcPr>
            <w:tcW w:w="149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4"/>
                <w:szCs w:val="24"/>
                <w:highlight w:val="none"/>
              </w:rPr>
              <w:t>功能分类科目编码</w:t>
            </w:r>
          </w:p>
        </w:tc>
        <w:tc>
          <w:tcPr>
            <w:tcW w:w="226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90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98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4"/>
                <w:szCs w:val="24"/>
                <w:highlight w:val="none"/>
              </w:rPr>
              <w:t>财  政  拨  款  (  补  助  )</w:t>
            </w:r>
          </w:p>
        </w:tc>
        <w:tc>
          <w:tcPr>
            <w:tcW w:w="53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36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36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33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财政拨款结转结余</w:t>
            </w:r>
          </w:p>
        </w:tc>
      </w:tr>
      <w:tr>
        <w:tblPrEx>
          <w:tblCellMar>
            <w:top w:w="0" w:type="dxa"/>
            <w:left w:w="108" w:type="dxa"/>
            <w:bottom w:w="0" w:type="dxa"/>
            <w:right w:w="108" w:type="dxa"/>
          </w:tblCellMar>
        </w:tblPrEx>
        <w:trPr>
          <w:trHeight w:val="2178" w:hRule="atLeast"/>
        </w:trPr>
        <w:tc>
          <w:tcPr>
            <w:tcW w:w="570" w:type="dxa"/>
            <w:tcBorders>
              <w:left w:val="single" w:color="auto" w:sz="4" w:space="0"/>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452"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471"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2267"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906"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939"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989"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734"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44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703"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435"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746"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536"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369"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360"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33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trHeight w:val="396" w:hRule="atLeast"/>
        </w:trPr>
        <w:tc>
          <w:tcPr>
            <w:tcW w:w="57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201</w:t>
            </w:r>
          </w:p>
        </w:tc>
        <w:tc>
          <w:tcPr>
            <w:tcW w:w="452"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i w:val="0"/>
                <w:color w:val="auto"/>
                <w:kern w:val="2"/>
                <w:sz w:val="20"/>
                <w:szCs w:val="20"/>
                <w:highlight w:val="none"/>
                <w:u w:val="none"/>
                <w:lang w:val="en-US" w:eastAsia="zh-CN" w:bidi="ar-SA"/>
              </w:rPr>
            </w:pPr>
          </w:p>
        </w:tc>
        <w:tc>
          <w:tcPr>
            <w:tcW w:w="471"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26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一般公共服务支出</w:t>
            </w:r>
          </w:p>
        </w:tc>
        <w:tc>
          <w:tcPr>
            <w:tcW w:w="90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530.42</w:t>
            </w:r>
          </w:p>
        </w:tc>
        <w:tc>
          <w:tcPr>
            <w:tcW w:w="939"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530.42</w:t>
            </w:r>
          </w:p>
        </w:tc>
        <w:tc>
          <w:tcPr>
            <w:tcW w:w="989"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530.42</w:t>
            </w:r>
          </w:p>
        </w:tc>
        <w:tc>
          <w:tcPr>
            <w:tcW w:w="734"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3"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35"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20" w:hRule="atLeast"/>
        </w:trPr>
        <w:tc>
          <w:tcPr>
            <w:tcW w:w="570"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201</w:t>
            </w:r>
          </w:p>
        </w:tc>
        <w:tc>
          <w:tcPr>
            <w:tcW w:w="45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06</w:t>
            </w:r>
          </w:p>
        </w:tc>
        <w:tc>
          <w:tcPr>
            <w:tcW w:w="47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财政事务</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530.42</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530.42</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530.42</w:t>
            </w:r>
          </w:p>
        </w:tc>
        <w:tc>
          <w:tcPr>
            <w:tcW w:w="7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73" w:hRule="atLeast"/>
        </w:trPr>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201</w:t>
            </w:r>
          </w:p>
        </w:tc>
        <w:tc>
          <w:tcPr>
            <w:tcW w:w="45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06</w:t>
            </w:r>
          </w:p>
        </w:tc>
        <w:tc>
          <w:tcPr>
            <w:tcW w:w="47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145.14</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145.14</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145.14</w:t>
            </w:r>
          </w:p>
        </w:tc>
        <w:tc>
          <w:tcPr>
            <w:tcW w:w="7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65" w:hRule="atLeast"/>
        </w:trPr>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201</w:t>
            </w:r>
          </w:p>
        </w:tc>
        <w:tc>
          <w:tcPr>
            <w:tcW w:w="45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06</w:t>
            </w:r>
          </w:p>
        </w:tc>
        <w:tc>
          <w:tcPr>
            <w:tcW w:w="47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50</w:t>
            </w: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事业运行</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385.28</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385.28</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385.28</w:t>
            </w:r>
          </w:p>
        </w:tc>
        <w:tc>
          <w:tcPr>
            <w:tcW w:w="7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29" w:hRule="atLeast"/>
        </w:trPr>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45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i w:val="0"/>
                <w:color w:val="auto"/>
                <w:kern w:val="2"/>
                <w:sz w:val="20"/>
                <w:szCs w:val="20"/>
                <w:highlight w:val="none"/>
                <w:u w:val="none"/>
                <w:lang w:val="en-US" w:eastAsia="zh-CN" w:bidi="ar-SA"/>
              </w:rPr>
            </w:pPr>
          </w:p>
        </w:tc>
        <w:tc>
          <w:tcPr>
            <w:tcW w:w="47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社会保障和就业支出</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123.47</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123.47</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123.47</w:t>
            </w:r>
          </w:p>
        </w:tc>
        <w:tc>
          <w:tcPr>
            <w:tcW w:w="7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06" w:hRule="atLeast"/>
        </w:trPr>
        <w:tc>
          <w:tcPr>
            <w:tcW w:w="570"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208</w:t>
            </w:r>
          </w:p>
        </w:tc>
        <w:tc>
          <w:tcPr>
            <w:tcW w:w="45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47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行政事业单位养老支出</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123.47</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123.47</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123.47</w:t>
            </w:r>
          </w:p>
        </w:tc>
        <w:tc>
          <w:tcPr>
            <w:tcW w:w="7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11" w:hRule="atLeast"/>
        </w:trPr>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45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47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行政单位离退休</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5.05</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5.05</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5.05</w:t>
            </w:r>
          </w:p>
        </w:tc>
        <w:tc>
          <w:tcPr>
            <w:tcW w:w="7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54" w:hRule="atLeast"/>
        </w:trPr>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45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47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02</w:t>
            </w: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事业单位离退休</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4.36</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4.36</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4.36</w:t>
            </w:r>
          </w:p>
        </w:tc>
        <w:tc>
          <w:tcPr>
            <w:tcW w:w="7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96" w:hRule="atLeast"/>
        </w:trPr>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45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47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机关事业单位基本养老保险缴费支出</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76.68</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76.68</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76.68</w:t>
            </w:r>
          </w:p>
        </w:tc>
        <w:tc>
          <w:tcPr>
            <w:tcW w:w="7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96" w:hRule="atLeast"/>
        </w:trPr>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45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47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06</w:t>
            </w: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机关事业单位职业年金缴费支出</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37.38</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37.38</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37.38</w:t>
            </w:r>
          </w:p>
        </w:tc>
        <w:tc>
          <w:tcPr>
            <w:tcW w:w="7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260" w:hRule="atLeast"/>
        </w:trPr>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210</w:t>
            </w:r>
          </w:p>
        </w:tc>
        <w:tc>
          <w:tcPr>
            <w:tcW w:w="45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i w:val="0"/>
                <w:color w:val="auto"/>
                <w:kern w:val="2"/>
                <w:sz w:val="20"/>
                <w:szCs w:val="20"/>
                <w:highlight w:val="none"/>
                <w:u w:val="none"/>
                <w:lang w:val="en-US" w:eastAsia="zh-CN" w:bidi="ar-SA"/>
              </w:rPr>
            </w:pPr>
          </w:p>
        </w:tc>
        <w:tc>
          <w:tcPr>
            <w:tcW w:w="47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卫生健康支出</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36.64</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36.64</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36.64</w:t>
            </w:r>
          </w:p>
        </w:tc>
        <w:tc>
          <w:tcPr>
            <w:tcW w:w="7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66" w:hRule="atLeast"/>
        </w:trPr>
        <w:tc>
          <w:tcPr>
            <w:tcW w:w="570"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210</w:t>
            </w:r>
          </w:p>
        </w:tc>
        <w:tc>
          <w:tcPr>
            <w:tcW w:w="45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w:t>
            </w:r>
          </w:p>
        </w:tc>
        <w:tc>
          <w:tcPr>
            <w:tcW w:w="47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行政事业单位医疗</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36.64</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36.64</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36.64</w:t>
            </w:r>
          </w:p>
        </w:tc>
        <w:tc>
          <w:tcPr>
            <w:tcW w:w="7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05" w:hRule="atLeast"/>
        </w:trPr>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210</w:t>
            </w:r>
          </w:p>
        </w:tc>
        <w:tc>
          <w:tcPr>
            <w:tcW w:w="45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w:t>
            </w:r>
          </w:p>
        </w:tc>
        <w:tc>
          <w:tcPr>
            <w:tcW w:w="47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行政单位医疗</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7.09</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7.09</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7.09</w:t>
            </w:r>
          </w:p>
        </w:tc>
        <w:tc>
          <w:tcPr>
            <w:tcW w:w="7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50" w:hRule="atLeast"/>
        </w:trPr>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210</w:t>
            </w:r>
          </w:p>
        </w:tc>
        <w:tc>
          <w:tcPr>
            <w:tcW w:w="45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w:t>
            </w:r>
          </w:p>
        </w:tc>
        <w:tc>
          <w:tcPr>
            <w:tcW w:w="47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02</w:t>
            </w: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事业单位医疗</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27.7</w:t>
            </w:r>
            <w:r>
              <w:rPr>
                <w:rFonts w:hint="eastAsia" w:ascii="Times New Roman" w:hAnsi="Times New Roman" w:eastAsia="仿宋_GB2312" w:cs="Times New Roman"/>
                <w:color w:val="auto"/>
                <w:sz w:val="20"/>
                <w:szCs w:val="20"/>
                <w:highlight w:val="none"/>
                <w:lang w:val="en-US" w:eastAsia="zh-CN"/>
              </w:rPr>
              <w:t>4</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27.7</w:t>
            </w:r>
            <w:r>
              <w:rPr>
                <w:rFonts w:hint="eastAsia" w:ascii="Times New Roman" w:hAnsi="Times New Roman" w:eastAsia="仿宋_GB2312" w:cs="Times New Roman"/>
                <w:color w:val="auto"/>
                <w:sz w:val="20"/>
                <w:szCs w:val="20"/>
                <w:highlight w:val="none"/>
                <w:lang w:val="en-US" w:eastAsia="zh-CN"/>
              </w:rPr>
              <w:t>4</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27.7</w:t>
            </w:r>
            <w:r>
              <w:rPr>
                <w:rFonts w:hint="eastAsia" w:ascii="Times New Roman" w:hAnsi="Times New Roman" w:eastAsia="仿宋_GB2312" w:cs="Times New Roman"/>
                <w:color w:val="auto"/>
                <w:sz w:val="20"/>
                <w:szCs w:val="20"/>
                <w:highlight w:val="none"/>
                <w:lang w:val="en-US" w:eastAsia="zh-CN"/>
              </w:rPr>
              <w:t>4</w:t>
            </w:r>
          </w:p>
        </w:tc>
        <w:tc>
          <w:tcPr>
            <w:tcW w:w="7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61" w:hRule="atLeast"/>
        </w:trPr>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210</w:t>
            </w:r>
          </w:p>
        </w:tc>
        <w:tc>
          <w:tcPr>
            <w:tcW w:w="45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w:t>
            </w:r>
          </w:p>
        </w:tc>
        <w:tc>
          <w:tcPr>
            <w:tcW w:w="47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03</w:t>
            </w: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公务员医疗补助</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1.81</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1.81</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1.81</w:t>
            </w:r>
          </w:p>
        </w:tc>
        <w:tc>
          <w:tcPr>
            <w:tcW w:w="7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260" w:hRule="atLeast"/>
        </w:trPr>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213</w:t>
            </w:r>
          </w:p>
        </w:tc>
        <w:tc>
          <w:tcPr>
            <w:tcW w:w="45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47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农林水支出</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7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w:t>
            </w:r>
          </w:p>
        </w:tc>
        <w:tc>
          <w:tcPr>
            <w:tcW w:w="440"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3"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46"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260" w:hRule="atLeast"/>
        </w:trPr>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213</w:t>
            </w:r>
          </w:p>
        </w:tc>
        <w:tc>
          <w:tcPr>
            <w:tcW w:w="45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08</w:t>
            </w:r>
          </w:p>
        </w:tc>
        <w:tc>
          <w:tcPr>
            <w:tcW w:w="47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普惠金融发展支出</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7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w:t>
            </w:r>
          </w:p>
        </w:tc>
        <w:tc>
          <w:tcPr>
            <w:tcW w:w="440"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3"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46"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38" w:hRule="atLeast"/>
        </w:trPr>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213</w:t>
            </w:r>
          </w:p>
        </w:tc>
        <w:tc>
          <w:tcPr>
            <w:tcW w:w="45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08</w:t>
            </w:r>
          </w:p>
        </w:tc>
        <w:tc>
          <w:tcPr>
            <w:tcW w:w="47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99</w:t>
            </w: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其他普惠金融发展支出</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7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w:t>
            </w:r>
          </w:p>
        </w:tc>
        <w:tc>
          <w:tcPr>
            <w:tcW w:w="440"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3"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46"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260" w:hRule="atLeast"/>
        </w:trPr>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221</w:t>
            </w:r>
          </w:p>
        </w:tc>
        <w:tc>
          <w:tcPr>
            <w:tcW w:w="452"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i w:val="0"/>
                <w:color w:val="auto"/>
                <w:kern w:val="2"/>
                <w:sz w:val="20"/>
                <w:szCs w:val="20"/>
                <w:highlight w:val="none"/>
                <w:u w:val="none"/>
                <w:lang w:val="en-US" w:eastAsia="zh-CN" w:bidi="ar-SA"/>
              </w:rPr>
            </w:pPr>
          </w:p>
        </w:tc>
        <w:tc>
          <w:tcPr>
            <w:tcW w:w="47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住房保障支出</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56.58</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56.58</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56.58</w:t>
            </w:r>
          </w:p>
        </w:tc>
        <w:tc>
          <w:tcPr>
            <w:tcW w:w="7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3"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46"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260" w:hRule="atLeast"/>
        </w:trPr>
        <w:tc>
          <w:tcPr>
            <w:tcW w:w="570"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221</w:t>
            </w:r>
          </w:p>
        </w:tc>
        <w:tc>
          <w:tcPr>
            <w:tcW w:w="45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02</w:t>
            </w:r>
          </w:p>
        </w:tc>
        <w:tc>
          <w:tcPr>
            <w:tcW w:w="471"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2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住房改革支出</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56.58</w:t>
            </w:r>
          </w:p>
        </w:tc>
        <w:tc>
          <w:tcPr>
            <w:tcW w:w="93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56.58</w:t>
            </w:r>
          </w:p>
        </w:tc>
        <w:tc>
          <w:tcPr>
            <w:tcW w:w="9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56.58</w:t>
            </w:r>
          </w:p>
        </w:tc>
        <w:tc>
          <w:tcPr>
            <w:tcW w:w="7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3"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46" w:type="dxa"/>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2"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221</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02</w:t>
            </w:r>
          </w:p>
        </w:tc>
        <w:tc>
          <w:tcPr>
            <w:tcW w:w="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56.58</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56.58</w:t>
            </w: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56.58</w:t>
            </w: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592"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18"/>
                <w:szCs w:val="18"/>
                <w:u w:val="none"/>
                <w:lang w:val="en-US" w:eastAsia="zh-CN" w:bidi="ar"/>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18"/>
                <w:szCs w:val="18"/>
                <w:u w:val="none"/>
                <w:lang w:val="en-US" w:eastAsia="zh-CN" w:bidi="ar"/>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18"/>
                <w:szCs w:val="18"/>
                <w:u w:val="none"/>
                <w:lang w:val="en-US" w:eastAsia="zh-CN" w:bidi="ar"/>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18"/>
                <w:szCs w:val="18"/>
                <w:u w:val="none"/>
                <w:lang w:val="en-US" w:eastAsia="zh-CN" w:bidi="ar"/>
              </w:rPr>
            </w:pPr>
            <w:r>
              <w:rPr>
                <w:rFonts w:hint="eastAsia" w:eastAsia="仿宋_GB2312" w:cs="Times New Roman"/>
                <w:b/>
                <w:bCs/>
                <w:i w:val="0"/>
                <w:color w:val="000000"/>
                <w:kern w:val="0"/>
                <w:sz w:val="20"/>
                <w:szCs w:val="20"/>
                <w:u w:val="none"/>
                <w:lang w:val="en-US" w:eastAsia="zh-CN" w:bidi="ar"/>
              </w:rPr>
              <w:t>合   计</w:t>
            </w:r>
          </w:p>
        </w:tc>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eastAsia" w:eastAsia="仿宋_GB2312" w:cs="Times New Roman"/>
                <w:color w:val="auto"/>
                <w:sz w:val="20"/>
                <w:szCs w:val="20"/>
                <w:highlight w:val="none"/>
                <w:lang w:val="en-US" w:eastAsia="zh-CN"/>
              </w:rPr>
              <w:t>777.11</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eastAsia" w:eastAsia="仿宋_GB2312" w:cs="Times New Roman"/>
                <w:color w:val="auto"/>
                <w:sz w:val="20"/>
                <w:szCs w:val="20"/>
                <w:highlight w:val="none"/>
                <w:lang w:val="en-US" w:eastAsia="zh-CN"/>
              </w:rPr>
              <w:t>777.11</w:t>
            </w: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eastAsia" w:eastAsia="仿宋_GB2312" w:cs="Times New Roman"/>
                <w:color w:val="auto"/>
                <w:sz w:val="20"/>
                <w:szCs w:val="20"/>
                <w:highlight w:val="none"/>
                <w:lang w:val="en-US" w:eastAsia="zh-CN"/>
              </w:rPr>
              <w:t>747.11</w:t>
            </w: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仿宋_GB2312" w:hAnsi="宋体" w:eastAsia="仿宋_GB2312" w:cs="宋体"/>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w:t>
            </w: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3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单位支出总体情况表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焉耆回族自治县财政局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                               </w:t>
      </w:r>
    </w:p>
    <w:tbl>
      <w:tblPr>
        <w:tblStyle w:val="9"/>
        <w:tblW w:w="9420" w:type="dxa"/>
        <w:tblInd w:w="-240" w:type="dxa"/>
        <w:tblLayout w:type="autofit"/>
        <w:tblCellMar>
          <w:top w:w="0" w:type="dxa"/>
          <w:left w:w="108" w:type="dxa"/>
          <w:bottom w:w="0" w:type="dxa"/>
          <w:right w:w="108" w:type="dxa"/>
        </w:tblCellMar>
      </w:tblPr>
      <w:tblGrid>
        <w:gridCol w:w="516"/>
        <w:gridCol w:w="417"/>
        <w:gridCol w:w="417"/>
        <w:gridCol w:w="2551"/>
        <w:gridCol w:w="1826"/>
        <w:gridCol w:w="1824"/>
        <w:gridCol w:w="1869"/>
      </w:tblGrid>
      <w:tr>
        <w:tblPrEx>
          <w:tblCellMar>
            <w:top w:w="0" w:type="dxa"/>
            <w:left w:w="108" w:type="dxa"/>
            <w:bottom w:w="0" w:type="dxa"/>
            <w:right w:w="108" w:type="dxa"/>
          </w:tblCellMar>
        </w:tblPrEx>
        <w:trPr>
          <w:trHeight w:val="328" w:hRule="atLeast"/>
        </w:trPr>
        <w:tc>
          <w:tcPr>
            <w:tcW w:w="388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科</w:t>
            </w:r>
            <w:r>
              <w:rPr>
                <w:rFonts w:hint="eastAsia" w:ascii="仿宋_GB2312" w:hAnsi="仿宋_GB2312" w:eastAsia="仿宋_GB2312" w:cs="仿宋_GB2312"/>
                <w:b/>
                <w:bCs/>
                <w:color w:val="auto"/>
                <w:kern w:val="0"/>
                <w:sz w:val="24"/>
                <w:szCs w:val="24"/>
                <w:highlight w:val="none"/>
              </w:rPr>
              <w:t xml:space="preserve">    目</w:t>
            </w:r>
          </w:p>
        </w:tc>
        <w:tc>
          <w:tcPr>
            <w:tcW w:w="5538"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功能分类科目编码</w:t>
            </w:r>
          </w:p>
        </w:tc>
        <w:tc>
          <w:tcPr>
            <w:tcW w:w="256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功能分类科目名称</w:t>
            </w:r>
          </w:p>
        </w:tc>
        <w:tc>
          <w:tcPr>
            <w:tcW w:w="183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82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基本支出</w:t>
            </w:r>
          </w:p>
        </w:tc>
        <w:tc>
          <w:tcPr>
            <w:tcW w:w="187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w:t>
            </w:r>
          </w:p>
        </w:tc>
        <w:tc>
          <w:tcPr>
            <w:tcW w:w="256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3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2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7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一般公共服务支出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530.42</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530.42</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06</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财政事务</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530.42</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530.42</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06</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145.14</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145.14</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06</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50</w:t>
            </w: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事业运行</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385.28</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385.28</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社会保障和就业支出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123.47</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123.47</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208</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行政事业单位养老支出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123.47</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123.47</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行政单位离退休</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5.05</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5.05</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02</w:t>
            </w: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事业单位离退休</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4.36</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4.36</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76.68</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76.68</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06</w:t>
            </w: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机关事业单位职业年金缴费支出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37.38</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37.38</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卫生健康支出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36.64</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36.64</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210</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行政事业单位医疗</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36.64</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36.64</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行政单位医疗</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7.09</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7.09</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02</w:t>
            </w: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事业单位医疗</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27.7</w:t>
            </w:r>
            <w:r>
              <w:rPr>
                <w:rFonts w:hint="eastAsia" w:ascii="Times New Roman" w:hAnsi="Times New Roman" w:eastAsia="仿宋_GB2312" w:cs="Times New Roman"/>
                <w:color w:val="auto"/>
                <w:sz w:val="21"/>
                <w:szCs w:val="21"/>
                <w:highlight w:val="none"/>
                <w:lang w:val="en-US" w:eastAsia="zh-CN"/>
              </w:rPr>
              <w:t>4</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27.7</w:t>
            </w:r>
            <w:r>
              <w:rPr>
                <w:rFonts w:hint="eastAsia" w:ascii="Times New Roman" w:hAnsi="Times New Roman" w:eastAsia="仿宋_GB2312" w:cs="Times New Roman"/>
                <w:color w:val="auto"/>
                <w:sz w:val="21"/>
                <w:szCs w:val="21"/>
                <w:highlight w:val="none"/>
                <w:lang w:val="en-US" w:eastAsia="zh-CN"/>
              </w:rPr>
              <w:t>4</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03</w:t>
            </w: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公务员医疗补助</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1.81</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1.81</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213</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农林水支出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30</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p>
        </w:tc>
        <w:tc>
          <w:tcPr>
            <w:tcW w:w="18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30</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213</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08</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普惠金融发展支出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30</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p>
        </w:tc>
        <w:tc>
          <w:tcPr>
            <w:tcW w:w="18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30</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213</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08</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99</w:t>
            </w: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其他普惠金融发展支出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30</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p>
        </w:tc>
        <w:tc>
          <w:tcPr>
            <w:tcW w:w="18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30</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住房保障支出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56.58</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56.58</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221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02</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住房改革支出</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56.58</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56.58</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02</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256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56.58</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56.58</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　</w:t>
            </w:r>
          </w:p>
        </w:tc>
        <w:tc>
          <w:tcPr>
            <w:tcW w:w="25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4"/>
                <w:szCs w:val="24"/>
                <w:highlight w:val="none"/>
              </w:rPr>
            </w:pPr>
            <w:r>
              <w:rPr>
                <w:rFonts w:hint="default" w:ascii="Times New Roman" w:hAnsi="Times New Roman" w:eastAsia="仿宋_GB2312" w:cs="Times New Roman"/>
                <w:b/>
                <w:bCs/>
                <w:color w:val="auto"/>
                <w:kern w:val="0"/>
                <w:sz w:val="21"/>
                <w:szCs w:val="21"/>
                <w:highlight w:val="none"/>
              </w:rPr>
              <w:t>合  计</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777.11</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747.11</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仿宋_GB2312" w:cs="Times New Roman"/>
                <w:color w:val="auto"/>
                <w:sz w:val="21"/>
                <w:szCs w:val="21"/>
                <w:highlight w:val="none"/>
                <w:lang w:val="en-US" w:eastAsia="zh-CN"/>
              </w:rPr>
              <w:t>30</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pPr>
        <w:widowControl/>
        <w:spacing w:before="120" w:beforeLines="50" w:line="280" w:lineRule="exact"/>
        <w:jc w:val="left"/>
        <w:outlineLvl w:val="1"/>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编制单位：</w:t>
      </w:r>
      <w:r>
        <w:rPr>
          <w:rFonts w:hint="eastAsia" w:ascii="仿宋_GB2312" w:hAnsi="宋体" w:eastAsia="仿宋_GB2312"/>
          <w:color w:val="auto"/>
          <w:kern w:val="0"/>
          <w:sz w:val="24"/>
          <w:highlight w:val="none"/>
          <w:lang w:eastAsia="zh-CN"/>
        </w:rPr>
        <w:t>焉耆回族自治县财政局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lang w:val="en-US" w:eastAsia="zh-CN"/>
        </w:rPr>
        <w:t xml:space="preserve">               </w:t>
      </w:r>
      <w:r>
        <w:rPr>
          <w:rFonts w:hint="eastAsia" w:ascii="仿宋_GB2312" w:hAnsi="宋体" w:eastAsia="仿宋_GB2312"/>
          <w:color w:val="auto"/>
          <w:kern w:val="0"/>
          <w:sz w:val="24"/>
          <w:szCs w:val="24"/>
          <w:highlight w:val="none"/>
        </w:rPr>
        <w:t xml:space="preserve">     单位：万元                                 </w:t>
      </w:r>
    </w:p>
    <w:tbl>
      <w:tblPr>
        <w:tblStyle w:val="9"/>
        <w:tblW w:w="9449" w:type="dxa"/>
        <w:tblInd w:w="-240" w:type="dxa"/>
        <w:tblLayout w:type="autofit"/>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政府性基金预算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777.11</w:t>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530.42</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530.42</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777.11</w:t>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123.47</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123.47</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36.64</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36.64</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30</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30</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56.58</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56.58</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1"/>
                <w:szCs w:val="21"/>
                <w:highlight w:val="none"/>
              </w:rPr>
            </w:pPr>
            <w:r>
              <w:rPr>
                <w:rFonts w:hint="default" w:ascii="Times New Roman" w:hAnsi="Times New Roman" w:eastAsia="仿宋_GB2312" w:cs="Times New Roman"/>
                <w:color w:val="auto"/>
                <w:kern w:val="0"/>
                <w:sz w:val="20"/>
                <w:szCs w:val="20"/>
                <w:highlight w:val="none"/>
                <w:lang w:val="en-US" w:eastAsia="zh-CN"/>
              </w:rPr>
              <w:t>777.11</w:t>
            </w:r>
            <w:r>
              <w:rPr>
                <w:rFonts w:hint="default" w:ascii="Times New Roman" w:hAnsi="Times New Roman" w:eastAsia="仿宋_GB2312" w:cs="Times New Roman"/>
                <w:b/>
                <w:bCs/>
                <w:color w:val="auto"/>
                <w:kern w:val="0"/>
                <w:sz w:val="21"/>
                <w:szCs w:val="21"/>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777.11</w:t>
            </w:r>
            <w:r>
              <w:rPr>
                <w:rFonts w:hint="default" w:ascii="Times New Roman" w:hAnsi="Times New Roman" w:cs="Times New Roman"/>
                <w:color w:val="auto"/>
                <w:kern w:val="0"/>
                <w:sz w:val="24"/>
                <w:szCs w:val="24"/>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777.11</w:t>
            </w:r>
            <w:r>
              <w:rPr>
                <w:rFonts w:hint="default" w:ascii="Times New Roman" w:hAnsi="Times New Roman" w:cs="Times New Roman"/>
                <w:color w:val="auto"/>
                <w:kern w:val="0"/>
                <w:sz w:val="24"/>
                <w:szCs w:val="24"/>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表5</w:t>
      </w:r>
    </w:p>
    <w:tbl>
      <w:tblPr>
        <w:tblStyle w:val="9"/>
        <w:tblW w:w="9214" w:type="dxa"/>
        <w:tblInd w:w="-34" w:type="dxa"/>
        <w:tblLayout w:type="autofit"/>
        <w:tblCellMar>
          <w:top w:w="0" w:type="dxa"/>
          <w:left w:w="108" w:type="dxa"/>
          <w:bottom w:w="0" w:type="dxa"/>
          <w:right w:w="108" w:type="dxa"/>
        </w:tblCellMar>
      </w:tblPr>
      <w:tblGrid>
        <w:gridCol w:w="516"/>
        <w:gridCol w:w="498"/>
        <w:gridCol w:w="502"/>
        <w:gridCol w:w="2493"/>
        <w:gridCol w:w="659"/>
        <w:gridCol w:w="1019"/>
        <w:gridCol w:w="216"/>
        <w:gridCol w:w="1619"/>
        <w:gridCol w:w="1692"/>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3993" w:type="dxa"/>
            <w:gridSpan w:val="4"/>
            <w:tcBorders>
              <w:top w:val="nil"/>
              <w:left w:val="nil"/>
              <w:bottom w:val="nil"/>
              <w:right w:val="nil"/>
            </w:tcBorders>
            <w:noWrap w:val="0"/>
            <w:vAlign w:val="center"/>
          </w:tcPr>
          <w:p>
            <w:pPr>
              <w:widowControl/>
              <w:jc w:val="left"/>
              <w:rPr>
                <w:rFonts w:hint="eastAsia"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eastAsia="zh-CN"/>
              </w:rPr>
              <w:t>焉耆回族自治县财政局</w:t>
            </w:r>
            <w:r>
              <w:rPr>
                <w:rFonts w:hint="eastAsia" w:ascii="仿宋_GB2312" w:hAnsi="宋体" w:eastAsia="仿宋_GB2312"/>
                <w:color w:val="auto"/>
                <w:kern w:val="0"/>
                <w:sz w:val="24"/>
                <w:highlight w:val="none"/>
              </w:rPr>
              <w:t xml:space="preserve"> </w:t>
            </w:r>
          </w:p>
        </w:tc>
        <w:tc>
          <w:tcPr>
            <w:tcW w:w="660"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239"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3322" w:type="dxa"/>
            <w:gridSpan w:val="2"/>
            <w:tcBorders>
              <w:top w:val="nil"/>
              <w:left w:val="nil"/>
              <w:bottom w:val="nil"/>
              <w:right w:val="nil"/>
            </w:tcBorders>
            <w:noWrap w:val="0"/>
            <w:vAlign w:val="center"/>
          </w:tcPr>
          <w:p>
            <w:pPr>
              <w:widowControl/>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3993"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科</w:t>
            </w:r>
            <w:r>
              <w:rPr>
                <w:rFonts w:hint="eastAsia" w:ascii="仿宋_GB2312" w:hAnsi="宋体" w:eastAsia="仿宋_GB2312" w:cs="宋体"/>
                <w:b/>
                <w:bCs/>
                <w:color w:val="auto"/>
                <w:kern w:val="0"/>
                <w:sz w:val="24"/>
                <w:szCs w:val="24"/>
                <w:highlight w:val="none"/>
              </w:rPr>
              <w:t xml:space="preserve">  目</w:t>
            </w:r>
          </w:p>
        </w:tc>
        <w:tc>
          <w:tcPr>
            <w:tcW w:w="5221"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488"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50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683"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84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69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250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683"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84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6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201</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一般公共服务支出</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530.42</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530.42</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1"/>
                <w:szCs w:val="21"/>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201</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06</w:t>
            </w: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财政事务</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530.42</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530.42</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1"/>
                <w:szCs w:val="21"/>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201</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06</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145.14</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145.14</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1"/>
                <w:szCs w:val="21"/>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201</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06</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50</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事业运行</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385.28</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385.28</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1"/>
                <w:szCs w:val="21"/>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社会保障和就业支出</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123.47</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123.47</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1"/>
                <w:szCs w:val="21"/>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208</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行政事业单位养老支出</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123.47</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123.47</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1"/>
                <w:szCs w:val="21"/>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行政单位离退休</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5.05</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5.05</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1"/>
                <w:szCs w:val="21"/>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02</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事业单位离退休</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4.36</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4.36</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1"/>
                <w:szCs w:val="21"/>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机关事业单位基本养老保险缴费支出</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76.68</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76.68</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06</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机关事业单位职业年金缴费支出</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37.38</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37.38</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卫生健康支出</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36.64</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36.64</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1"/>
                <w:szCs w:val="21"/>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210</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w:t>
            </w: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行政事业单位医疗</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36.64</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36.64</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1"/>
                <w:szCs w:val="21"/>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行政单位医疗</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7.09</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7.09</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1"/>
                <w:szCs w:val="21"/>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02</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事业单位医疗</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27.7</w:t>
            </w:r>
            <w:r>
              <w:rPr>
                <w:rFonts w:hint="eastAsia" w:ascii="Times New Roman" w:hAnsi="Times New Roman" w:eastAsia="仿宋_GB2312" w:cs="Times New Roman"/>
                <w:color w:val="auto"/>
                <w:sz w:val="21"/>
                <w:szCs w:val="21"/>
                <w:highlight w:val="none"/>
                <w:lang w:val="en-US" w:eastAsia="zh-CN"/>
              </w:rPr>
              <w:t>4</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27.7</w:t>
            </w:r>
            <w:r>
              <w:rPr>
                <w:rFonts w:hint="eastAsia" w:ascii="Times New Roman" w:hAnsi="Times New Roman" w:eastAsia="仿宋_GB2312" w:cs="Times New Roman"/>
                <w:color w:val="auto"/>
                <w:sz w:val="21"/>
                <w:szCs w:val="21"/>
                <w:highlight w:val="none"/>
                <w:lang w:val="en-US" w:eastAsia="zh-CN"/>
              </w:rPr>
              <w:t>4</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1"/>
                <w:szCs w:val="21"/>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03</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公务员医疗补助</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1.81</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1.81</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1"/>
                <w:szCs w:val="21"/>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213</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农林水支出</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30</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p>
        </w:tc>
        <w:tc>
          <w:tcPr>
            <w:tcW w:w="169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30</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213</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08</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普惠金融发展支出</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30</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p>
        </w:tc>
        <w:tc>
          <w:tcPr>
            <w:tcW w:w="169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30</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213</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08</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99</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其他普惠金融发展支出</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30</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p>
        </w:tc>
        <w:tc>
          <w:tcPr>
            <w:tcW w:w="169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30</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221</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住房保障支出</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56.58</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56.58</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221</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02</w:t>
            </w: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auto"/>
                <w:kern w:val="2"/>
                <w:sz w:val="20"/>
                <w:szCs w:val="20"/>
                <w:highlight w:val="none"/>
                <w:u w:val="none"/>
                <w:lang w:val="en-US" w:eastAsia="zh-CN" w:bidi="ar-SA"/>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住房改革支出</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56.58</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56.58</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221</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02</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68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56.58</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56.58</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1"/>
                <w:szCs w:val="21"/>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1"/>
                <w:szCs w:val="21"/>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1"/>
                <w:szCs w:val="21"/>
                <w:highlight w:val="none"/>
              </w:rPr>
            </w:pPr>
          </w:p>
        </w:tc>
        <w:tc>
          <w:tcPr>
            <w:tcW w:w="250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合  计</w:t>
            </w:r>
          </w:p>
        </w:tc>
        <w:tc>
          <w:tcPr>
            <w:tcW w:w="168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777.11</w:t>
            </w:r>
          </w:p>
        </w:tc>
        <w:tc>
          <w:tcPr>
            <w:tcW w:w="184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747.11</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30</w:t>
            </w:r>
          </w:p>
        </w:tc>
      </w:tr>
    </w:tbl>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表6</w:t>
      </w:r>
    </w:p>
    <w:tbl>
      <w:tblPr>
        <w:tblStyle w:val="9"/>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eastAsia="zh-CN"/>
              </w:rPr>
              <w:t>焉耆回族自治县财政局</w:t>
            </w:r>
            <w:r>
              <w:rPr>
                <w:rFonts w:hint="eastAsia" w:ascii="仿宋_GB2312" w:hAnsi="宋体" w:eastAsia="仿宋_GB2312"/>
                <w:color w:val="auto"/>
                <w:kern w:val="0"/>
                <w:sz w:val="24"/>
                <w:highlight w:val="none"/>
              </w:rPr>
              <w:t xml:space="preserve"> </w:t>
            </w:r>
          </w:p>
        </w:tc>
        <w:tc>
          <w:tcPr>
            <w:tcW w:w="995"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 xml:space="preserve">科  </w:t>
            </w:r>
            <w:r>
              <w:rPr>
                <w:rFonts w:hint="eastAsia" w:ascii="仿宋_GB2312" w:hAnsi="宋体" w:eastAsia="仿宋_GB2312" w:cs="宋体"/>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336"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工资福利支出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714.70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714.70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6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基本工资</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241.58</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241.58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49"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津贴补贴</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258.24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258.24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74.76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74.76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08"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职业年金缴费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37.38</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37.38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10</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职工基本医疗保险缴费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33.82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33.82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公务员医疗补助缴费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1.81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1.81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其他社会保障缴费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3.32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3.32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49"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13</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56.07</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56.07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99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其他工资福利支出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7.72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7.72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49"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商品和服务支出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23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办公费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5.25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5.25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印刷费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1.69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1.69</w:t>
            </w:r>
          </w:p>
        </w:tc>
      </w:tr>
      <w:tr>
        <w:tblPrEx>
          <w:tblCellMar>
            <w:top w:w="0" w:type="dxa"/>
            <w:left w:w="108" w:type="dxa"/>
            <w:bottom w:w="0" w:type="dxa"/>
            <w:right w:w="108" w:type="dxa"/>
          </w:tblCellMar>
        </w:tblPrEx>
        <w:trPr>
          <w:trHeight w:val="268"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1.55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1.55</w:t>
            </w:r>
          </w:p>
        </w:tc>
      </w:tr>
      <w:tr>
        <w:tblPrEx>
          <w:tblCellMar>
            <w:top w:w="0" w:type="dxa"/>
            <w:left w:w="108" w:type="dxa"/>
            <w:bottom w:w="0" w:type="dxa"/>
            <w:right w:w="108" w:type="dxa"/>
          </w:tblCellMar>
        </w:tblPrEx>
        <w:trPr>
          <w:trHeight w:val="335"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06</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电费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1.83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1.83</w:t>
            </w:r>
          </w:p>
        </w:tc>
      </w:tr>
      <w:tr>
        <w:tblPrEx>
          <w:tblCellMar>
            <w:top w:w="0" w:type="dxa"/>
            <w:left w:w="108" w:type="dxa"/>
            <w:bottom w:w="0" w:type="dxa"/>
            <w:right w:w="108" w:type="dxa"/>
          </w:tblCellMar>
        </w:tblPrEx>
        <w:trPr>
          <w:trHeight w:val="36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07</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邮电费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1.9</w:t>
            </w:r>
            <w:r>
              <w:rPr>
                <w:rFonts w:hint="eastAsia" w:cs="Times New Roman"/>
                <w:color w:val="auto"/>
                <w:kern w:val="0"/>
                <w:sz w:val="20"/>
                <w:szCs w:val="20"/>
                <w:highlight w:val="none"/>
                <w:lang w:val="en-US" w:eastAsia="zh-CN"/>
              </w:rPr>
              <w:t>8</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1.9</w:t>
            </w:r>
            <w:r>
              <w:rPr>
                <w:rFonts w:hint="eastAsia" w:cs="Times New Roman"/>
                <w:color w:val="auto"/>
                <w:kern w:val="0"/>
                <w:sz w:val="20"/>
                <w:szCs w:val="20"/>
                <w:highlight w:val="none"/>
                <w:lang w:val="en-US" w:eastAsia="zh-CN"/>
              </w:rPr>
              <w:t>8</w:t>
            </w:r>
          </w:p>
        </w:tc>
      </w:tr>
      <w:tr>
        <w:tblPrEx>
          <w:tblCellMar>
            <w:top w:w="0" w:type="dxa"/>
            <w:left w:w="108" w:type="dxa"/>
            <w:bottom w:w="0" w:type="dxa"/>
            <w:right w:w="108" w:type="dxa"/>
          </w:tblCellMar>
        </w:tblPrEx>
        <w:trPr>
          <w:trHeight w:val="349"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取暖费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5.43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5.43</w:t>
            </w:r>
          </w:p>
        </w:tc>
      </w:tr>
      <w:tr>
        <w:tblPrEx>
          <w:tblCellMar>
            <w:top w:w="0" w:type="dxa"/>
            <w:left w:w="108" w:type="dxa"/>
            <w:bottom w:w="0" w:type="dxa"/>
            <w:right w:w="108" w:type="dxa"/>
          </w:tblCellMar>
        </w:tblPrEx>
        <w:trPr>
          <w:trHeight w:val="32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17</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公务接待费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1.10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1.10</w:t>
            </w:r>
          </w:p>
        </w:tc>
      </w:tr>
      <w:tr>
        <w:tblPrEx>
          <w:tblCellMar>
            <w:top w:w="0" w:type="dxa"/>
            <w:left w:w="108" w:type="dxa"/>
            <w:bottom w:w="0" w:type="dxa"/>
            <w:right w:w="108" w:type="dxa"/>
          </w:tblCellMar>
        </w:tblPrEx>
        <w:trPr>
          <w:trHeight w:val="32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工会费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0.09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0.09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福利费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0.08</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0.08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公务用车运行维护费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cs="Times New Roman"/>
                <w:color w:val="auto"/>
                <w:kern w:val="0"/>
                <w:sz w:val="21"/>
                <w:szCs w:val="21"/>
                <w:highlight w:val="none"/>
              </w:rPr>
            </w:pPr>
            <w:r>
              <w:rPr>
                <w:rFonts w:hint="default" w:ascii="Times New Roman" w:hAnsi="Times New Roman" w:eastAsia="仿宋_GB2312" w:cs="Times New Roman"/>
                <w:i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1"/>
                <w:szCs w:val="21"/>
                <w:highlight w:val="none"/>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cs="Times New Roman"/>
                <w:color w:val="auto"/>
                <w:kern w:val="0"/>
                <w:sz w:val="21"/>
                <w:szCs w:val="21"/>
                <w:highlight w:val="none"/>
              </w:rPr>
            </w:pPr>
            <w:r>
              <w:rPr>
                <w:rFonts w:hint="default" w:ascii="Times New Roman" w:hAnsi="Times New Roman" w:eastAsia="仿宋_GB2312" w:cs="Times New Roman"/>
                <w:i w:val="0"/>
                <w:color w:val="000000"/>
                <w:kern w:val="0"/>
                <w:sz w:val="20"/>
                <w:szCs w:val="20"/>
                <w:u w:val="none"/>
                <w:lang w:val="en-US" w:eastAsia="zh-CN" w:bidi="ar"/>
              </w:rPr>
              <w:t>对个人和家庭的补助</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9.41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eastAsia" w:cs="Times New Roman"/>
                <w:color w:val="auto"/>
                <w:kern w:val="0"/>
                <w:sz w:val="20"/>
                <w:szCs w:val="20"/>
                <w:highlight w:val="none"/>
                <w:lang w:val="en-US" w:eastAsia="zh-CN"/>
              </w:rPr>
              <w:t>9.41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1"/>
                <w:szCs w:val="21"/>
                <w:highlight w:val="none"/>
              </w:rPr>
            </w:pPr>
            <w:r>
              <w:rPr>
                <w:rFonts w:hint="default" w:ascii="Times New Roman" w:hAnsi="Times New Roman" w:eastAsia="仿宋_GB2312" w:cs="Times New Roman"/>
                <w:i w:val="0"/>
                <w:color w:val="000000"/>
                <w:kern w:val="2"/>
                <w:sz w:val="20"/>
                <w:szCs w:val="20"/>
                <w:u w:val="none"/>
                <w:lang w:val="en-US" w:eastAsia="zh-CN" w:bidi="ar-SA"/>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cs="Times New Roman"/>
                <w:color w:val="auto"/>
                <w:kern w:val="0"/>
                <w:sz w:val="21"/>
                <w:szCs w:val="21"/>
                <w:highlight w:val="none"/>
              </w:rPr>
            </w:pPr>
            <w:r>
              <w:rPr>
                <w:rFonts w:hint="default" w:ascii="Times New Roman" w:hAnsi="Times New Roman" w:eastAsia="仿宋_GB2312" w:cs="Times New Roman"/>
                <w:i w:val="0"/>
                <w:color w:val="000000"/>
                <w:kern w:val="0"/>
                <w:sz w:val="20"/>
                <w:szCs w:val="20"/>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cs="Times New Roman"/>
                <w:color w:val="auto"/>
                <w:kern w:val="0"/>
                <w:sz w:val="21"/>
                <w:szCs w:val="21"/>
                <w:highlight w:val="none"/>
              </w:rPr>
            </w:pPr>
            <w:r>
              <w:rPr>
                <w:rFonts w:hint="default" w:ascii="Times New Roman" w:hAnsi="Times New Roman" w:eastAsia="仿宋_GB2312" w:cs="Times New Roman"/>
                <w:i w:val="0"/>
                <w:color w:val="000000"/>
                <w:kern w:val="0"/>
                <w:sz w:val="20"/>
                <w:szCs w:val="20"/>
                <w:u w:val="none"/>
                <w:lang w:val="en-US" w:eastAsia="zh-CN" w:bidi="ar"/>
              </w:rPr>
              <w:t>退休费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9.41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eastAsia" w:cs="Times New Roman"/>
                <w:color w:val="auto"/>
                <w:kern w:val="0"/>
                <w:sz w:val="20"/>
                <w:szCs w:val="20"/>
                <w:highlight w:val="none"/>
                <w:lang w:val="en-US" w:eastAsia="zh-CN"/>
              </w:rPr>
              <w:t>9.41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747.11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eastAsia" w:cs="Times New Roman"/>
                <w:color w:val="auto"/>
                <w:kern w:val="0"/>
                <w:sz w:val="20"/>
                <w:szCs w:val="20"/>
                <w:highlight w:val="none"/>
                <w:lang w:val="en-US" w:eastAsia="zh-CN"/>
              </w:rPr>
              <w:t>724.11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eastAsia" w:cs="Times New Roman"/>
                <w:color w:val="auto"/>
                <w:kern w:val="0"/>
                <w:sz w:val="20"/>
                <w:szCs w:val="20"/>
                <w:highlight w:val="none"/>
                <w:lang w:val="en-US" w:eastAsia="zh-CN"/>
              </w:rPr>
              <w:t>23</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9"/>
        <w:tblW w:w="10983" w:type="dxa"/>
        <w:tblInd w:w="-1122" w:type="dxa"/>
        <w:tblLayout w:type="fixed"/>
        <w:tblCellMar>
          <w:top w:w="0" w:type="dxa"/>
          <w:left w:w="108" w:type="dxa"/>
          <w:bottom w:w="0" w:type="dxa"/>
          <w:right w:w="108" w:type="dxa"/>
        </w:tblCellMar>
      </w:tblPr>
      <w:tblGrid>
        <w:gridCol w:w="616"/>
        <w:gridCol w:w="517"/>
        <w:gridCol w:w="433"/>
        <w:gridCol w:w="1607"/>
        <w:gridCol w:w="1994"/>
        <w:gridCol w:w="446"/>
        <w:gridCol w:w="707"/>
        <w:gridCol w:w="573"/>
        <w:gridCol w:w="374"/>
        <w:gridCol w:w="506"/>
        <w:gridCol w:w="547"/>
        <w:gridCol w:w="533"/>
        <w:gridCol w:w="400"/>
        <w:gridCol w:w="440"/>
        <w:gridCol w:w="535"/>
        <w:gridCol w:w="388"/>
        <w:gridCol w:w="263"/>
        <w:gridCol w:w="104"/>
      </w:tblGrid>
      <w:tr>
        <w:tblPrEx>
          <w:tblCellMar>
            <w:top w:w="0" w:type="dxa"/>
            <w:left w:w="108" w:type="dxa"/>
            <w:bottom w:w="0" w:type="dxa"/>
            <w:right w:w="108" w:type="dxa"/>
          </w:tblCellMar>
        </w:tblPrEx>
        <w:trPr>
          <w:gridAfter w:val="3"/>
          <w:wAfter w:w="755" w:type="dxa"/>
          <w:trHeight w:val="375" w:hRule="atLeast"/>
        </w:trPr>
        <w:tc>
          <w:tcPr>
            <w:tcW w:w="10228" w:type="dxa"/>
            <w:gridSpan w:val="15"/>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After w:val="1"/>
          <w:wAfter w:w="104" w:type="dxa"/>
          <w:trHeight w:val="405" w:hRule="atLeast"/>
        </w:trPr>
        <w:tc>
          <w:tcPr>
            <w:tcW w:w="5167" w:type="dxa"/>
            <w:gridSpan w:val="5"/>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eastAsia="zh-CN"/>
              </w:rPr>
              <w:t>焉耆回族自治县财政局</w:t>
            </w:r>
            <w:r>
              <w:rPr>
                <w:rFonts w:hint="eastAsia" w:ascii="仿宋_GB2312" w:hAnsi="宋体" w:eastAsia="仿宋_GB2312"/>
                <w:color w:val="auto"/>
                <w:kern w:val="0"/>
                <w:sz w:val="24"/>
                <w:highlight w:val="none"/>
              </w:rPr>
              <w:t xml:space="preserve"> </w:t>
            </w:r>
          </w:p>
        </w:tc>
        <w:tc>
          <w:tcPr>
            <w:tcW w:w="2100" w:type="dxa"/>
            <w:gridSpan w:val="4"/>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506"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3106" w:type="dxa"/>
            <w:gridSpan w:val="7"/>
            <w:tcBorders>
              <w:top w:val="nil"/>
              <w:left w:val="nil"/>
              <w:bottom w:val="nil"/>
              <w:right w:val="nil"/>
            </w:tcBorders>
            <w:noWrap w:val="0"/>
            <w:vAlign w:val="center"/>
          </w:tcPr>
          <w:p>
            <w:pPr>
              <w:widowControl/>
              <w:ind w:firstLine="960" w:firstLineChars="4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66" w:type="dxa"/>
            <w:gridSpan w:val="3"/>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1607"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2440" w:type="dxa"/>
            <w:gridSpan w:val="2"/>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07"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573"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374"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506"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547"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533"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40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44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535"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38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367"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16"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5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33"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1607"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2440"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07"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73"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374"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06"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47"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33"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4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35"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38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367"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6"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213</w:t>
            </w:r>
          </w:p>
        </w:tc>
        <w:tc>
          <w:tcPr>
            <w:tcW w:w="517"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Hans" w:bidi="ar"/>
              </w:rPr>
            </w:pPr>
          </w:p>
        </w:tc>
        <w:tc>
          <w:tcPr>
            <w:tcW w:w="433"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1607" w:type="dxa"/>
            <w:noWrap w:val="0"/>
            <w:vAlign w:val="center"/>
          </w:tcPr>
          <w:p>
            <w:pPr>
              <w:widowControl/>
              <w:jc w:val="left"/>
              <w:outlineLvl w:val="1"/>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农林水支出</w:t>
            </w:r>
          </w:p>
        </w:tc>
        <w:tc>
          <w:tcPr>
            <w:tcW w:w="2440" w:type="dxa"/>
            <w:gridSpan w:val="2"/>
            <w:noWrap w:val="0"/>
            <w:vAlign w:val="top"/>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　</w:t>
            </w:r>
          </w:p>
        </w:tc>
        <w:tc>
          <w:tcPr>
            <w:tcW w:w="707"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30</w:t>
            </w:r>
          </w:p>
        </w:tc>
        <w:tc>
          <w:tcPr>
            <w:tcW w:w="573"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374"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506"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547"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533"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400"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440"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53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30</w:t>
            </w:r>
          </w:p>
        </w:tc>
        <w:tc>
          <w:tcPr>
            <w:tcW w:w="388" w:type="dxa"/>
            <w:noWrap w:val="0"/>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w:t>
            </w:r>
          </w:p>
        </w:tc>
        <w:tc>
          <w:tcPr>
            <w:tcW w:w="367" w:type="dxa"/>
            <w:gridSpan w:val="2"/>
            <w:noWrap w:val="0"/>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6"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213</w:t>
            </w:r>
          </w:p>
        </w:tc>
        <w:tc>
          <w:tcPr>
            <w:tcW w:w="517"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08</w:t>
            </w:r>
          </w:p>
        </w:tc>
        <w:tc>
          <w:tcPr>
            <w:tcW w:w="433"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1607" w:type="dxa"/>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普惠金融发展支出</w:t>
            </w:r>
          </w:p>
        </w:tc>
        <w:tc>
          <w:tcPr>
            <w:tcW w:w="2440" w:type="dxa"/>
            <w:gridSpan w:val="2"/>
            <w:noWrap w:val="0"/>
            <w:vAlign w:val="top"/>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　　</w:t>
            </w:r>
          </w:p>
        </w:tc>
        <w:tc>
          <w:tcPr>
            <w:tcW w:w="707"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30</w:t>
            </w:r>
          </w:p>
        </w:tc>
        <w:tc>
          <w:tcPr>
            <w:tcW w:w="573"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374"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506"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547"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533"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400"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440"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53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30</w:t>
            </w:r>
          </w:p>
        </w:tc>
        <w:tc>
          <w:tcPr>
            <w:tcW w:w="388" w:type="dxa"/>
            <w:noWrap w:val="0"/>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w:t>
            </w:r>
          </w:p>
        </w:tc>
        <w:tc>
          <w:tcPr>
            <w:tcW w:w="367" w:type="dxa"/>
            <w:gridSpan w:val="2"/>
            <w:noWrap w:val="0"/>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6"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213</w:t>
            </w:r>
          </w:p>
        </w:tc>
        <w:tc>
          <w:tcPr>
            <w:tcW w:w="517"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08</w:t>
            </w:r>
          </w:p>
        </w:tc>
        <w:tc>
          <w:tcPr>
            <w:tcW w:w="433"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99</w:t>
            </w:r>
          </w:p>
        </w:tc>
        <w:tc>
          <w:tcPr>
            <w:tcW w:w="1607" w:type="dxa"/>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其他普惠金融发展支出</w:t>
            </w:r>
          </w:p>
        </w:tc>
        <w:tc>
          <w:tcPr>
            <w:tcW w:w="2440"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巴财企【2024】56号2025年中央财政普惠金融发展专项资金</w:t>
            </w:r>
          </w:p>
        </w:tc>
        <w:tc>
          <w:tcPr>
            <w:tcW w:w="707"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30</w:t>
            </w:r>
          </w:p>
        </w:tc>
        <w:tc>
          <w:tcPr>
            <w:tcW w:w="573"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374"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506"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547"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533"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400"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440"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p>
        </w:tc>
        <w:tc>
          <w:tcPr>
            <w:tcW w:w="53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30</w:t>
            </w:r>
          </w:p>
        </w:tc>
        <w:tc>
          <w:tcPr>
            <w:tcW w:w="388" w:type="dxa"/>
            <w:noWrap w:val="0"/>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w:t>
            </w:r>
          </w:p>
        </w:tc>
        <w:tc>
          <w:tcPr>
            <w:tcW w:w="367" w:type="dxa"/>
            <w:gridSpan w:val="2"/>
            <w:noWrap w:val="0"/>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244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07"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18"/>
                <w:szCs w:val="18"/>
                <w:u w:val="none"/>
                <w:lang w:val="en-US" w:eastAsia="zh-CN" w:bidi="ar"/>
              </w:rPr>
            </w:pPr>
          </w:p>
        </w:tc>
        <w:tc>
          <w:tcPr>
            <w:tcW w:w="573"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18"/>
                <w:szCs w:val="18"/>
                <w:u w:val="none"/>
                <w:lang w:val="en-US" w:eastAsia="zh-CN" w:bidi="ar"/>
              </w:rPr>
            </w:pPr>
          </w:p>
        </w:tc>
        <w:tc>
          <w:tcPr>
            <w:tcW w:w="374"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18"/>
                <w:szCs w:val="18"/>
                <w:u w:val="none"/>
                <w:lang w:val="en-US" w:eastAsia="zh-CN" w:bidi="ar"/>
              </w:rPr>
            </w:pPr>
          </w:p>
        </w:tc>
        <w:tc>
          <w:tcPr>
            <w:tcW w:w="506"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18"/>
                <w:szCs w:val="18"/>
                <w:u w:val="none"/>
                <w:lang w:val="en-US" w:eastAsia="zh-CN" w:bidi="ar"/>
              </w:rPr>
            </w:pPr>
          </w:p>
        </w:tc>
        <w:tc>
          <w:tcPr>
            <w:tcW w:w="547"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18"/>
                <w:szCs w:val="18"/>
                <w:u w:val="none"/>
                <w:lang w:val="en-US" w:eastAsia="zh-CN" w:bidi="ar"/>
              </w:rPr>
            </w:pPr>
          </w:p>
        </w:tc>
        <w:tc>
          <w:tcPr>
            <w:tcW w:w="533"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18"/>
                <w:szCs w:val="18"/>
                <w:u w:val="none"/>
                <w:lang w:val="en-US" w:eastAsia="zh-CN" w:bidi="ar"/>
              </w:rPr>
            </w:pPr>
          </w:p>
        </w:tc>
        <w:tc>
          <w:tcPr>
            <w:tcW w:w="400"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18"/>
                <w:szCs w:val="18"/>
                <w:u w:val="none"/>
                <w:lang w:val="en-US" w:eastAsia="zh-CN" w:bidi="ar"/>
              </w:rPr>
            </w:pPr>
          </w:p>
        </w:tc>
        <w:tc>
          <w:tcPr>
            <w:tcW w:w="440"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18"/>
                <w:szCs w:val="18"/>
                <w:u w:val="none"/>
                <w:lang w:val="en-US" w:eastAsia="zh-CN" w:bidi="ar"/>
              </w:rPr>
            </w:pPr>
          </w:p>
        </w:tc>
        <w:tc>
          <w:tcPr>
            <w:tcW w:w="53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18"/>
                <w:szCs w:val="18"/>
                <w:u w:val="none"/>
                <w:lang w:val="en-US" w:eastAsia="zh-CN" w:bidi="ar"/>
              </w:rPr>
            </w:pPr>
          </w:p>
        </w:tc>
        <w:tc>
          <w:tcPr>
            <w:tcW w:w="388" w:type="dxa"/>
            <w:noWrap w:val="0"/>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w:t>
            </w:r>
          </w:p>
        </w:tc>
        <w:tc>
          <w:tcPr>
            <w:tcW w:w="367" w:type="dxa"/>
            <w:gridSpan w:val="2"/>
            <w:noWrap w:val="0"/>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3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60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2440"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07"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7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74"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06"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47"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3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4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35"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8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6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3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60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2440"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07"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7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74"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06"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47"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3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4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35"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8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6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6" w:type="dxa"/>
            <w:noWrap w:val="0"/>
            <w:vAlign w:val="top"/>
          </w:tcPr>
          <w:p>
            <w:pPr>
              <w:widowControl/>
              <w:jc w:val="left"/>
              <w:outlineLvl w:val="1"/>
              <w:rPr>
                <w:rFonts w:ascii="仿宋_GB2312" w:hAnsi="宋体" w:eastAsia="仿宋_GB2312"/>
                <w:color w:val="auto"/>
                <w:kern w:val="0"/>
                <w:sz w:val="32"/>
                <w:szCs w:val="32"/>
                <w:highlight w:val="none"/>
              </w:rPr>
            </w:pPr>
          </w:p>
        </w:tc>
        <w:tc>
          <w:tcPr>
            <w:tcW w:w="517" w:type="dxa"/>
            <w:noWrap w:val="0"/>
            <w:vAlign w:val="top"/>
          </w:tcPr>
          <w:p>
            <w:pPr>
              <w:widowControl/>
              <w:jc w:val="left"/>
              <w:outlineLvl w:val="1"/>
              <w:rPr>
                <w:rFonts w:ascii="仿宋_GB2312" w:hAnsi="宋体" w:eastAsia="仿宋_GB2312"/>
                <w:color w:val="auto"/>
                <w:kern w:val="0"/>
                <w:sz w:val="32"/>
                <w:szCs w:val="32"/>
                <w:highlight w:val="none"/>
              </w:rPr>
            </w:pPr>
          </w:p>
        </w:tc>
        <w:tc>
          <w:tcPr>
            <w:tcW w:w="433" w:type="dxa"/>
            <w:noWrap w:val="0"/>
            <w:vAlign w:val="top"/>
          </w:tcPr>
          <w:p>
            <w:pPr>
              <w:widowControl/>
              <w:jc w:val="left"/>
              <w:outlineLvl w:val="1"/>
              <w:rPr>
                <w:rFonts w:ascii="仿宋_GB2312" w:hAnsi="宋体" w:eastAsia="仿宋_GB2312"/>
                <w:color w:val="auto"/>
                <w:kern w:val="0"/>
                <w:sz w:val="32"/>
                <w:szCs w:val="32"/>
                <w:highlight w:val="none"/>
              </w:rPr>
            </w:pPr>
          </w:p>
        </w:tc>
        <w:tc>
          <w:tcPr>
            <w:tcW w:w="1607" w:type="dxa"/>
            <w:noWrap w:val="0"/>
            <w:vAlign w:val="top"/>
          </w:tcPr>
          <w:p>
            <w:pPr>
              <w:widowControl/>
              <w:jc w:val="left"/>
              <w:outlineLvl w:val="1"/>
              <w:rPr>
                <w:rFonts w:ascii="仿宋_GB2312" w:hAnsi="宋体" w:eastAsia="仿宋_GB2312"/>
                <w:color w:val="auto"/>
                <w:kern w:val="0"/>
                <w:sz w:val="32"/>
                <w:szCs w:val="32"/>
                <w:highlight w:val="none"/>
              </w:rPr>
            </w:pPr>
          </w:p>
        </w:tc>
        <w:tc>
          <w:tcPr>
            <w:tcW w:w="2440"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707"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7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74"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06"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47"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3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4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35"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88" w:type="dxa"/>
            <w:noWrap w:val="0"/>
            <w:vAlign w:val="top"/>
          </w:tcPr>
          <w:p>
            <w:pPr>
              <w:widowControl/>
              <w:jc w:val="left"/>
              <w:outlineLvl w:val="1"/>
              <w:rPr>
                <w:rFonts w:ascii="仿宋_GB2312" w:hAnsi="宋体" w:eastAsia="仿宋_GB2312"/>
                <w:color w:val="auto"/>
                <w:kern w:val="0"/>
                <w:sz w:val="32"/>
                <w:szCs w:val="32"/>
                <w:highlight w:val="none"/>
              </w:rPr>
            </w:pPr>
          </w:p>
        </w:tc>
        <w:tc>
          <w:tcPr>
            <w:tcW w:w="367" w:type="dxa"/>
            <w:gridSpan w:val="2"/>
            <w:noWrap w:val="0"/>
            <w:vAlign w:val="top"/>
          </w:tcPr>
          <w:p>
            <w:pPr>
              <w:widowControl/>
              <w:jc w:val="left"/>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3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60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2440"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07"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7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74"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06"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47"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3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4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35"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8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6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3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60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2440" w:type="dxa"/>
            <w:gridSpan w:val="2"/>
            <w:noWrap w:val="0"/>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bCs/>
                <w:color w:val="auto"/>
                <w:kern w:val="0"/>
                <w:sz w:val="20"/>
                <w:szCs w:val="20"/>
                <w:highlight w:val="none"/>
              </w:rPr>
              <w:t>合 计</w:t>
            </w:r>
          </w:p>
        </w:tc>
        <w:tc>
          <w:tcPr>
            <w:tcW w:w="707" w:type="dxa"/>
            <w:noWrap w:val="0"/>
            <w:vAlign w:val="center"/>
          </w:tcPr>
          <w:p>
            <w:pPr>
              <w:widowControl/>
              <w:jc w:val="center"/>
              <w:outlineLvl w:val="1"/>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30</w:t>
            </w:r>
          </w:p>
        </w:tc>
        <w:tc>
          <w:tcPr>
            <w:tcW w:w="57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74"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06"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47"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3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4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35"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21"/>
                <w:szCs w:val="21"/>
                <w:highlight w:val="none"/>
                <w:lang w:val="en-US" w:eastAsia="zh-CN"/>
              </w:rPr>
              <w:t>30</w:t>
            </w:r>
          </w:p>
        </w:tc>
        <w:tc>
          <w:tcPr>
            <w:tcW w:w="38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6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焉耆回族自治县财政局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28"/>
          <w:highlight w:val="none"/>
          <w:lang w:val="en-US" w:eastAsia="zh-CN"/>
        </w:rPr>
      </w:pPr>
      <w:r>
        <w:rPr>
          <w:rFonts w:hint="eastAsia" w:ascii="仿宋_GB2312" w:hAnsi="宋体" w:eastAsia="仿宋_GB2312"/>
          <w:b/>
          <w:color w:val="auto"/>
          <w:kern w:val="0"/>
          <w:sz w:val="28"/>
          <w:szCs w:val="28"/>
          <w:highlight w:val="none"/>
          <w:lang w:val="en-US" w:eastAsia="zh-CN"/>
        </w:rPr>
        <w:t>备注：2025年本单位无政府性基金预算，此表为空表。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焉耆回族自治县财政局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宋体" w:hAnsi="宋体" w:eastAsia="宋体" w:cs="宋体"/>
          <w:i w:val="0"/>
          <w:color w:val="auto"/>
          <w:kern w:val="0"/>
          <w:sz w:val="28"/>
          <w:szCs w:val="28"/>
          <w:highlight w:val="none"/>
          <w:u w:val="none"/>
          <w:lang w:val="en-US" w:eastAsia="zh-CN" w:bidi="ar"/>
        </w:rPr>
      </w:pPr>
      <w:r>
        <w:rPr>
          <w:rFonts w:hint="eastAsia" w:ascii="仿宋_GB2312" w:hAnsi="宋体" w:eastAsia="仿宋_GB2312"/>
          <w:b/>
          <w:color w:val="auto"/>
          <w:kern w:val="0"/>
          <w:sz w:val="28"/>
          <w:szCs w:val="28"/>
          <w:highlight w:val="none"/>
          <w:lang w:val="en-US" w:eastAsia="zh-CN"/>
        </w:rPr>
        <w:t>备注：2025年本单位无国有资本经营预算，此表为空表。</w:t>
      </w:r>
    </w:p>
    <w:p>
      <w:pPr>
        <w:widowControl/>
        <w:jc w:val="both"/>
        <w:rPr>
          <w:rFonts w:hint="eastAsia" w:ascii="仿宋_GB2312" w:hAnsi="宋体" w:eastAsia="仿宋_GB2312"/>
          <w:b/>
          <w:color w:val="auto"/>
          <w:kern w:val="0"/>
          <w:sz w:val="32"/>
          <w:szCs w:val="32"/>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both"/>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焉耆回族自治县财政局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5"/>
        <w:gridCol w:w="1166"/>
        <w:gridCol w:w="1245"/>
        <w:gridCol w:w="1502"/>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6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4"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6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2"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66"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r>
              <w:rPr>
                <w:rFonts w:hint="default" w:ascii="Times New Roman" w:hAnsi="Times New Roman" w:eastAsia="仿宋_GB2312" w:cs="Times New Roman"/>
                <w:b w:val="0"/>
                <w:bCs/>
                <w:color w:val="auto"/>
                <w:kern w:val="0"/>
                <w:sz w:val="22"/>
                <w:szCs w:val="24"/>
                <w:highlight w:val="none"/>
                <w:vertAlign w:val="baseline"/>
                <w:lang w:val="en-US" w:eastAsia="zh-CN"/>
              </w:rPr>
              <w:t>5.10</w:t>
            </w:r>
          </w:p>
        </w:tc>
        <w:tc>
          <w:tcPr>
            <w:tcW w:w="124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r>
              <w:rPr>
                <w:rFonts w:hint="default" w:ascii="Times New Roman" w:hAnsi="Times New Roman" w:eastAsia="仿宋_GB2312" w:cs="Times New Roman"/>
                <w:b w:val="0"/>
                <w:bCs/>
                <w:color w:val="auto"/>
                <w:kern w:val="0"/>
                <w:sz w:val="22"/>
                <w:szCs w:val="24"/>
                <w:highlight w:val="none"/>
                <w:vertAlign w:val="baseline"/>
                <w:lang w:val="en-US" w:eastAsia="zh-CN"/>
              </w:rPr>
              <w:t>5.10</w:t>
            </w:r>
          </w:p>
        </w:tc>
        <w:tc>
          <w:tcPr>
            <w:tcW w:w="1502"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66"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rPr>
            </w:pPr>
          </w:p>
        </w:tc>
        <w:tc>
          <w:tcPr>
            <w:tcW w:w="124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rPr>
            </w:pPr>
          </w:p>
        </w:tc>
        <w:tc>
          <w:tcPr>
            <w:tcW w:w="1502"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66"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r>
              <w:rPr>
                <w:rFonts w:hint="default" w:ascii="Times New Roman" w:hAnsi="Times New Roman" w:eastAsia="仿宋_GB2312" w:cs="Times New Roman"/>
                <w:b w:val="0"/>
                <w:bCs/>
                <w:color w:val="auto"/>
                <w:kern w:val="0"/>
                <w:sz w:val="22"/>
                <w:szCs w:val="24"/>
                <w:highlight w:val="none"/>
                <w:vertAlign w:val="baseline"/>
                <w:lang w:val="en-US" w:eastAsia="zh-CN"/>
              </w:rPr>
              <w:t>1.10</w:t>
            </w:r>
          </w:p>
        </w:tc>
        <w:tc>
          <w:tcPr>
            <w:tcW w:w="124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bidi="ar-SA"/>
              </w:rPr>
            </w:pPr>
            <w:r>
              <w:rPr>
                <w:rFonts w:hint="default" w:ascii="Times New Roman" w:hAnsi="Times New Roman" w:eastAsia="仿宋_GB2312" w:cs="Times New Roman"/>
                <w:b w:val="0"/>
                <w:bCs/>
                <w:color w:val="auto"/>
                <w:kern w:val="0"/>
                <w:sz w:val="22"/>
                <w:szCs w:val="24"/>
                <w:highlight w:val="none"/>
                <w:vertAlign w:val="baseline"/>
                <w:lang w:val="en-US" w:eastAsia="zh-CN"/>
              </w:rPr>
              <w:t>1.10</w:t>
            </w:r>
          </w:p>
        </w:tc>
        <w:tc>
          <w:tcPr>
            <w:tcW w:w="1502"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66"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r>
              <w:rPr>
                <w:rFonts w:hint="default" w:ascii="Times New Roman" w:hAnsi="Times New Roman" w:eastAsia="仿宋_GB2312" w:cs="Times New Roman"/>
                <w:b w:val="0"/>
                <w:bCs/>
                <w:color w:val="auto"/>
                <w:kern w:val="0"/>
                <w:sz w:val="22"/>
                <w:szCs w:val="24"/>
                <w:highlight w:val="none"/>
                <w:vertAlign w:val="baseline"/>
                <w:lang w:val="en-US" w:eastAsia="zh-CN"/>
              </w:rPr>
              <w:t>4</w:t>
            </w:r>
          </w:p>
        </w:tc>
        <w:tc>
          <w:tcPr>
            <w:tcW w:w="124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bidi="ar-SA"/>
              </w:rPr>
            </w:pPr>
            <w:r>
              <w:rPr>
                <w:rFonts w:hint="default" w:ascii="Times New Roman" w:hAnsi="Times New Roman" w:eastAsia="仿宋_GB2312" w:cs="Times New Roman"/>
                <w:b w:val="0"/>
                <w:bCs/>
                <w:color w:val="auto"/>
                <w:kern w:val="0"/>
                <w:sz w:val="22"/>
                <w:szCs w:val="24"/>
                <w:highlight w:val="none"/>
                <w:vertAlign w:val="baseline"/>
                <w:lang w:val="en-US" w:eastAsia="zh-CN"/>
              </w:rPr>
              <w:t>4</w:t>
            </w:r>
          </w:p>
        </w:tc>
        <w:tc>
          <w:tcPr>
            <w:tcW w:w="1502"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66"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rPr>
            </w:pPr>
          </w:p>
        </w:tc>
        <w:tc>
          <w:tcPr>
            <w:tcW w:w="124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bidi="ar-SA"/>
              </w:rPr>
            </w:pPr>
          </w:p>
        </w:tc>
        <w:tc>
          <w:tcPr>
            <w:tcW w:w="1502"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66"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r>
              <w:rPr>
                <w:rFonts w:hint="default" w:ascii="Times New Roman" w:hAnsi="Times New Roman" w:eastAsia="仿宋_GB2312" w:cs="Times New Roman"/>
                <w:b w:val="0"/>
                <w:bCs/>
                <w:color w:val="auto"/>
                <w:kern w:val="0"/>
                <w:sz w:val="22"/>
                <w:szCs w:val="24"/>
                <w:highlight w:val="none"/>
                <w:vertAlign w:val="baseline"/>
                <w:lang w:val="en-US" w:eastAsia="zh-CN"/>
              </w:rPr>
              <w:t>4</w:t>
            </w:r>
          </w:p>
        </w:tc>
        <w:tc>
          <w:tcPr>
            <w:tcW w:w="124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bidi="ar-SA"/>
              </w:rPr>
            </w:pPr>
            <w:r>
              <w:rPr>
                <w:rFonts w:hint="default" w:ascii="Times New Roman" w:hAnsi="Times New Roman" w:eastAsia="仿宋_GB2312" w:cs="Times New Roman"/>
                <w:b w:val="0"/>
                <w:bCs/>
                <w:color w:val="auto"/>
                <w:kern w:val="0"/>
                <w:sz w:val="22"/>
                <w:szCs w:val="24"/>
                <w:highlight w:val="none"/>
                <w:vertAlign w:val="baseline"/>
                <w:lang w:val="en-US" w:eastAsia="zh-CN"/>
              </w:rPr>
              <w:t>4</w:t>
            </w:r>
          </w:p>
        </w:tc>
        <w:tc>
          <w:tcPr>
            <w:tcW w:w="1502"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left"/>
        <w:rPr>
          <w:rFonts w:hint="eastAsia" w:ascii="仿宋_GB2312" w:hAnsi="宋体" w:eastAsia="仿宋_GB2312"/>
          <w:color w:val="auto"/>
          <w:kern w:val="0"/>
          <w:sz w:val="24"/>
          <w:highlight w:val="none"/>
        </w:rPr>
      </w:pPr>
    </w:p>
    <w:p>
      <w:pPr>
        <w:widowControl/>
        <w:jc w:val="left"/>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焉耆回族自治县财政局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                                      </w:t>
      </w:r>
    </w:p>
    <w:tbl>
      <w:tblPr>
        <w:tblStyle w:val="10"/>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28"/>
          <w:highlight w:val="none"/>
          <w:lang w:val="en-US" w:eastAsia="zh-CN"/>
        </w:rPr>
      </w:pPr>
      <w:r>
        <w:rPr>
          <w:rFonts w:hint="eastAsia" w:ascii="仿宋_GB2312" w:hAnsi="宋体" w:eastAsia="仿宋_GB2312"/>
          <w:b/>
          <w:color w:val="auto"/>
          <w:kern w:val="0"/>
          <w:sz w:val="28"/>
          <w:szCs w:val="28"/>
          <w:highlight w:val="none"/>
          <w:lang w:val="en-US" w:eastAsia="zh-CN"/>
        </w:rPr>
        <w:t>备注：2025年本单位无上年结余情况，此表为空表。</w:t>
      </w: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一、关于焉耆回族自治县财政局2025年收支预算情况的总体说明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按照全口径预算的原则，焉耆回族自治县财政局2025年所有收入和支出均纳入单位预算管理。收支总预算777.11万元。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支出预算包括:一般公共服务支出、社会保障和就业支出、卫生健康支出、农林水支出、住房保障支出。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二、关于焉耆回族自治县财政局2025年收入预算情况说明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焉耆回族自治县财政局收入预算777.11万元，其中：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一般公共预算747.11万元，占96.14%，比上年预算数减少5894.35万元，下降88.75%，主要原因</w:t>
      </w:r>
      <w:r>
        <w:rPr>
          <w:rFonts w:hint="eastAsia" w:eastAsia="仿宋_GB2312" w:cs="Times New Roman"/>
          <w:color w:val="auto"/>
          <w:kern w:val="0"/>
          <w:sz w:val="32"/>
          <w:szCs w:val="32"/>
          <w:highlight w:val="none"/>
          <w:lang w:val="en-US" w:eastAsia="zh-CN"/>
        </w:rPr>
        <w:t>是上年度</w:t>
      </w:r>
      <w:r>
        <w:rPr>
          <w:rFonts w:hint="default" w:ascii="Times New Roman" w:hAnsi="Times New Roman" w:eastAsia="仿宋_GB2312" w:cs="Times New Roman"/>
          <w:color w:val="auto"/>
          <w:kern w:val="0"/>
          <w:sz w:val="32"/>
          <w:szCs w:val="32"/>
          <w:highlight w:val="none"/>
          <w:lang w:val="en-US" w:eastAsia="zh-CN"/>
        </w:rPr>
        <w:t>有</w:t>
      </w:r>
      <w:r>
        <w:rPr>
          <w:rFonts w:hint="default" w:ascii="Times New Roman" w:hAnsi="Times New Roman" w:eastAsia="仿宋_GB2312" w:cs="Times New Roman"/>
          <w:color w:val="auto"/>
          <w:sz w:val="32"/>
          <w:szCs w:val="32"/>
          <w:highlight w:val="none"/>
        </w:rPr>
        <w:t>地方政府一般债券付息支出</w:t>
      </w:r>
      <w:r>
        <w:rPr>
          <w:rFonts w:hint="default" w:ascii="Times New Roman" w:hAnsi="Times New Roman" w:eastAsia="仿宋_GB2312" w:cs="Times New Roman"/>
          <w:color w:val="auto"/>
          <w:sz w:val="32"/>
          <w:szCs w:val="32"/>
          <w:highlight w:val="none"/>
          <w:lang w:val="en-US" w:eastAsia="zh-CN"/>
        </w:rPr>
        <w:t>5829万元，2025年未安排此项目。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上级一般公共预算安排的转移支付30万元，占3.86%，比上年预算数</w:t>
      </w:r>
      <w:r>
        <w:rPr>
          <w:rFonts w:hint="eastAsia" w:ascii="Times New Roman" w:hAnsi="Times New Roman"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lang w:val="en-US" w:eastAsia="zh-CN"/>
        </w:rPr>
        <w:t>30万元</w:t>
      </w:r>
      <w:r>
        <w:rPr>
          <w:rFonts w:hint="eastAsia" w:ascii="Times New Roman" w:hAnsi="Times New Roman"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lang w:val="en-US" w:eastAsia="zh-CN"/>
        </w:rPr>
        <w:t>100%，主要原因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年普惠金融项目</w:t>
      </w:r>
      <w:r>
        <w:rPr>
          <w:rFonts w:hint="eastAsia" w:ascii="Times New Roman" w:hAnsi="Times New Roman"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宋体"/>
          <w:color w:val="auto"/>
          <w:kern w:val="0"/>
          <w:sz w:val="32"/>
          <w:szCs w:val="32"/>
          <w:highlight w:val="red"/>
        </w:rPr>
      </w:pPr>
      <w:r>
        <w:rPr>
          <w:rFonts w:hint="eastAsia" w:ascii="Times New Roman" w:hAnsi="Times New Roman" w:eastAsia="仿宋_GB2312" w:cs="Times New Roman"/>
          <w:color w:val="auto"/>
          <w:kern w:val="0"/>
          <w:sz w:val="32"/>
          <w:szCs w:val="32"/>
          <w:highlight w:val="none"/>
          <w:lang w:val="en-US" w:eastAsia="zh-Hans"/>
        </w:rPr>
        <w:t>上级国有资本经营预算安排的转移支付资金</w:t>
      </w:r>
      <w:r>
        <w:rPr>
          <w:rFonts w:hint="eastAsia" w:ascii="Times New Roman" w:hAnsi="Times New Roman" w:eastAsia="仿宋_GB2312" w:cs="Times New Roman"/>
          <w:color w:val="auto"/>
          <w:kern w:val="0"/>
          <w:sz w:val="32"/>
          <w:szCs w:val="32"/>
          <w:highlight w:val="none"/>
          <w:lang w:val="en-US" w:eastAsia="zh-CN"/>
        </w:rPr>
        <w:t>未安排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三、关于焉耆回族自治县财政局2025年支出预算情况说明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焉耆回族自治县财政局2025年支出预算</w:t>
      </w:r>
      <w:r>
        <w:rPr>
          <w:rFonts w:hint="default" w:ascii="Times New Roman" w:hAnsi="Times New Roman" w:eastAsia="仿宋_GB2312" w:cs="Times New Roman"/>
          <w:color w:val="auto"/>
          <w:kern w:val="0"/>
          <w:sz w:val="32"/>
          <w:szCs w:val="32"/>
          <w:highlight w:val="none"/>
          <w:lang w:val="en-US" w:eastAsia="zh-CN"/>
        </w:rPr>
        <w:t>777.11</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747.11</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96.14</w:t>
      </w:r>
      <w:r>
        <w:rPr>
          <w:rFonts w:hint="default" w:ascii="Times New Roman" w:hAnsi="Times New Roman" w:eastAsia="仿宋_GB2312" w:cs="Times New Roman"/>
          <w:color w:val="auto"/>
          <w:kern w:val="0"/>
          <w:sz w:val="32"/>
          <w:szCs w:val="32"/>
          <w:highlight w:val="none"/>
        </w:rPr>
        <w:t xml:space="preserve"> %，比上年预算减少</w:t>
      </w:r>
      <w:r>
        <w:rPr>
          <w:rFonts w:hint="default" w:ascii="Times New Roman" w:hAnsi="Times New Roman" w:eastAsia="仿宋_GB2312" w:cs="Times New Roman"/>
          <w:color w:val="auto"/>
          <w:kern w:val="0"/>
          <w:sz w:val="32"/>
          <w:szCs w:val="32"/>
          <w:highlight w:val="none"/>
          <w:lang w:val="en-US" w:eastAsia="zh-CN"/>
        </w:rPr>
        <w:t>65.35</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8.04%，</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2025年在职人员较2024年较少3人。1人退休、2人调出</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30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3.86</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5799</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99.49%，</w:t>
      </w:r>
      <w:r>
        <w:rPr>
          <w:rFonts w:hint="default" w:ascii="Times New Roman" w:hAnsi="Times New Roman" w:eastAsia="仿宋_GB2312" w:cs="Times New Roman"/>
          <w:color w:val="auto"/>
          <w:kern w:val="0"/>
          <w:sz w:val="32"/>
          <w:szCs w:val="32"/>
          <w:highlight w:val="none"/>
        </w:rPr>
        <w:t>主要原因是</w:t>
      </w:r>
      <w:r>
        <w:rPr>
          <w:rFonts w:hint="eastAsia" w:eastAsia="仿宋_GB2312" w:cs="Times New Roman"/>
          <w:color w:val="auto"/>
          <w:kern w:val="0"/>
          <w:sz w:val="32"/>
          <w:szCs w:val="32"/>
          <w:highlight w:val="none"/>
          <w:lang w:eastAsia="zh-CN"/>
        </w:rPr>
        <w:t>上年度</w:t>
      </w:r>
      <w:r>
        <w:rPr>
          <w:rFonts w:hint="default" w:ascii="Times New Roman" w:hAnsi="Times New Roman" w:eastAsia="仿宋_GB2312" w:cs="Times New Roman"/>
          <w:color w:val="auto"/>
          <w:kern w:val="0"/>
          <w:sz w:val="32"/>
          <w:szCs w:val="32"/>
          <w:highlight w:val="none"/>
          <w:lang w:val="en-US" w:eastAsia="zh-CN"/>
        </w:rPr>
        <w:t>有</w:t>
      </w:r>
      <w:r>
        <w:rPr>
          <w:rFonts w:hint="default" w:ascii="Times New Roman" w:hAnsi="Times New Roman" w:eastAsia="仿宋_GB2312" w:cs="Times New Roman"/>
          <w:color w:val="auto"/>
          <w:kern w:val="0"/>
          <w:sz w:val="32"/>
          <w:szCs w:val="32"/>
          <w:highlight w:val="none"/>
        </w:rPr>
        <w:t>债务付息支出</w:t>
      </w:r>
      <w:r>
        <w:rPr>
          <w:rFonts w:hint="default" w:ascii="Times New Roman" w:hAnsi="Times New Roman" w:eastAsia="仿宋_GB2312" w:cs="Times New Roman"/>
          <w:color w:val="auto"/>
          <w:kern w:val="0"/>
          <w:sz w:val="32"/>
          <w:szCs w:val="32"/>
          <w:highlight w:val="none"/>
          <w:lang w:val="en-US" w:eastAsia="zh-CN"/>
        </w:rPr>
        <w:t>5829万元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2025年没有此预算</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四、关于焉耆回族自治县财政局2025年财政拨款收支预算情况的总体说明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2025年财政拨款收支总预算777.11万元。收入全部为一般公共预算，不包含政府性基金预算和国有资本经营预算。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收入预算包括：一般公共预算拨款777.11万元。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一般公共预算支出包括:一般公共服务支出530.42万元，主要用于：</w:t>
      </w:r>
      <w:r>
        <w:rPr>
          <w:rFonts w:hint="default" w:ascii="Times New Roman" w:hAnsi="Times New Roman" w:eastAsia="仿宋_GB2312" w:cs="Times New Roman"/>
          <w:color w:val="auto"/>
          <w:kern w:val="0"/>
          <w:sz w:val="32"/>
          <w:szCs w:val="32"/>
          <w:highlight w:val="none"/>
        </w:rPr>
        <w:t>人员工资等支出</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社会保障和就业支出123.47万元,主要用于</w:t>
      </w:r>
      <w:r>
        <w:rPr>
          <w:rFonts w:hint="default" w:ascii="Times New Roman" w:hAnsi="Times New Roman" w:eastAsia="仿宋_GB2312" w:cs="Times New Roman"/>
          <w:color w:val="auto"/>
          <w:kern w:val="0"/>
          <w:sz w:val="32"/>
          <w:szCs w:val="32"/>
          <w:highlight w:val="none"/>
        </w:rPr>
        <w:t>机关事业单位基本养老保险缴费支出、机关事业单位职业年金缴费、单位离退休支出、遗属生活费等支出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卫生健康支出36.64万元,主要用于</w:t>
      </w:r>
      <w:r>
        <w:rPr>
          <w:rFonts w:hint="default" w:ascii="Times New Roman" w:hAnsi="Times New Roman" w:eastAsia="仿宋_GB2312" w:cs="Times New Roman"/>
          <w:color w:val="auto"/>
          <w:kern w:val="0"/>
          <w:sz w:val="32"/>
          <w:szCs w:val="32"/>
          <w:highlight w:val="none"/>
        </w:rPr>
        <w:t>行政单位医疗支出、公务员医疗补助等支出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农林水支出30万元，主要用于</w:t>
      </w:r>
      <w:r>
        <w:rPr>
          <w:rFonts w:hint="default" w:ascii="Times New Roman" w:hAnsi="Times New Roman" w:eastAsia="仿宋_GB2312" w:cs="Times New Roman"/>
          <w:color w:val="auto"/>
          <w:kern w:val="0"/>
          <w:sz w:val="32"/>
          <w:szCs w:val="32"/>
          <w:highlight w:val="none"/>
          <w:lang w:val="en-US" w:eastAsia="zh-CN"/>
        </w:rPr>
        <w:t>普惠金融发展专项</w:t>
      </w:r>
      <w:r>
        <w:rPr>
          <w:rFonts w:hint="eastAsia" w:ascii="Times New Roman" w:hAnsi="Times New Roman" w:eastAsia="仿宋_GB2312" w:cs="Times New Roman"/>
          <w:color w:val="auto"/>
          <w:kern w:val="0"/>
          <w:sz w:val="32"/>
          <w:szCs w:val="32"/>
          <w:highlight w:val="none"/>
          <w:lang w:val="en-US" w:eastAsia="zh-CN"/>
        </w:rPr>
        <w:t>补助</w:t>
      </w:r>
      <w:r>
        <w:rPr>
          <w:rFonts w:hint="default" w:ascii="Times New Roman" w:hAnsi="Times New Roman" w:eastAsia="仿宋_GB2312" w:cs="Times New Roman"/>
          <w:color w:val="auto"/>
          <w:kern w:val="0"/>
          <w:sz w:val="32"/>
          <w:szCs w:val="32"/>
          <w:highlight w:val="none"/>
          <w:lang w:val="en-US" w:eastAsia="zh-CN"/>
        </w:rPr>
        <w:t>资金</w:t>
      </w:r>
      <w:r>
        <w:rPr>
          <w:rFonts w:hint="eastAsia" w:ascii="Times New Roman" w:hAnsi="Times New Roman" w:eastAsia="仿宋_GB2312" w:cs="Times New Roman"/>
          <w:color w:val="auto"/>
          <w:kern w:val="0"/>
          <w:sz w:val="32"/>
          <w:szCs w:val="32"/>
          <w:highlight w:val="none"/>
          <w:lang w:val="en-US" w:eastAsia="zh-CN"/>
        </w:rPr>
        <w:t>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住房保障支出56.58万元，主要用于</w:t>
      </w:r>
      <w:r>
        <w:rPr>
          <w:rFonts w:hint="default" w:ascii="Times New Roman" w:hAnsi="Times New Roman" w:eastAsia="仿宋_GB2312" w:cs="Times New Roman"/>
          <w:color w:val="auto"/>
          <w:kern w:val="0"/>
          <w:sz w:val="32"/>
          <w:szCs w:val="32"/>
          <w:highlight w:val="none"/>
        </w:rPr>
        <w:t>人员住房公积金</w:t>
      </w:r>
      <w:r>
        <w:rPr>
          <w:rFonts w:hint="eastAsia" w:ascii="Times New Roman" w:hAnsi="Times New Roman" w:eastAsia="仿宋_GB2312" w:cs="Times New Roman"/>
          <w:color w:val="auto"/>
          <w:kern w:val="0"/>
          <w:sz w:val="32"/>
          <w:szCs w:val="32"/>
          <w:highlight w:val="none"/>
        </w:rPr>
        <w:t>支出</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五、关于焉耆回族自治县财政局2025年一般公共预算当年拨款情况说明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焉耆回族自治县财政局2025年一般公共预算拨款合计777.11万元,其中：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基本支出747.11万元，比上年预算</w:t>
      </w:r>
      <w:r>
        <w:rPr>
          <w:rFonts w:hint="eastAsia" w:eastAsia="仿宋_GB2312" w:cs="Times New Roman"/>
          <w:color w:val="auto"/>
          <w:kern w:val="0"/>
          <w:sz w:val="32"/>
          <w:szCs w:val="32"/>
          <w:highlight w:val="none"/>
          <w:lang w:val="en-US" w:eastAsia="zh-CN"/>
        </w:rPr>
        <w:t>减少65.35</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下降8.04</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：2025年在职人员</w:t>
      </w:r>
      <w:r>
        <w:rPr>
          <w:rFonts w:hint="eastAsia" w:eastAsia="仿宋_GB2312" w:cs="Times New Roman"/>
          <w:color w:val="auto"/>
          <w:kern w:val="0"/>
          <w:sz w:val="32"/>
          <w:szCs w:val="32"/>
          <w:highlight w:val="none"/>
          <w:lang w:val="en-US" w:eastAsia="zh-CN"/>
        </w:rPr>
        <w:t>减少，相应经费减少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项目支出30万元，比上年预算减少5799万元，下降99.49%，主要原因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：根据债务还款情况，偿还债务利息减少。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一般公共服务支出（类）530.42万元，占68.25%</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社会保障和就业支出（类）123.47万元，占15.89%</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卫生健康支出（类）36.64万元，占4.72%</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住房保障支出（类）56.58万元，占7.28%</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农林水支出（类）30万元，占3.86%</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一般公共服务支出（类）财政事务（款）行政运行(项):2025年预算数为145.14万元，比上年预算增加21.68万元,增长17.56%</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年职工社保缴费基数调整，正常晋升工资增加</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一般公共服务支出（类）财政事务（款）事业运行(项):2025年预算数为385.28万元，比上年预算减少69.6</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万元,下降15.3%,主要原因是：事业在职人数较上年较少3人，1人退休、2人调出.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社会保障和就业支出（类）行政事业单位养老支出（款）行政单位离退休(项):2025年预算数为5.05万元，比上年预算减少11.49万元,下降69.4</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 xml:space="preserve">%,主要原因是：退休人员绩效奖励金未纳入。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社会保障和就业支出（类）行政事业单位养老支出（款）事业单位离退休(项):2025年预算数为4.36万元，比上年预算减少5.02万元,下降53.5</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 xml:space="preserve">%,主要原因是：退休人员绩效奖励金未纳入。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社会保障和就业支出（类）行政事业单位养老支出（款）机关事业单位基本养老保险缴费支出(项):2025年预算数为76.68万元，比上年预算减少1.2万元,下降1.54%,主要原因是：在职人数较上年</w:t>
      </w:r>
      <w:r>
        <w:rPr>
          <w:rFonts w:hint="eastAsia" w:eastAsia="仿宋_GB2312" w:cs="Times New Roman"/>
          <w:color w:val="auto"/>
          <w:kern w:val="0"/>
          <w:sz w:val="32"/>
          <w:szCs w:val="32"/>
          <w:highlight w:val="none"/>
          <w:lang w:val="en-US" w:eastAsia="zh-CN"/>
        </w:rPr>
        <w:t>减</w:t>
      </w:r>
      <w:r>
        <w:rPr>
          <w:rFonts w:hint="default" w:ascii="Times New Roman" w:hAnsi="Times New Roman" w:eastAsia="仿宋_GB2312" w:cs="Times New Roman"/>
          <w:color w:val="auto"/>
          <w:kern w:val="0"/>
          <w:sz w:val="32"/>
          <w:szCs w:val="32"/>
          <w:highlight w:val="none"/>
          <w:lang w:val="en-US" w:eastAsia="zh-CN"/>
        </w:rPr>
        <w:t>少，</w:t>
      </w:r>
      <w:r>
        <w:rPr>
          <w:rFonts w:hint="eastAsia" w:eastAsia="仿宋_GB2312" w:cs="Times New Roman"/>
          <w:color w:val="auto"/>
          <w:kern w:val="0"/>
          <w:sz w:val="32"/>
          <w:szCs w:val="32"/>
          <w:highlight w:val="none"/>
          <w:lang w:val="en-US" w:eastAsia="zh-CN"/>
        </w:rPr>
        <w:t>在职养老相应减少。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社会保障和就业支出（类）行政事业单位养老支出（款）机关事业单位职业年金缴费支出(项):2025年预算数为37.38万元，比上年预算减少1.56万元,下降4.01%,主要原因是：</w:t>
      </w:r>
      <w:r>
        <w:rPr>
          <w:rFonts w:hint="eastAsia" w:eastAsia="仿宋_GB2312" w:cs="Times New Roman"/>
          <w:color w:val="auto"/>
          <w:kern w:val="0"/>
          <w:sz w:val="32"/>
          <w:szCs w:val="32"/>
          <w:highlight w:val="none"/>
          <w:lang w:val="en-US" w:eastAsia="zh-CN"/>
        </w:rPr>
        <w:t>人员减少，相应职业年金缴费支出减少。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卫生健康支出（类）行政事业单位医疗（款）行政单位医疗(项):2025年预算数为7.09万元，比上年预算增加0.7</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万元,增长11.</w:t>
      </w:r>
      <w:r>
        <w:rPr>
          <w:rFonts w:hint="eastAsia" w:eastAsia="仿宋_GB2312" w:cs="Times New Roman"/>
          <w:color w:val="auto"/>
          <w:kern w:val="0"/>
          <w:sz w:val="32"/>
          <w:szCs w:val="32"/>
          <w:highlight w:val="none"/>
          <w:lang w:val="en-US" w:eastAsia="zh-CN"/>
        </w:rPr>
        <w:t>13</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rPr>
        <w:t>缴费基数变动</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卫生健康支出（类）行政事业单位医疗（款）事业单位医疗(项):2025年预算数为27.7</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万元，比上年预算增加0.0</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万元,增长0.1</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rPr>
        <w:t>缴费基数变动</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卫生健康支出（类）行政事业单位医疗（款）公务员医疗补助(项):2025年预算数为1.81万元，比上年预算增加0.47万元,增长34.</w:t>
      </w:r>
      <w:r>
        <w:rPr>
          <w:rFonts w:hint="eastAsia" w:eastAsia="仿宋_GB2312" w:cs="Times New Roman"/>
          <w:color w:val="auto"/>
          <w:kern w:val="0"/>
          <w:sz w:val="32"/>
          <w:szCs w:val="32"/>
          <w:highlight w:val="none"/>
          <w:lang w:val="en-US" w:eastAsia="zh-CN"/>
        </w:rPr>
        <w:t>07</w:t>
      </w:r>
      <w:r>
        <w:rPr>
          <w:rFonts w:hint="default" w:ascii="Times New Roman" w:hAnsi="Times New Roman" w:eastAsia="仿宋_GB2312" w:cs="Times New Roman"/>
          <w:color w:val="auto"/>
          <w:kern w:val="0"/>
          <w:sz w:val="32"/>
          <w:szCs w:val="32"/>
          <w:highlight w:val="none"/>
          <w:lang w:val="en-US" w:eastAsia="zh-CN"/>
        </w:rPr>
        <w:t xml:space="preserve">%,主要原因是：社保缴费基数调整。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农林水支出（类）普惠金融发展支出（款）其他普惠金融发展支出(项):2025年预算数为30万元，比上年预算增加30万元,增长100%,主要原因是：202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w:t>
      </w:r>
      <w:r>
        <w:rPr>
          <w:rFonts w:hint="eastAsia" w:eastAsia="仿宋_GB2312" w:cs="Times New Roman"/>
          <w:color w:val="auto"/>
          <w:kern w:val="0"/>
          <w:sz w:val="32"/>
          <w:szCs w:val="32"/>
          <w:highlight w:val="none"/>
          <w:lang w:val="en-US" w:eastAsia="zh-CN"/>
        </w:rPr>
        <w:t>新增</w:t>
      </w:r>
      <w:r>
        <w:rPr>
          <w:rFonts w:hint="default" w:ascii="Times New Roman" w:hAnsi="Times New Roman" w:eastAsia="仿宋_GB2312" w:cs="Times New Roman"/>
          <w:color w:val="auto"/>
          <w:kern w:val="0"/>
          <w:sz w:val="32"/>
          <w:szCs w:val="32"/>
          <w:highlight w:val="none"/>
          <w:lang w:val="en-US" w:eastAsia="zh-CN"/>
        </w:rPr>
        <w:t>普惠金融发展支出。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11.</w:t>
      </w:r>
      <w:r>
        <w:rPr>
          <w:rFonts w:hint="default" w:ascii="Times New Roman" w:hAnsi="Times New Roman" w:eastAsia="仿宋_GB2312" w:cs="Times New Roman"/>
          <w:color w:val="auto"/>
          <w:kern w:val="0"/>
          <w:sz w:val="32"/>
          <w:szCs w:val="32"/>
          <w:highlight w:val="none"/>
          <w:lang w:val="en-US" w:eastAsia="zh-CN"/>
        </w:rPr>
        <w:t>住房保障支出（类）住房改革支出（款）住房公积金(项):2025年预算数为56.58万元，比上年预算增加</w:t>
      </w:r>
      <w:r>
        <w:rPr>
          <w:rFonts w:hint="eastAsia" w:eastAsia="仿宋_GB2312" w:cs="Times New Roman"/>
          <w:color w:val="auto"/>
          <w:kern w:val="0"/>
          <w:sz w:val="32"/>
          <w:szCs w:val="32"/>
          <w:highlight w:val="none"/>
          <w:lang w:val="en-US" w:eastAsia="zh-CN"/>
        </w:rPr>
        <w:t>0.62</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1.11</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公积金</w:t>
      </w:r>
      <w:r>
        <w:rPr>
          <w:rFonts w:hint="default" w:ascii="Times New Roman" w:hAnsi="Times New Roman" w:eastAsia="仿宋_GB2312" w:cs="Times New Roman"/>
          <w:color w:val="auto"/>
          <w:kern w:val="0"/>
          <w:sz w:val="32"/>
          <w:szCs w:val="32"/>
          <w:highlight w:val="none"/>
          <w:lang w:val="en-US" w:eastAsia="zh-CN"/>
        </w:rPr>
        <w:t>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12.</w:t>
      </w:r>
      <w:r>
        <w:rPr>
          <w:rFonts w:hint="default" w:ascii="Times New Roman" w:hAnsi="Times New Roman" w:eastAsia="仿宋_GB2312" w:cs="Times New Roman"/>
          <w:color w:val="auto"/>
          <w:kern w:val="0"/>
          <w:sz w:val="32"/>
          <w:szCs w:val="32"/>
          <w:highlight w:val="none"/>
          <w:lang w:val="en-US" w:eastAsia="zh-CN"/>
        </w:rPr>
        <w:t xml:space="preserve">债务付息（类）地方政府一般债券付息支出（款）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lang w:val="en-US" w:eastAsia="zh-CN"/>
        </w:rPr>
      </w:pPr>
      <w:r>
        <w:rPr>
          <w:rFonts w:hint="eastAsia" w:ascii="Times New Roman" w:hAnsi="Times New Roman" w:eastAsia="仿宋_GB2312" w:cs="Times New Roman"/>
          <w:color w:val="auto"/>
          <w:kern w:val="0"/>
          <w:sz w:val="32"/>
          <w:szCs w:val="32"/>
          <w:highlight w:val="none"/>
          <w:lang w:val="en-US" w:eastAsia="zh-CN"/>
        </w:rPr>
        <w:t>地方政府一般债券付息支出（项）：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万元，比上年预算减少</w:t>
      </w:r>
      <w:r>
        <w:rPr>
          <w:rFonts w:hint="eastAsia" w:eastAsia="仿宋_GB2312" w:cs="Times New Roman"/>
          <w:color w:val="auto"/>
          <w:kern w:val="0"/>
          <w:sz w:val="32"/>
          <w:szCs w:val="32"/>
          <w:highlight w:val="none"/>
          <w:lang w:val="en-US" w:eastAsia="zh-CN"/>
        </w:rPr>
        <w:t>5829</w:t>
      </w:r>
      <w:r>
        <w:rPr>
          <w:rFonts w:hint="eastAsia"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，主要原因是：根据债务还款情况，</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w:t>
      </w:r>
      <w:r>
        <w:rPr>
          <w:rFonts w:hint="eastAsia" w:eastAsia="仿宋_GB2312" w:cs="Times New Roman"/>
          <w:color w:val="auto"/>
          <w:kern w:val="0"/>
          <w:sz w:val="32"/>
          <w:szCs w:val="32"/>
          <w:highlight w:val="none"/>
          <w:lang w:val="en-US" w:eastAsia="zh-CN"/>
        </w:rPr>
        <w:t>未纳入预算安排</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六、关于焉耆回族自治县财政局2025年一般公共预算基本支出情况说明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焉耆回族自治县财政局2025年一般公共预算基本支出747.11万元，其中：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w:t>
      </w:r>
      <w:r>
        <w:rPr>
          <w:rFonts w:hint="eastAsia" w:eastAsia="仿宋_GB2312" w:cs="Times New Roman"/>
          <w:color w:val="auto"/>
          <w:spacing w:val="-6"/>
          <w:kern w:val="0"/>
          <w:sz w:val="32"/>
          <w:szCs w:val="32"/>
          <w:highlight w:val="none"/>
          <w:lang w:val="en-US" w:eastAsia="zh-CN"/>
        </w:rPr>
        <w:t>724.11万元，主要</w:t>
      </w:r>
      <w:r>
        <w:rPr>
          <w:rFonts w:hint="default" w:ascii="Times New Roman" w:hAnsi="Times New Roman" w:eastAsia="仿宋_GB2312" w:cs="Times New Roman"/>
          <w:color w:val="auto"/>
          <w:spacing w:val="-6"/>
          <w:kern w:val="0"/>
          <w:sz w:val="32"/>
          <w:szCs w:val="32"/>
          <w:highlight w:val="none"/>
          <w:lang w:val="en-US" w:eastAsia="zh-CN"/>
        </w:rPr>
        <w:t>包括:基本工资、津贴补贴、机关事业单位基本养老保险缴费、职业年金缴费、职工基本医疗保险缴费、公务员医疗补助缴费、其他社会保障缴费、住房公积金、其他工资福利支出、退休费。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w:t>
      </w:r>
      <w:r>
        <w:rPr>
          <w:rFonts w:hint="eastAsia" w:eastAsia="仿宋_GB2312" w:cs="Times New Roman"/>
          <w:color w:val="auto"/>
          <w:spacing w:val="-6"/>
          <w:kern w:val="0"/>
          <w:sz w:val="32"/>
          <w:szCs w:val="32"/>
          <w:highlight w:val="none"/>
          <w:lang w:val="en-US" w:eastAsia="zh-CN"/>
        </w:rPr>
        <w:t>23万元，主要</w:t>
      </w:r>
      <w:r>
        <w:rPr>
          <w:rFonts w:hint="default" w:ascii="Times New Roman" w:hAnsi="Times New Roman" w:eastAsia="仿宋_GB2312" w:cs="Times New Roman"/>
          <w:color w:val="auto"/>
          <w:spacing w:val="-6"/>
          <w:kern w:val="0"/>
          <w:sz w:val="32"/>
          <w:szCs w:val="32"/>
          <w:highlight w:val="none"/>
          <w:lang w:val="en-US" w:eastAsia="zh-CN"/>
        </w:rPr>
        <w:t>包括:办公费、印刷费、水费、电费、邮电费、取暖费、公务接待费、工会经费、福利费、公务用车运行维护费。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七、关于焉耆回族自治县财政局2025年一般公共预算项目支出情况说明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项目名称：巴财企【2024】56号2025年中央财政普惠金融发展专项资金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设立的政策依据：巴财企【2024】56号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w:t>
      </w:r>
      <w:r>
        <w:rPr>
          <w:rFonts w:hint="eastAsia" w:eastAsia="仿宋_GB2312" w:cs="Times New Roman"/>
          <w:color w:val="auto"/>
          <w:kern w:val="0"/>
          <w:sz w:val="32"/>
          <w:szCs w:val="32"/>
          <w:highlight w:val="none"/>
          <w:lang w:val="en-US" w:eastAsia="zh-CN"/>
        </w:rPr>
        <w:t>投入</w:t>
      </w:r>
      <w:r>
        <w:rPr>
          <w:rFonts w:hint="default" w:ascii="Times New Roman" w:hAnsi="Times New Roman" w:eastAsia="仿宋_GB2312" w:cs="Times New Roman"/>
          <w:color w:val="auto"/>
          <w:kern w:val="0"/>
          <w:sz w:val="32"/>
          <w:szCs w:val="32"/>
          <w:highlight w:val="none"/>
          <w:lang w:val="en-US" w:eastAsia="zh-CN"/>
        </w:rPr>
        <w:t>30万元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分配给农村信用社27.6万元，每季度6.9万元；分配给邮储2.4万元，每季度0.6万元；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w:t>
      </w:r>
      <w:r>
        <w:rPr>
          <w:rFonts w:hint="eastAsia" w:eastAsia="仿宋_GB2312" w:cs="Times New Roman"/>
          <w:color w:val="auto"/>
          <w:kern w:val="0"/>
          <w:sz w:val="32"/>
          <w:szCs w:val="32"/>
          <w:highlight w:val="none"/>
          <w:lang w:val="en-US" w:eastAsia="zh-CN"/>
        </w:rPr>
        <w:t>年1月31日-12月20日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八、关于焉耆回族自治县财政局2025年政府性基金预算支出情况说明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焉耆回族自治县财政局2025年没有使用政府性基金预算拨款安排的支出，政府性基金预算支出情况表为空表。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九、关于焉耆回族自治县财政局2025年国有资本经营预算拨款情况说明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焉耆回族自治县财政局202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十、关于焉耆回族自治县财政局2025年财政拨款“三公”经费预算情况说明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焉耆回族自治县财政局2025年财政拨款“三公”经费数为5.1</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万元，其中：因公出国（境）费0万元,公务用车购置费0万元,公务用车运行费4万元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公务接待费1.1</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因公出国（境）费增加0万元，增长0%,主要原因是：</w:t>
      </w:r>
      <w:r>
        <w:rPr>
          <w:rFonts w:hint="eastAsia" w:eastAsia="仿宋_GB2312" w:cs="Times New Roman"/>
          <w:color w:val="auto"/>
          <w:kern w:val="0"/>
          <w:sz w:val="32"/>
          <w:szCs w:val="32"/>
          <w:highlight w:val="none"/>
          <w:lang w:val="en-US" w:eastAsia="zh-CN"/>
        </w:rPr>
        <w:t>本年度无预算安排</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。公务用车购置费增加0万元，增长0%,主要原因是：本单位无购置公务用车。公务用车运行费增加0万元，增长0%,主要原因是：</w:t>
      </w:r>
      <w:r>
        <w:rPr>
          <w:rFonts w:hint="eastAsia" w:eastAsia="仿宋_GB2312" w:cs="Times New Roman"/>
          <w:color w:val="auto"/>
          <w:kern w:val="0"/>
          <w:sz w:val="32"/>
          <w:szCs w:val="32"/>
          <w:highlight w:val="none"/>
          <w:lang w:val="en-US" w:eastAsia="zh-CN"/>
        </w:rPr>
        <w:t>与上年持平</w:t>
      </w:r>
      <w:r>
        <w:rPr>
          <w:rFonts w:hint="default" w:ascii="Times New Roman" w:hAnsi="Times New Roman" w:eastAsia="仿宋_GB2312" w:cs="Times New Roman"/>
          <w:color w:val="auto"/>
          <w:kern w:val="0"/>
          <w:sz w:val="32"/>
          <w:szCs w:val="32"/>
          <w:highlight w:val="none"/>
          <w:lang w:val="en-US" w:eastAsia="zh-CN"/>
        </w:rPr>
        <w:t>。公务接待费增加0万元，增长0%,主要原因是：</w:t>
      </w:r>
      <w:r>
        <w:rPr>
          <w:rFonts w:hint="eastAsia" w:eastAsia="仿宋_GB2312" w:cs="Times New Roman"/>
          <w:color w:val="auto"/>
          <w:kern w:val="0"/>
          <w:sz w:val="32"/>
          <w:szCs w:val="32"/>
          <w:highlight w:val="none"/>
          <w:lang w:val="en-US" w:eastAsia="zh-CN"/>
        </w:rPr>
        <w:t>与上年持平。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kern w:val="0"/>
          <w:sz w:val="32"/>
          <w:szCs w:val="32"/>
          <w:highlight w:val="none"/>
        </w:rPr>
        <w:t>、关于</w:t>
      </w:r>
      <w:r>
        <w:rPr>
          <w:rFonts w:hint="eastAsia" w:ascii="楷体_GB2312" w:hAnsi="楷体_GB2312" w:eastAsia="楷体_GB2312" w:cs="楷体_GB2312"/>
          <w:b/>
          <w:bCs/>
          <w:color w:val="auto"/>
          <w:kern w:val="0"/>
          <w:sz w:val="32"/>
          <w:szCs w:val="32"/>
          <w:highlight w:val="none"/>
          <w:lang w:eastAsia="zh-CN"/>
        </w:rPr>
        <w:t>焉耆县财政局</w:t>
      </w:r>
      <w:r>
        <w:rPr>
          <w:rFonts w:hint="eastAsia" w:ascii="楷体_GB2312" w:hAnsi="楷体_GB2312" w:eastAsia="楷体_GB2312" w:cs="楷体_GB2312"/>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rPr>
        <w:t>年</w:t>
      </w:r>
      <w:r>
        <w:rPr>
          <w:rFonts w:hint="eastAsia" w:ascii="楷体_GB2312" w:hAnsi="楷体_GB2312" w:eastAsia="楷体_GB2312" w:cs="楷体_GB2312"/>
          <w:b/>
          <w:bCs/>
          <w:color w:val="auto"/>
          <w:kern w:val="0"/>
          <w:sz w:val="32"/>
          <w:szCs w:val="32"/>
          <w:highlight w:val="none"/>
          <w:lang w:val="en-US" w:eastAsia="zh-CN"/>
        </w:rPr>
        <w:t>上年结转结余</w:t>
      </w:r>
      <w:r>
        <w:rPr>
          <w:rFonts w:hint="eastAsia" w:ascii="楷体_GB2312" w:hAnsi="楷体_GB2312" w:eastAsia="楷体_GB2312" w:cs="楷体_GB2312"/>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焉耆县财政局202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eastAsia="zh-CN"/>
        </w:rPr>
        <w:t>年</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widowControl/>
        <w:suppressLineNumbers w:val="0"/>
        <w:ind w:firstLine="640" w:firstLineChars="200"/>
        <w:jc w:val="left"/>
      </w:pPr>
      <w:r>
        <w:rPr>
          <w:rFonts w:hint="default" w:ascii="Times New Roman" w:hAnsi="Times New Roman" w:eastAsia="仿宋_GB2312" w:cs="Times New Roman"/>
          <w:color w:val="auto"/>
          <w:kern w:val="0"/>
          <w:sz w:val="32"/>
          <w:szCs w:val="32"/>
          <w:highlight w:val="none"/>
          <w:lang w:val="en-US" w:eastAsia="zh-CN"/>
        </w:rPr>
        <w:t>焉耆回族自治县财政局2025年的机关运行经费财政拨款预算</w:t>
      </w:r>
      <w:r>
        <w:rPr>
          <w:rFonts w:hint="eastAsia" w:eastAsia="仿宋_GB2312" w:cs="Times New Roman"/>
          <w:color w:val="auto"/>
          <w:kern w:val="0"/>
          <w:sz w:val="32"/>
          <w:szCs w:val="32"/>
          <w:highlight w:val="none"/>
          <w:lang w:val="en-US" w:eastAsia="zh-CN"/>
        </w:rPr>
        <w:t>23</w:t>
      </w:r>
      <w:r>
        <w:rPr>
          <w:rFonts w:hint="default"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减少0.67</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2.83</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eastAsia"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压价开支，</w:t>
      </w:r>
      <w:r>
        <w:rPr>
          <w:rFonts w:ascii="仿宋_GB2312" w:hAnsi="宋体" w:eastAsia="仿宋_GB2312" w:cs="仿宋_GB2312"/>
          <w:color w:val="000000"/>
          <w:kern w:val="0"/>
          <w:sz w:val="31"/>
          <w:szCs w:val="31"/>
          <w:lang w:val="en-US" w:eastAsia="zh-CN" w:bidi="ar"/>
        </w:rPr>
        <w:t>公用经费</w:t>
      </w:r>
      <w:r>
        <w:rPr>
          <w:rFonts w:hint="eastAsia" w:ascii="仿宋_GB2312" w:hAnsi="宋体" w:eastAsia="仿宋_GB2312" w:cs="仿宋_GB2312"/>
          <w:color w:val="000000"/>
          <w:kern w:val="0"/>
          <w:sz w:val="31"/>
          <w:szCs w:val="31"/>
          <w:lang w:val="en-US" w:eastAsia="zh-CN" w:bidi="ar"/>
        </w:rPr>
        <w:t>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2025年，焉耆回族自治县财政局政府采购预算16.37万元，其中：政府采购货物预算6.94万元，政府采购工程预算0万元，政府采购服务预算9.43万元。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2025年，焉耆回族自治县财政局面向中小企业预留政府采购项目预算金额</w:t>
      </w:r>
      <w:r>
        <w:rPr>
          <w:rFonts w:hint="eastAsia" w:eastAsia="仿宋_GB2312" w:cs="Times New Roman"/>
          <w:color w:val="auto"/>
          <w:kern w:val="0"/>
          <w:sz w:val="32"/>
          <w:szCs w:val="32"/>
          <w:highlight w:val="none"/>
          <w:lang w:val="en-US" w:eastAsia="zh-CN"/>
        </w:rPr>
        <w:t>16.37</w:t>
      </w:r>
      <w:r>
        <w:rPr>
          <w:rFonts w:hint="default" w:ascii="Times New Roman" w:hAnsi="Times New Roman" w:eastAsia="仿宋_GB2312" w:cs="Times New Roman"/>
          <w:color w:val="auto"/>
          <w:kern w:val="0"/>
          <w:sz w:val="32"/>
          <w:szCs w:val="32"/>
          <w:highlight w:val="none"/>
          <w:lang w:val="en-US" w:eastAsia="zh-CN"/>
        </w:rPr>
        <w:t>万元，小微企业预留政府采购项目预算金额16.37万元。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截至2024年底，焉耆回族自治县财政局及下属各预算单位占用使用国有资产总体情况为：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房屋6058平方米，价值305.93万元。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车辆2辆，价值40.61万元。其中：一般公务用车2辆，价值</w:t>
      </w:r>
      <w:r>
        <w:rPr>
          <w:rFonts w:hint="eastAsia" w:eastAsia="仿宋_GB2312" w:cs="Times New Roman"/>
          <w:color w:val="auto"/>
          <w:kern w:val="0"/>
          <w:sz w:val="32"/>
          <w:szCs w:val="32"/>
          <w:highlight w:val="none"/>
          <w:lang w:val="en-US" w:eastAsia="zh-CN"/>
        </w:rPr>
        <w:t>40.61</w:t>
      </w:r>
      <w:r>
        <w:rPr>
          <w:rFonts w:hint="default" w:ascii="Times New Roman" w:hAnsi="Times New Roman" w:eastAsia="仿宋_GB2312" w:cs="Times New Roman"/>
          <w:color w:val="auto"/>
          <w:kern w:val="0"/>
          <w:sz w:val="32"/>
          <w:szCs w:val="32"/>
          <w:highlight w:val="none"/>
          <w:lang w:val="en-US" w:eastAsia="zh-CN"/>
        </w:rPr>
        <w:t>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 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rPr>
        <w:t>（四）</w:t>
      </w:r>
      <w:r>
        <w:rPr>
          <w:rFonts w:hint="eastAsia" w:ascii="仿宋_GB2312" w:hAnsi="仿宋_GB2312" w:eastAsia="仿宋_GB2312" w:cs="仿宋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整体预算绩效目标1个，涉及预算金额777.11万元；当年预算安排项目共1个，其中: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涉及预算金额30万元；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万元。具体情况见下表（按项目分别填报）：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tbl>
      <w:tblPr>
        <w:tblStyle w:val="9"/>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ind w:firstLine="2891" w:firstLineChars="900"/>
              <w:jc w:val="both"/>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焉耆回族自治县财政局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李友凤</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18199217711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贯彻执行国家财政、税收、国有资产管理的法规、制度和方针、政策；编制焉耆县本级预决算；审查、编制、批复部门预算；落实积极财政政策，优化支出结构，强化预决算公开，提升预算绩效管理水平，提高财政资源配置效率和资金使用效益，推进焉耆县经济社会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747.11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vMerge w:val="restart"/>
            <w:tcBorders>
              <w:top w:val="single" w:color="000000" w:sz="4" w:space="0"/>
              <w:left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auto"/>
                <w:kern w:val="0"/>
                <w:sz w:val="18"/>
                <w:szCs w:val="18"/>
                <w:highlight w:val="none"/>
                <w:lang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焉耆县本级部门预算单位预决算公开完成率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=100%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u w:val="none"/>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left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color w:val="auto"/>
                <w:kern w:val="0"/>
                <w:sz w:val="18"/>
                <w:szCs w:val="18"/>
                <w:highlight w:val="none"/>
                <w:lang w:val="en-US" w:eastAsia="zh-CN" w:bidi="ar"/>
              </w:rPr>
              <w:t>专项资金30日内下达率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=100%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u w:val="none"/>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本级单位预算项目支出全过程绩效管理覆盖率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u w:val="none"/>
              </w:rPr>
              <w:t>&gt;=95%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u w:val="none"/>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2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质量指标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国有企业监管覆盖率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=100%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25</w:t>
            </w:r>
          </w:p>
        </w:tc>
      </w:tr>
    </w:tbl>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tbl>
      <w:tblPr>
        <w:tblStyle w:val="9"/>
        <w:tblpPr w:leftFromText="180" w:rightFromText="180" w:vertAnchor="text" w:horzAnchor="page" w:tblpX="1103" w:tblpY="515"/>
        <w:tblOverlap w:val="never"/>
        <w:tblW w:w="94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1"/>
        <w:gridCol w:w="1200"/>
        <w:gridCol w:w="1307"/>
        <w:gridCol w:w="861"/>
        <w:gridCol w:w="1455"/>
        <w:gridCol w:w="758"/>
        <w:gridCol w:w="767"/>
        <w:gridCol w:w="1187"/>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476"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76"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465"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焉</w:t>
            </w:r>
            <w:r>
              <w:rPr>
                <w:rFonts w:hint="eastAsia" w:ascii="宋体" w:hAnsi="宋体" w:eastAsia="宋体" w:cs="宋体"/>
                <w:i w:val="0"/>
                <w:iCs w:val="0"/>
                <w:color w:val="000000"/>
                <w:sz w:val="18"/>
                <w:szCs w:val="18"/>
                <w:highlight w:val="none"/>
                <w:u w:val="none"/>
              </w:rPr>
              <w:t>耆回族自治县财政局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62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2025年中央财政普惠金融发展专项资金</w:t>
            </w:r>
          </w:p>
        </w:tc>
        <w:tc>
          <w:tcPr>
            <w:tcW w:w="15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范涛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14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3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465" w:type="dxa"/>
            <w:gridSpan w:val="7"/>
            <w:tcBorders>
              <w:top w:val="single" w:color="000000" w:sz="4" w:space="0"/>
              <w:left w:val="nil"/>
              <w:bottom w:val="single" w:color="000000" w:sz="4" w:space="0"/>
              <w:right w:val="single" w:color="000000" w:sz="4" w:space="0"/>
            </w:tcBorders>
            <w:noWrap w:val="0"/>
            <w:vAlign w:val="top"/>
          </w:tcPr>
          <w:p>
            <w:pPr>
              <w:ind w:firstLine="540" w:firstLineChars="3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中央财政普惠金融发展专项资金补贴银行数量2个，补贴次数4次，金融机构乡镇网点覆盖率达到98%。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产出指标</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数量指标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补贴银行数量</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&gt;=2个</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补贴次数</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&gt;=4次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质量指标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补贴准确率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&gt;=95%</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时效指标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补贴发放及时率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&gt;=95%</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经济成本指标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预算控制率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&lt;=100%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效益指标</w:t>
            </w:r>
          </w:p>
        </w:tc>
        <w:tc>
          <w:tcPr>
            <w:tcW w:w="12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社会效益指标</w:t>
            </w:r>
          </w:p>
        </w:tc>
        <w:tc>
          <w:tcPr>
            <w:tcW w:w="130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金融机构乡镇网点覆盖率</w:t>
            </w:r>
          </w:p>
        </w:tc>
        <w:tc>
          <w:tcPr>
            <w:tcW w:w="8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&gt;=98%</w:t>
            </w:r>
          </w:p>
        </w:tc>
        <w:tc>
          <w:tcPr>
            <w:tcW w:w="14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758"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满意度指标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满意度指标</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受益人员满意度</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&gt;=95%</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7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bookmarkStart w:id="0" w:name="_GoBack"/>
            <w:bookmarkEnd w:id="0"/>
          </w:p>
        </w:tc>
        <w:tc>
          <w:tcPr>
            <w:tcW w:w="7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满意度赋分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b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320" w:firstLineChars="1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本单位无其他需说明的事项。</w:t>
      </w:r>
    </w:p>
    <w:p>
      <w:pPr>
        <w:rPr>
          <w:rFonts w:hint="eastAsia" w:ascii="黑体" w:hAnsi="黑体" w:eastAsia="黑体"/>
          <w:kern w:val="0"/>
          <w:sz w:val="32"/>
          <w:szCs w:val="32"/>
          <w:highlight w:val="none"/>
        </w:rPr>
      </w:pP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焉耆回族自治县财政局</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2025</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 xml:space="preserve">2 </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 xml:space="preserve"> 20</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_x0000_s00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3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olRZjoAQAA9QMAAA4AAABkcnMvZTJvRG9jLnhtbK1TTYvbMBC9F/of&#10;hO6NnRSW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oUmgvnvhqOPPfUm/ZyzLz3fZoC5iRXVP8QDT&#10;DinMansNLv+TDtYPpl5vpqo+MUnJ5Xq1Xpfkt6SzeUM4xcvnETB9VcGxHNQcqGuDmeLygGksnUvy&#10;bT7sjbWUF5X1fyQIM2eKzHjkmKPUH/uJ+DE0V9ILYRwEjHJv6M4HgekggDpPPOltpEdatA1dzcMU&#10;cdYG+PWvfK6nhtApZx1NUs09PRzO7DdPjcpDNwcwB8c5EF7ShzVPnJ0jmFM78MqaMH45JxI66M8q&#10;RuqTOJqGwcFpcvO4vd4PVS+vdfs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OolRZjoAQAA&#10;9QMAAA4AAAAAAAAAAQAgAAAAHwEAAGRycy9lMm9Eb2MueG1sUEsFBgAAAAAGAAYAWQEAAHkFAAAA&#10;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_x0000_s00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3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CI5TF36QEA&#10;APUDAAAOAAAAAAAAAAEAIAAAAB8BAABkcnMvZTJvRG9jLnhtbFBLBQYAAAAABgAGAFkBAAB6BQAA&#10;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7B68F1"/>
    <w:rsid w:val="014B0356"/>
    <w:rsid w:val="01645333"/>
    <w:rsid w:val="031C4E14"/>
    <w:rsid w:val="03AA5B10"/>
    <w:rsid w:val="03F9029D"/>
    <w:rsid w:val="04492696"/>
    <w:rsid w:val="044A74F6"/>
    <w:rsid w:val="04AF7CD7"/>
    <w:rsid w:val="04E35803"/>
    <w:rsid w:val="0551202B"/>
    <w:rsid w:val="05A2455B"/>
    <w:rsid w:val="05D76832"/>
    <w:rsid w:val="066B7117"/>
    <w:rsid w:val="06AA3FA4"/>
    <w:rsid w:val="06EE1CAF"/>
    <w:rsid w:val="074A49F6"/>
    <w:rsid w:val="07681C7F"/>
    <w:rsid w:val="08E000C3"/>
    <w:rsid w:val="090E1F90"/>
    <w:rsid w:val="09200AC7"/>
    <w:rsid w:val="0A0A12DA"/>
    <w:rsid w:val="0AD9706E"/>
    <w:rsid w:val="0ADD2077"/>
    <w:rsid w:val="0B0F573A"/>
    <w:rsid w:val="0BA97865"/>
    <w:rsid w:val="0BC11898"/>
    <w:rsid w:val="0D842C55"/>
    <w:rsid w:val="0D88323B"/>
    <w:rsid w:val="0D9F158A"/>
    <w:rsid w:val="0E9167CD"/>
    <w:rsid w:val="0EDC4880"/>
    <w:rsid w:val="11B0761E"/>
    <w:rsid w:val="120421CF"/>
    <w:rsid w:val="12DC05B1"/>
    <w:rsid w:val="15747236"/>
    <w:rsid w:val="16157B45"/>
    <w:rsid w:val="16B84634"/>
    <w:rsid w:val="16EF5A55"/>
    <w:rsid w:val="180C1BE6"/>
    <w:rsid w:val="181D581A"/>
    <w:rsid w:val="187C10CE"/>
    <w:rsid w:val="18B31728"/>
    <w:rsid w:val="1902111B"/>
    <w:rsid w:val="193F6D3D"/>
    <w:rsid w:val="19BF7E37"/>
    <w:rsid w:val="1A43412C"/>
    <w:rsid w:val="1AE97DB9"/>
    <w:rsid w:val="1B0B3DF4"/>
    <w:rsid w:val="1E2D2AF6"/>
    <w:rsid w:val="1E4F20AE"/>
    <w:rsid w:val="1EA93DF0"/>
    <w:rsid w:val="1F512F9C"/>
    <w:rsid w:val="20576C7E"/>
    <w:rsid w:val="208774EF"/>
    <w:rsid w:val="208E4A57"/>
    <w:rsid w:val="215F4DFD"/>
    <w:rsid w:val="22186B2E"/>
    <w:rsid w:val="231D6AB2"/>
    <w:rsid w:val="23346EEE"/>
    <w:rsid w:val="236C4D0D"/>
    <w:rsid w:val="237E36A1"/>
    <w:rsid w:val="240D1608"/>
    <w:rsid w:val="241D0D7F"/>
    <w:rsid w:val="247648FB"/>
    <w:rsid w:val="25210F5B"/>
    <w:rsid w:val="2573111D"/>
    <w:rsid w:val="2781005D"/>
    <w:rsid w:val="280A14B0"/>
    <w:rsid w:val="293E2E3F"/>
    <w:rsid w:val="294A7A48"/>
    <w:rsid w:val="29521E45"/>
    <w:rsid w:val="298B7235"/>
    <w:rsid w:val="299837ED"/>
    <w:rsid w:val="2A48578D"/>
    <w:rsid w:val="2B4546F8"/>
    <w:rsid w:val="2B826021"/>
    <w:rsid w:val="2BBC47F2"/>
    <w:rsid w:val="2C6745B1"/>
    <w:rsid w:val="2C6E0BC1"/>
    <w:rsid w:val="2CEF1D6E"/>
    <w:rsid w:val="2D33481D"/>
    <w:rsid w:val="2D664577"/>
    <w:rsid w:val="2DB50407"/>
    <w:rsid w:val="2DC6652C"/>
    <w:rsid w:val="2DE21848"/>
    <w:rsid w:val="2F5026E5"/>
    <w:rsid w:val="2F781458"/>
    <w:rsid w:val="2F9F2A0F"/>
    <w:rsid w:val="2FED4FF0"/>
    <w:rsid w:val="30114FAE"/>
    <w:rsid w:val="306869E5"/>
    <w:rsid w:val="314045A3"/>
    <w:rsid w:val="315B0F9C"/>
    <w:rsid w:val="32E4311F"/>
    <w:rsid w:val="331F0C23"/>
    <w:rsid w:val="335E79EB"/>
    <w:rsid w:val="344F086A"/>
    <w:rsid w:val="348E103E"/>
    <w:rsid w:val="34B3221A"/>
    <w:rsid w:val="34D50410"/>
    <w:rsid w:val="35383E48"/>
    <w:rsid w:val="35395FFE"/>
    <w:rsid w:val="3554263F"/>
    <w:rsid w:val="35867493"/>
    <w:rsid w:val="369135BC"/>
    <w:rsid w:val="371D594A"/>
    <w:rsid w:val="373C6EE6"/>
    <w:rsid w:val="37864FCA"/>
    <w:rsid w:val="39730A91"/>
    <w:rsid w:val="39BE27D8"/>
    <w:rsid w:val="3A170724"/>
    <w:rsid w:val="3A5F51B8"/>
    <w:rsid w:val="3A77506D"/>
    <w:rsid w:val="3AAF4296"/>
    <w:rsid w:val="3CBD290F"/>
    <w:rsid w:val="3DC40EF6"/>
    <w:rsid w:val="3E942D4C"/>
    <w:rsid w:val="3ED65FBB"/>
    <w:rsid w:val="3EE60574"/>
    <w:rsid w:val="40165966"/>
    <w:rsid w:val="4139036A"/>
    <w:rsid w:val="41393285"/>
    <w:rsid w:val="413D24C6"/>
    <w:rsid w:val="417E1FEA"/>
    <w:rsid w:val="421971AD"/>
    <w:rsid w:val="429F7E5B"/>
    <w:rsid w:val="43B15C22"/>
    <w:rsid w:val="43B97E0E"/>
    <w:rsid w:val="44080EE8"/>
    <w:rsid w:val="4431767F"/>
    <w:rsid w:val="44D24506"/>
    <w:rsid w:val="46994C41"/>
    <w:rsid w:val="475E3375"/>
    <w:rsid w:val="48186468"/>
    <w:rsid w:val="48705004"/>
    <w:rsid w:val="49C46D8B"/>
    <w:rsid w:val="4C08792F"/>
    <w:rsid w:val="4C151D15"/>
    <w:rsid w:val="4C265CBA"/>
    <w:rsid w:val="4D12099D"/>
    <w:rsid w:val="4D271F9F"/>
    <w:rsid w:val="4FD66076"/>
    <w:rsid w:val="50757541"/>
    <w:rsid w:val="50CE4C58"/>
    <w:rsid w:val="51596F3F"/>
    <w:rsid w:val="51F1101F"/>
    <w:rsid w:val="520D41FE"/>
    <w:rsid w:val="521E2239"/>
    <w:rsid w:val="52DD1486"/>
    <w:rsid w:val="551A5EF5"/>
    <w:rsid w:val="55A93D5D"/>
    <w:rsid w:val="55FD658E"/>
    <w:rsid w:val="56885851"/>
    <w:rsid w:val="5707453F"/>
    <w:rsid w:val="573F3E2C"/>
    <w:rsid w:val="57BC6F1E"/>
    <w:rsid w:val="581B6647"/>
    <w:rsid w:val="59253571"/>
    <w:rsid w:val="59BB660E"/>
    <w:rsid w:val="5B521A6E"/>
    <w:rsid w:val="5B703667"/>
    <w:rsid w:val="5B8164B3"/>
    <w:rsid w:val="5BC36CD2"/>
    <w:rsid w:val="5C6B10EE"/>
    <w:rsid w:val="5CCE6473"/>
    <w:rsid w:val="5CE41F70"/>
    <w:rsid w:val="5CEB2874"/>
    <w:rsid w:val="5D157250"/>
    <w:rsid w:val="5D7C4FF9"/>
    <w:rsid w:val="5D827805"/>
    <w:rsid w:val="5E93450B"/>
    <w:rsid w:val="5EC3419C"/>
    <w:rsid w:val="5F046A1F"/>
    <w:rsid w:val="5F8F1BF0"/>
    <w:rsid w:val="5FF346CF"/>
    <w:rsid w:val="602F293D"/>
    <w:rsid w:val="607E2AAD"/>
    <w:rsid w:val="60BE540E"/>
    <w:rsid w:val="61C25219"/>
    <w:rsid w:val="61E0552B"/>
    <w:rsid w:val="62102E7D"/>
    <w:rsid w:val="624A0561"/>
    <w:rsid w:val="62E4476E"/>
    <w:rsid w:val="633C7213"/>
    <w:rsid w:val="635C769D"/>
    <w:rsid w:val="63CC20CD"/>
    <w:rsid w:val="63CF3272"/>
    <w:rsid w:val="64B430BB"/>
    <w:rsid w:val="64C627EA"/>
    <w:rsid w:val="64E23283"/>
    <w:rsid w:val="67F96767"/>
    <w:rsid w:val="683C24EA"/>
    <w:rsid w:val="68AD244E"/>
    <w:rsid w:val="69414A18"/>
    <w:rsid w:val="699541B9"/>
    <w:rsid w:val="6B904784"/>
    <w:rsid w:val="6C2B3422"/>
    <w:rsid w:val="6C522F43"/>
    <w:rsid w:val="6D5D701D"/>
    <w:rsid w:val="6D770663"/>
    <w:rsid w:val="6F3B24B0"/>
    <w:rsid w:val="6F6D2A5B"/>
    <w:rsid w:val="6F9F6CA2"/>
    <w:rsid w:val="704E6A44"/>
    <w:rsid w:val="713F2510"/>
    <w:rsid w:val="716450E2"/>
    <w:rsid w:val="716C31C9"/>
    <w:rsid w:val="71AC0680"/>
    <w:rsid w:val="723E5D3C"/>
    <w:rsid w:val="72EB3B9D"/>
    <w:rsid w:val="739B63DD"/>
    <w:rsid w:val="73FF79A3"/>
    <w:rsid w:val="74D72C46"/>
    <w:rsid w:val="74EE3721"/>
    <w:rsid w:val="755C73FF"/>
    <w:rsid w:val="75914CC9"/>
    <w:rsid w:val="75BF675E"/>
    <w:rsid w:val="75E011A5"/>
    <w:rsid w:val="773F67DC"/>
    <w:rsid w:val="77857750"/>
    <w:rsid w:val="77977E0B"/>
    <w:rsid w:val="78021C1F"/>
    <w:rsid w:val="78400D71"/>
    <w:rsid w:val="78811762"/>
    <w:rsid w:val="78A9628A"/>
    <w:rsid w:val="78B87C4A"/>
    <w:rsid w:val="78EF4D8B"/>
    <w:rsid w:val="793669D9"/>
    <w:rsid w:val="7A5B0BD3"/>
    <w:rsid w:val="7A7B5225"/>
    <w:rsid w:val="7B960C80"/>
    <w:rsid w:val="7BB46DAB"/>
    <w:rsid w:val="7E065D29"/>
    <w:rsid w:val="7F0D6105"/>
    <w:rsid w:val="7F881103"/>
    <w:rsid w:val="7F9042AD"/>
    <w:rsid w:val="7FA5298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91b62-9884-46c2-8aba-4c603bc0b672}">
  <ds:schemaRefs/>
</ds:datastoreItem>
</file>

<file path=customXml/itemProps3.xml><?xml version="1.0" encoding="utf-8"?>
<ds:datastoreItem xmlns:ds="http://schemas.openxmlformats.org/officeDocument/2006/customXml" ds:itemID="{492e0eb4-1989-47e6-9354-4123c19dfc3d}">
  <ds:schemaRefs/>
</ds:datastoreItem>
</file>

<file path=customXml/itemProps4.xml><?xml version="1.0" encoding="utf-8"?>
<ds:datastoreItem xmlns:ds="http://schemas.openxmlformats.org/officeDocument/2006/customXml" ds:itemID="{ab0f9b09-1a1d-40ec-b490-e54631fdf5b1}">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5</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2025-04-28T09:37:26Z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