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焉耆回族自治县第六幼儿园</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一、关于焉耆回族自治县第六幼儿园2025年收支预算情况的总体说明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二、关于焉耆回族自治县第六幼儿园2025年收入预算情况说明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三、关于焉耆回族自治县第六幼儿园2025年支出预算情况说明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四、关于焉耆回族自治县第六幼儿园2025年财政拨款收支预算情况的总体说明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五、关于焉耆回族自治县第六幼儿园2025年一般公共预算当年拨款情况说明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六、关于焉耆回族自治县第六幼儿园2025年一般公共预算基本支出情况说明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七、关于焉耆回族自治县第六幼儿园2025年一般公共预算项目支出情况说明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八、关于焉耆回族自治县第六幼儿园2025年政府性基金预算拨款情况说明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九、关于焉耆回族自治县第六幼儿园2025年国有资本经营预算拨款情况说明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十、关于焉耆回族自治县第六幼儿园2025年财政拨款“三公”经费预算情况说明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十一、关于焉耆回族自治县第六幼儿园2025年上年结转结余预算情况说明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 xml:space="preserve"> 1.我单位认真贯彻执行党和国家有关幼儿教育的方针、政策以及教育法规、规章，坚持正确的办园方向。执行上级的指示和决议；贯彻执行《幼儿教育纲要》和《幼儿园工作规程》，深化改革，强化管理，使各项工作程序化，规范化，制度化，不断提高保教水平。</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2.制定并严格执行幼儿园安全、卫生、保健制度，培养幼儿良好的习惯，预防安全事故发生。</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3.观察、分析并记录幼儿发展情况，关注幼儿的兴趣和需要及个体差异。从实际出发，实施素质教育，为幼儿发展打下良好基础。</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4.培育健康活泼、独立自信、探究合作、习惯良好、具有爱心的幼儿，张扬孩子的个性，促进每个孩子全面和谐发展。</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5.与时俱进，勤于学习，善于学习，树立现代教育理念，不断学习和汲取新信息、新知识，不断创新教育方法，积极参与教研活动，促进教师自我发展。</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6.创设与保教要求相适应的环境，科学合理地安排幼儿一日活动，保证幼儿充足的游戏活动、户外活动、自主活动时间。</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7.与家长经常保持联系，了解幼儿家庭教育情况，商讨符合幼儿特点的教育措施，协同完成教育任务。</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焉耆回族自治县第六幼儿园无下属预算单位。下设4个处室，分别是：园长办、保教办、党办、行办。</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焉耆回族自治县第六幼儿园编制数44，实有人数24人，其中：在职24人，减少1人；退休0人，减少0人；离休0人，减少0人。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pP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pP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pP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焉耆回族自治县第六幼儿园</w:t>
      </w:r>
      <w:r>
        <w:rPr>
          <w:rFonts w:hint="default" w:ascii="Times New Roman" w:hAnsi="Times New Roman" w:eastAsia="仿宋_GB2312" w:cs="Times New Roman"/>
          <w:color w:val="auto"/>
          <w:kern w:val="0"/>
          <w:sz w:val="24"/>
          <w:highlight w:val="none"/>
        </w:rPr>
        <w:t xml:space="preserve">                          单位：万元</w:t>
      </w:r>
    </w:p>
    <w:tbl>
      <w:tblPr>
        <w:tblStyle w:val="12"/>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286.31</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285.29</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285.29</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286.31</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ind w:firstLine="180" w:firstLineChars="100"/>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1.02</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2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1.02</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286.31</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286.31</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焉耆回族自治县第六幼儿园</w:t>
      </w:r>
      <w:r>
        <w:rPr>
          <w:rFonts w:hint="default" w:ascii="Times New Roman" w:hAnsi="Times New Roman" w:eastAsia="仿宋_GB2312" w:cs="Times New Roman"/>
          <w:color w:val="auto"/>
          <w:kern w:val="0"/>
          <w:sz w:val="24"/>
          <w:highlight w:val="none"/>
        </w:rPr>
        <w:t xml:space="preserve">                         单位：万元</w:t>
      </w:r>
    </w:p>
    <w:tbl>
      <w:tblPr>
        <w:tblStyle w:val="12"/>
        <w:tblW w:w="9660" w:type="dxa"/>
        <w:tblInd w:w="-450" w:type="dxa"/>
        <w:tblLayout w:type="fixed"/>
        <w:tblCellMar>
          <w:top w:w="0" w:type="dxa"/>
          <w:left w:w="108" w:type="dxa"/>
          <w:bottom w:w="0" w:type="dxa"/>
          <w:right w:w="108" w:type="dxa"/>
        </w:tblCellMar>
      </w:tblPr>
      <w:tblGrid>
        <w:gridCol w:w="564"/>
        <w:gridCol w:w="667"/>
        <w:gridCol w:w="633"/>
        <w:gridCol w:w="691"/>
        <w:gridCol w:w="1026"/>
        <w:gridCol w:w="761"/>
        <w:gridCol w:w="774"/>
        <w:gridCol w:w="453"/>
        <w:gridCol w:w="379"/>
        <w:gridCol w:w="566"/>
        <w:gridCol w:w="508"/>
        <w:gridCol w:w="706"/>
        <w:gridCol w:w="521"/>
        <w:gridCol w:w="547"/>
        <w:gridCol w:w="357"/>
        <w:gridCol w:w="507"/>
      </w:tblGrid>
      <w:tr>
        <w:tblPrEx>
          <w:tblCellMar>
            <w:top w:w="0" w:type="dxa"/>
            <w:left w:w="108" w:type="dxa"/>
            <w:bottom w:w="0" w:type="dxa"/>
            <w:right w:w="108" w:type="dxa"/>
          </w:tblCellMar>
        </w:tblPrEx>
        <w:trPr>
          <w:trHeight w:val="697" w:hRule="atLeast"/>
        </w:trPr>
        <w:tc>
          <w:tcPr>
            <w:tcW w:w="186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691"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102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14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521"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54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35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50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64"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667"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633"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691"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102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76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77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45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379"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56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50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70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521"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54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5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50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4"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205</w:t>
            </w:r>
          </w:p>
        </w:tc>
        <w:tc>
          <w:tcPr>
            <w:tcW w:w="66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18"/>
                <w:szCs w:val="18"/>
                <w:highlight w:val="none"/>
              </w:rPr>
            </w:pPr>
          </w:p>
        </w:tc>
        <w:tc>
          <w:tcPr>
            <w:tcW w:w="63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18"/>
                <w:szCs w:val="18"/>
                <w:highlight w:val="none"/>
              </w:rPr>
            </w:pPr>
          </w:p>
        </w:tc>
        <w:tc>
          <w:tcPr>
            <w:tcW w:w="691"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教育</w:t>
            </w:r>
          </w:p>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支出</w:t>
            </w:r>
          </w:p>
        </w:tc>
        <w:tc>
          <w:tcPr>
            <w:tcW w:w="1026"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286.31</w:t>
            </w:r>
          </w:p>
        </w:tc>
        <w:tc>
          <w:tcPr>
            <w:tcW w:w="761"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285.29</w:t>
            </w:r>
          </w:p>
        </w:tc>
        <w:tc>
          <w:tcPr>
            <w:tcW w:w="774"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285.29</w:t>
            </w:r>
          </w:p>
        </w:tc>
        <w:tc>
          <w:tcPr>
            <w:tcW w:w="453"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p>
        </w:tc>
        <w:tc>
          <w:tcPr>
            <w:tcW w:w="566"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p>
        </w:tc>
        <w:tc>
          <w:tcPr>
            <w:tcW w:w="508"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p>
        </w:tc>
        <w:tc>
          <w:tcPr>
            <w:tcW w:w="706"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p>
        </w:tc>
        <w:tc>
          <w:tcPr>
            <w:tcW w:w="521"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p>
        </w:tc>
        <w:tc>
          <w:tcPr>
            <w:tcW w:w="547"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1.02</w:t>
            </w:r>
          </w:p>
        </w:tc>
        <w:tc>
          <w:tcPr>
            <w:tcW w:w="35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677" w:hRule="atLeast"/>
        </w:trPr>
        <w:tc>
          <w:tcPr>
            <w:tcW w:w="56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205</w:t>
            </w:r>
          </w:p>
        </w:tc>
        <w:tc>
          <w:tcPr>
            <w:tcW w:w="6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05</w:t>
            </w:r>
          </w:p>
        </w:tc>
        <w:tc>
          <w:tcPr>
            <w:tcW w:w="6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lang w:eastAsia="zh-CN"/>
              </w:rPr>
              <w:t>普通</w:t>
            </w:r>
          </w:p>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eastAsia="zh-CN"/>
              </w:rPr>
              <w:t>教育</w:t>
            </w:r>
          </w:p>
        </w:tc>
        <w:tc>
          <w:tcPr>
            <w:tcW w:w="10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286.31</w:t>
            </w:r>
          </w:p>
        </w:tc>
        <w:tc>
          <w:tcPr>
            <w:tcW w:w="7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285.29</w:t>
            </w:r>
          </w:p>
        </w:tc>
        <w:tc>
          <w:tcPr>
            <w:tcW w:w="7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285.29</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1.02</w:t>
            </w:r>
          </w:p>
        </w:tc>
        <w:tc>
          <w:tcPr>
            <w:tcW w:w="3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790" w:hRule="atLeast"/>
        </w:trPr>
        <w:tc>
          <w:tcPr>
            <w:tcW w:w="56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205</w:t>
            </w:r>
          </w:p>
        </w:tc>
        <w:tc>
          <w:tcPr>
            <w:tcW w:w="6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05</w:t>
            </w:r>
          </w:p>
        </w:tc>
        <w:tc>
          <w:tcPr>
            <w:tcW w:w="6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01</w:t>
            </w:r>
          </w:p>
          <w:p>
            <w:pPr>
              <w:pStyle w:val="3"/>
              <w:rPr>
                <w:rFonts w:hint="default" w:ascii="Times New Roman" w:hAnsi="Times New Roman" w:cs="Times New Roman"/>
                <w:lang w:val="en-US"/>
              </w:rPr>
            </w:pPr>
          </w:p>
        </w:tc>
        <w:tc>
          <w:tcPr>
            <w:tcW w:w="6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lang w:eastAsia="zh-CN"/>
              </w:rPr>
              <w:t>学前</w:t>
            </w:r>
          </w:p>
          <w:p>
            <w:pPr>
              <w:jc w:val="left"/>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lang w:eastAsia="zh-CN"/>
              </w:rPr>
              <w:t>教育</w:t>
            </w:r>
          </w:p>
        </w:tc>
        <w:tc>
          <w:tcPr>
            <w:tcW w:w="10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286.31</w:t>
            </w:r>
          </w:p>
        </w:tc>
        <w:tc>
          <w:tcPr>
            <w:tcW w:w="7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285.29</w:t>
            </w:r>
          </w:p>
        </w:tc>
        <w:tc>
          <w:tcPr>
            <w:tcW w:w="7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285.29</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1.02</w:t>
            </w:r>
          </w:p>
        </w:tc>
        <w:tc>
          <w:tcPr>
            <w:tcW w:w="3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10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5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10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5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10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5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10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5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91"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10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5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b/>
                <w:bCs/>
                <w:color w:val="auto"/>
                <w:sz w:val="18"/>
                <w:szCs w:val="18"/>
                <w:highlight w:val="none"/>
              </w:rPr>
              <w:t>合  计</w:t>
            </w:r>
            <w:r>
              <w:rPr>
                <w:rFonts w:hint="default" w:ascii="Times New Roman" w:hAnsi="Times New Roman" w:eastAsia="仿宋_GB2312" w:cs="Times New Roman"/>
                <w:color w:val="auto"/>
                <w:sz w:val="18"/>
                <w:szCs w:val="18"/>
                <w:highlight w:val="none"/>
              </w:rPr>
              <w:t>　</w:t>
            </w:r>
          </w:p>
        </w:tc>
        <w:tc>
          <w:tcPr>
            <w:tcW w:w="10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286.31</w:t>
            </w:r>
          </w:p>
        </w:tc>
        <w:tc>
          <w:tcPr>
            <w:tcW w:w="761"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285.29</w:t>
            </w:r>
          </w:p>
        </w:tc>
        <w:tc>
          <w:tcPr>
            <w:tcW w:w="77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285.29</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0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2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1.02</w:t>
            </w:r>
          </w:p>
        </w:tc>
        <w:tc>
          <w:tcPr>
            <w:tcW w:w="3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焉耆回族自治县第六幼儿园</w:t>
      </w:r>
      <w:r>
        <w:rPr>
          <w:rFonts w:hint="default" w:ascii="Times New Roman" w:hAnsi="Times New Roman" w:eastAsia="仿宋_GB2312" w:cs="Times New Roman"/>
          <w:color w:val="auto"/>
          <w:kern w:val="0"/>
          <w:sz w:val="24"/>
          <w:highlight w:val="none"/>
        </w:rPr>
        <w:t xml:space="preserve">                         单位：万元</w:t>
      </w:r>
    </w:p>
    <w:tbl>
      <w:tblPr>
        <w:tblStyle w:val="12"/>
        <w:tblW w:w="9420" w:type="dxa"/>
        <w:tblInd w:w="-240" w:type="dxa"/>
        <w:tblLayout w:type="autofit"/>
        <w:tblCellMar>
          <w:top w:w="0" w:type="dxa"/>
          <w:left w:w="108" w:type="dxa"/>
          <w:bottom w:w="0" w:type="dxa"/>
          <w:right w:w="108" w:type="dxa"/>
        </w:tblCellMar>
      </w:tblPr>
      <w:tblGrid>
        <w:gridCol w:w="486"/>
        <w:gridCol w:w="417"/>
        <w:gridCol w:w="417"/>
        <w:gridCol w:w="2561"/>
        <w:gridCol w:w="1831"/>
        <w:gridCol w:w="1832"/>
        <w:gridCol w:w="1876"/>
      </w:tblGrid>
      <w:tr>
        <w:tblPrEx>
          <w:tblCellMar>
            <w:top w:w="0" w:type="dxa"/>
            <w:left w:w="108" w:type="dxa"/>
            <w:bottom w:w="0" w:type="dxa"/>
            <w:right w:w="108" w:type="dxa"/>
          </w:tblCellMar>
        </w:tblPrEx>
        <w:trPr>
          <w:trHeight w:val="328" w:hRule="atLeast"/>
        </w:trPr>
        <w:tc>
          <w:tcPr>
            <w:tcW w:w="383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82"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2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8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4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9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8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4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4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9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205</w:t>
            </w:r>
            <w:r>
              <w:rPr>
                <w:rFonts w:hint="default" w:ascii="Times New Roman" w:hAnsi="Times New Roman" w:eastAsia="仿宋_GB2312" w:cs="Times New Roman"/>
                <w:color w:val="auto"/>
                <w:sz w:val="18"/>
                <w:szCs w:val="18"/>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258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教育支出</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286.31</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286.31</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205</w:t>
            </w:r>
            <w:r>
              <w:rPr>
                <w:rFonts w:hint="default" w:ascii="Times New Roman" w:hAnsi="Times New Roman" w:eastAsia="仿宋_GB2312" w:cs="Times New Roman"/>
                <w:color w:val="auto"/>
                <w:sz w:val="18"/>
                <w:szCs w:val="18"/>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r>
              <w:rPr>
                <w:rFonts w:hint="default" w:ascii="Times New Roman" w:hAnsi="Times New Roman" w:eastAsia="仿宋_GB2312" w:cs="Times New Roman"/>
                <w:color w:val="auto"/>
                <w:sz w:val="18"/>
                <w:szCs w:val="18"/>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258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eastAsia="zh-CN"/>
              </w:rPr>
              <w:t>普通教育</w:t>
            </w:r>
            <w:r>
              <w:rPr>
                <w:rFonts w:hint="default" w:ascii="Times New Roman" w:hAnsi="Times New Roman" w:eastAsia="仿宋_GB2312" w:cs="Times New Roman"/>
                <w:color w:val="auto"/>
                <w:sz w:val="18"/>
                <w:szCs w:val="18"/>
                <w:highlight w:val="none"/>
              </w:rPr>
              <w:t>　</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286.31</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286.31</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205</w:t>
            </w:r>
            <w:r>
              <w:rPr>
                <w:rFonts w:hint="default" w:ascii="Times New Roman" w:hAnsi="Times New Roman" w:eastAsia="仿宋_GB2312" w:cs="Times New Roman"/>
                <w:color w:val="auto"/>
                <w:sz w:val="18"/>
                <w:szCs w:val="18"/>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r>
              <w:rPr>
                <w:rFonts w:hint="default" w:ascii="Times New Roman" w:hAnsi="Times New Roman" w:eastAsia="仿宋_GB2312" w:cs="Times New Roman"/>
                <w:color w:val="auto"/>
                <w:sz w:val="18"/>
                <w:szCs w:val="18"/>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02</w:t>
            </w:r>
            <w:r>
              <w:rPr>
                <w:rFonts w:hint="default" w:ascii="Times New Roman" w:hAnsi="Times New Roman" w:eastAsia="仿宋_GB2312" w:cs="Times New Roman"/>
                <w:color w:val="auto"/>
                <w:sz w:val="18"/>
                <w:szCs w:val="18"/>
                <w:highlight w:val="none"/>
              </w:rPr>
              <w:t>　</w:t>
            </w:r>
          </w:p>
        </w:tc>
        <w:tc>
          <w:tcPr>
            <w:tcW w:w="258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eastAsia="zh-CN"/>
              </w:rPr>
              <w:t>学前教育</w:t>
            </w:r>
          </w:p>
        </w:tc>
        <w:tc>
          <w:tcPr>
            <w:tcW w:w="18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286.31</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286.31</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2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p>
        </w:tc>
        <w:tc>
          <w:tcPr>
            <w:tcW w:w="184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c>
          <w:tcPr>
            <w:tcW w:w="184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p>
        </w:tc>
        <w:tc>
          <w:tcPr>
            <w:tcW w:w="41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p>
        </w:tc>
        <w:tc>
          <w:tcPr>
            <w:tcW w:w="41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p>
        </w:tc>
        <w:tc>
          <w:tcPr>
            <w:tcW w:w="258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p>
        </w:tc>
        <w:tc>
          <w:tcPr>
            <w:tcW w:w="184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18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18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05" w:hRule="atLeast"/>
        </w:trPr>
        <w:tc>
          <w:tcPr>
            <w:tcW w:w="41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合  计</w:t>
            </w:r>
          </w:p>
        </w:tc>
        <w:tc>
          <w:tcPr>
            <w:tcW w:w="18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286.31</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286.31</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jc w:val="lef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eastAsia="zh-CN"/>
        </w:rPr>
        <w:t>焉耆回族自治县第六幼儿园</w:t>
      </w:r>
      <w:r>
        <w:rPr>
          <w:rFonts w:hint="default" w:ascii="Times New Roman" w:hAnsi="Times New Roman" w:eastAsia="仿宋_GB2312" w:cs="Times New Roman"/>
          <w:color w:val="auto"/>
          <w:kern w:val="0"/>
          <w:sz w:val="24"/>
          <w:szCs w:val="24"/>
          <w:highlight w:val="none"/>
        </w:rPr>
        <w:t xml:space="preserve">                          单位：万元</w:t>
      </w:r>
    </w:p>
    <w:tbl>
      <w:tblPr>
        <w:tblStyle w:val="12"/>
        <w:tblW w:w="9449" w:type="dxa"/>
        <w:tblInd w:w="-240" w:type="dxa"/>
        <w:tblLayout w:type="autofit"/>
        <w:tblCellMar>
          <w:top w:w="0" w:type="dxa"/>
          <w:left w:w="108" w:type="dxa"/>
          <w:bottom w:w="0" w:type="dxa"/>
          <w:right w:w="108" w:type="dxa"/>
        </w:tblCellMar>
      </w:tblPr>
      <w:tblGrid>
        <w:gridCol w:w="1936"/>
        <w:gridCol w:w="914"/>
        <w:gridCol w:w="2580"/>
        <w:gridCol w:w="900"/>
        <w:gridCol w:w="851"/>
        <w:gridCol w:w="1170"/>
        <w:gridCol w:w="1098"/>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09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285.29</w:t>
            </w: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285.29</w:t>
            </w: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285.29</w:t>
            </w: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285.29</w:t>
            </w: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single" w:color="auto" w:sz="4" w:space="0"/>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single" w:color="auto" w:sz="4" w:space="0"/>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285.29</w:t>
            </w:r>
            <w:r>
              <w:rPr>
                <w:rFonts w:hint="default" w:ascii="Times New Roman" w:hAnsi="Times New Roman" w:eastAsia="仿宋_GB2312" w:cs="Times New Roman"/>
                <w:b/>
                <w:bCs/>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285.29</w:t>
            </w: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285.29</w:t>
            </w:r>
            <w:r>
              <w:rPr>
                <w:rFonts w:hint="default" w:ascii="Times New Roman" w:hAnsi="Times New Roman" w:eastAsia="仿宋_GB2312" w:cs="Times New Roman"/>
                <w:color w:val="auto"/>
                <w:kern w:val="0"/>
                <w:sz w:val="18"/>
                <w:szCs w:val="18"/>
                <w:highlight w:val="none"/>
              </w:rPr>
              <w:t>　</w:t>
            </w:r>
          </w:p>
        </w:tc>
        <w:tc>
          <w:tcPr>
            <w:tcW w:w="117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9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cs="Times New Roman"/>
          <w:lang w:val="en-US" w:eastAsia="zh-CN"/>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2"/>
        <w:tblW w:w="9214" w:type="dxa"/>
        <w:tblInd w:w="-34" w:type="dxa"/>
        <w:tblLayout w:type="autofit"/>
        <w:tblCellMar>
          <w:top w:w="0" w:type="dxa"/>
          <w:left w:w="108" w:type="dxa"/>
          <w:bottom w:w="0" w:type="dxa"/>
          <w:right w:w="108" w:type="dxa"/>
        </w:tblCellMar>
      </w:tblPr>
      <w:tblGrid>
        <w:gridCol w:w="516"/>
        <w:gridCol w:w="616"/>
        <w:gridCol w:w="916"/>
        <w:gridCol w:w="2286"/>
        <w:gridCol w:w="649"/>
        <w:gridCol w:w="965"/>
        <w:gridCol w:w="200"/>
        <w:gridCol w:w="1489"/>
        <w:gridCol w:w="1577"/>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4334"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焉耆回族自治县第六幼儿园</w:t>
            </w:r>
          </w:p>
        </w:tc>
        <w:tc>
          <w:tcPr>
            <w:tcW w:w="649"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165"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066" w:type="dxa"/>
            <w:gridSpan w:val="2"/>
            <w:tcBorders>
              <w:top w:val="nil"/>
              <w:left w:val="nil"/>
              <w:bottom w:val="nil"/>
              <w:right w:val="nil"/>
            </w:tcBorders>
            <w:noWrap w:val="0"/>
            <w:vAlign w:val="center"/>
          </w:tcPr>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334"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880"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2048"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28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14"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89"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5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6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9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2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14"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89"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5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205</w:t>
            </w:r>
          </w:p>
        </w:tc>
        <w:tc>
          <w:tcPr>
            <w:tcW w:w="6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9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22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教育支出</w:t>
            </w:r>
          </w:p>
        </w:tc>
        <w:tc>
          <w:tcPr>
            <w:tcW w:w="161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color w:val="auto"/>
                <w:kern w:val="0"/>
                <w:sz w:val="18"/>
                <w:szCs w:val="18"/>
                <w:highlight w:val="none"/>
                <w:lang w:val="en-US" w:eastAsia="zh-CN"/>
              </w:rPr>
            </w:pPr>
            <w:r>
              <w:rPr>
                <w:rFonts w:hint="default" w:ascii="Times New Roman" w:hAnsi="Times New Roman" w:eastAsia="仿宋_GB2312" w:cs="Times New Roman"/>
                <w:b w:val="0"/>
                <w:bCs/>
                <w:color w:val="auto"/>
                <w:kern w:val="0"/>
                <w:sz w:val="18"/>
                <w:szCs w:val="18"/>
                <w:highlight w:val="none"/>
                <w:lang w:val="en-US" w:eastAsia="zh-CN"/>
              </w:rPr>
              <w:t>285.29</w:t>
            </w:r>
          </w:p>
        </w:tc>
        <w:tc>
          <w:tcPr>
            <w:tcW w:w="1689"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color w:val="auto"/>
                <w:kern w:val="0"/>
                <w:sz w:val="18"/>
                <w:szCs w:val="18"/>
                <w:highlight w:val="none"/>
                <w:lang w:val="en-US" w:eastAsia="zh-CN" w:bidi="ar-SA"/>
              </w:rPr>
            </w:pPr>
            <w:r>
              <w:rPr>
                <w:rFonts w:hint="default" w:ascii="Times New Roman" w:hAnsi="Times New Roman" w:eastAsia="仿宋_GB2312" w:cs="Times New Roman"/>
                <w:b w:val="0"/>
                <w:bCs/>
                <w:color w:val="auto"/>
                <w:kern w:val="0"/>
                <w:sz w:val="18"/>
                <w:szCs w:val="18"/>
                <w:highlight w:val="none"/>
                <w:lang w:val="en-US" w:eastAsia="zh-CN"/>
              </w:rPr>
              <w:t>285.29</w:t>
            </w: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trHeight w:val="463"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205</w:t>
            </w:r>
          </w:p>
        </w:tc>
        <w:tc>
          <w:tcPr>
            <w:tcW w:w="6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05</w:t>
            </w:r>
          </w:p>
        </w:tc>
        <w:tc>
          <w:tcPr>
            <w:tcW w:w="9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22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普通教育</w:t>
            </w:r>
          </w:p>
        </w:tc>
        <w:tc>
          <w:tcPr>
            <w:tcW w:w="161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b w:val="0"/>
                <w:bCs/>
                <w:color w:val="auto"/>
                <w:kern w:val="0"/>
                <w:sz w:val="18"/>
                <w:szCs w:val="18"/>
                <w:highlight w:val="none"/>
                <w:lang w:val="en-US" w:eastAsia="zh-CN"/>
              </w:rPr>
              <w:t>285.29</w:t>
            </w:r>
          </w:p>
        </w:tc>
        <w:tc>
          <w:tcPr>
            <w:tcW w:w="1689"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b w:val="0"/>
                <w:bCs/>
                <w:color w:val="auto"/>
                <w:kern w:val="0"/>
                <w:sz w:val="18"/>
                <w:szCs w:val="18"/>
                <w:highlight w:val="none"/>
                <w:lang w:val="en-US" w:eastAsia="zh-CN"/>
              </w:rPr>
              <w:t>285.29</w:t>
            </w: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205</w:t>
            </w:r>
          </w:p>
        </w:tc>
        <w:tc>
          <w:tcPr>
            <w:tcW w:w="6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05</w:t>
            </w:r>
          </w:p>
        </w:tc>
        <w:tc>
          <w:tcPr>
            <w:tcW w:w="9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02</w:t>
            </w:r>
          </w:p>
        </w:tc>
        <w:tc>
          <w:tcPr>
            <w:tcW w:w="22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学前教育</w:t>
            </w:r>
          </w:p>
        </w:tc>
        <w:tc>
          <w:tcPr>
            <w:tcW w:w="1614" w:type="dxa"/>
            <w:gridSpan w:val="2"/>
            <w:tcBorders>
              <w:top w:val="nil"/>
              <w:left w:val="nil"/>
              <w:bottom w:val="single" w:color="auto" w:sz="4" w:space="0"/>
              <w:right w:val="single" w:color="auto" w:sz="4" w:space="0"/>
            </w:tcBorders>
            <w:noWrap w:val="0"/>
            <w:vAlign w:val="center"/>
          </w:tcPr>
          <w:p>
            <w:pPr>
              <w:widowControl/>
              <w:ind w:firstLine="360" w:firstLineChars="200"/>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b w:val="0"/>
                <w:bCs/>
                <w:color w:val="auto"/>
                <w:kern w:val="0"/>
                <w:sz w:val="18"/>
                <w:szCs w:val="18"/>
                <w:highlight w:val="none"/>
                <w:lang w:val="en-US" w:eastAsia="zh-CN"/>
              </w:rPr>
              <w:t>285.29</w:t>
            </w:r>
          </w:p>
        </w:tc>
        <w:tc>
          <w:tcPr>
            <w:tcW w:w="1689" w:type="dxa"/>
            <w:gridSpan w:val="2"/>
            <w:tcBorders>
              <w:top w:val="nil"/>
              <w:left w:val="nil"/>
              <w:bottom w:val="single" w:color="auto" w:sz="4" w:space="0"/>
              <w:right w:val="single" w:color="auto" w:sz="4" w:space="0"/>
            </w:tcBorders>
            <w:noWrap w:val="0"/>
            <w:vAlign w:val="center"/>
          </w:tcPr>
          <w:p>
            <w:pPr>
              <w:widowControl/>
              <w:ind w:firstLine="180" w:firstLineChars="100"/>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b w:val="0"/>
                <w:bCs/>
                <w:color w:val="auto"/>
                <w:kern w:val="0"/>
                <w:sz w:val="18"/>
                <w:szCs w:val="18"/>
                <w:highlight w:val="none"/>
                <w:lang w:val="en-US" w:eastAsia="zh-CN"/>
              </w:rPr>
              <w:t>285.29</w:t>
            </w: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6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2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6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2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6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2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6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2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2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2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2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2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2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2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2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2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2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2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2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6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2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6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6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9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28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合  计</w:t>
            </w:r>
          </w:p>
        </w:tc>
        <w:tc>
          <w:tcPr>
            <w:tcW w:w="1614" w:type="dxa"/>
            <w:gridSpan w:val="2"/>
            <w:tcBorders>
              <w:top w:val="nil"/>
              <w:left w:val="nil"/>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b w:val="0"/>
                <w:bCs/>
                <w:color w:val="auto"/>
                <w:kern w:val="0"/>
                <w:sz w:val="18"/>
                <w:szCs w:val="18"/>
                <w:highlight w:val="none"/>
                <w:lang w:val="en-US" w:eastAsia="zh-CN"/>
              </w:rPr>
              <w:t>285.29</w:t>
            </w:r>
          </w:p>
        </w:tc>
        <w:tc>
          <w:tcPr>
            <w:tcW w:w="1689" w:type="dxa"/>
            <w:gridSpan w:val="2"/>
            <w:tcBorders>
              <w:top w:val="nil"/>
              <w:left w:val="nil"/>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b w:val="0"/>
                <w:bCs/>
                <w:color w:val="auto"/>
                <w:kern w:val="0"/>
                <w:sz w:val="18"/>
                <w:szCs w:val="18"/>
                <w:highlight w:val="none"/>
                <w:lang w:val="en-US" w:eastAsia="zh-CN"/>
              </w:rPr>
              <w:t>285.29</w:t>
            </w:r>
          </w:p>
        </w:tc>
        <w:tc>
          <w:tcPr>
            <w:tcW w:w="1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pStyle w:val="3"/>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2"/>
        <w:tblW w:w="9328" w:type="dxa"/>
        <w:tblInd w:w="-148" w:type="dxa"/>
        <w:tblLayout w:type="fixed"/>
        <w:tblCellMar>
          <w:top w:w="0" w:type="dxa"/>
          <w:left w:w="108" w:type="dxa"/>
          <w:bottom w:w="0" w:type="dxa"/>
          <w:right w:w="108" w:type="dxa"/>
        </w:tblCellMar>
      </w:tblPr>
      <w:tblGrid>
        <w:gridCol w:w="757"/>
        <w:gridCol w:w="655"/>
        <w:gridCol w:w="2842"/>
        <w:gridCol w:w="991"/>
        <w:gridCol w:w="702"/>
        <w:gridCol w:w="969"/>
        <w:gridCol w:w="720"/>
        <w:gridCol w:w="1692"/>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54"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焉耆回族自治县第六幼儿园</w:t>
            </w:r>
          </w:p>
        </w:tc>
        <w:tc>
          <w:tcPr>
            <w:tcW w:w="991"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71"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12"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54"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074"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412"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693"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89"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6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65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42"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693"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689"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692"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tabs>
                <w:tab w:val="left" w:pos="529"/>
              </w:tabs>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301</w:t>
            </w:r>
          </w:p>
        </w:tc>
        <w:tc>
          <w:tcPr>
            <w:tcW w:w="655" w:type="dxa"/>
            <w:tcBorders>
              <w:top w:val="nil"/>
              <w:left w:val="nil"/>
              <w:bottom w:val="single" w:color="auto" w:sz="4" w:space="0"/>
              <w:right w:val="single" w:color="auto" w:sz="4" w:space="0"/>
            </w:tcBorders>
            <w:noWrap w:val="0"/>
            <w:vAlign w:val="center"/>
          </w:tcPr>
          <w:p>
            <w:pPr>
              <w:widowControl/>
              <w:tabs>
                <w:tab w:val="left" w:pos="529"/>
              </w:tabs>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p>
        </w:tc>
        <w:tc>
          <w:tcPr>
            <w:tcW w:w="2842" w:type="dxa"/>
            <w:tcBorders>
              <w:top w:val="nil"/>
              <w:left w:val="nil"/>
              <w:bottom w:val="single" w:color="auto" w:sz="4" w:space="0"/>
              <w:right w:val="single" w:color="auto" w:sz="4" w:space="0"/>
            </w:tcBorders>
            <w:noWrap w:val="0"/>
            <w:vAlign w:val="center"/>
          </w:tcPr>
          <w:p>
            <w:pPr>
              <w:widowControl/>
              <w:tabs>
                <w:tab w:val="left" w:pos="529"/>
              </w:tabs>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工资福利支出</w:t>
            </w:r>
          </w:p>
        </w:tc>
        <w:tc>
          <w:tcPr>
            <w:tcW w:w="169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274.72</w:t>
            </w: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274.72</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301</w:t>
            </w:r>
          </w:p>
        </w:tc>
        <w:tc>
          <w:tcPr>
            <w:tcW w:w="655" w:type="dxa"/>
            <w:tcBorders>
              <w:top w:val="nil"/>
              <w:left w:val="nil"/>
              <w:bottom w:val="single" w:color="auto" w:sz="4" w:space="0"/>
              <w:right w:val="single" w:color="auto" w:sz="4" w:space="0"/>
            </w:tcBorders>
            <w:noWrap w:val="0"/>
            <w:vAlign w:val="center"/>
          </w:tcPr>
          <w:p>
            <w:pPr>
              <w:widowControl/>
              <w:tabs>
                <w:tab w:val="left" w:pos="529"/>
              </w:tabs>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01</w:t>
            </w:r>
          </w:p>
        </w:tc>
        <w:tc>
          <w:tcPr>
            <w:tcW w:w="28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rPr>
              <w:t>基本工资</w:t>
            </w:r>
          </w:p>
        </w:tc>
        <w:tc>
          <w:tcPr>
            <w:tcW w:w="169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87.51</w:t>
            </w: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87.51</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301</w:t>
            </w:r>
          </w:p>
        </w:tc>
        <w:tc>
          <w:tcPr>
            <w:tcW w:w="655" w:type="dxa"/>
            <w:tcBorders>
              <w:top w:val="nil"/>
              <w:left w:val="nil"/>
              <w:bottom w:val="single" w:color="auto" w:sz="4" w:space="0"/>
              <w:right w:val="single" w:color="auto" w:sz="4" w:space="0"/>
            </w:tcBorders>
            <w:noWrap w:val="0"/>
            <w:vAlign w:val="center"/>
          </w:tcPr>
          <w:p>
            <w:pPr>
              <w:widowControl/>
              <w:tabs>
                <w:tab w:val="left" w:pos="529"/>
              </w:tabs>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02</w:t>
            </w:r>
          </w:p>
        </w:tc>
        <w:tc>
          <w:tcPr>
            <w:tcW w:w="2842" w:type="dxa"/>
            <w:tcBorders>
              <w:top w:val="nil"/>
              <w:left w:val="nil"/>
              <w:bottom w:val="single" w:color="auto" w:sz="4" w:space="0"/>
              <w:right w:val="single" w:color="auto" w:sz="4" w:space="0"/>
            </w:tcBorders>
            <w:noWrap w:val="0"/>
            <w:vAlign w:val="center"/>
          </w:tcPr>
          <w:p>
            <w:pPr>
              <w:widowControl/>
              <w:tabs>
                <w:tab w:val="left" w:pos="529"/>
              </w:tabs>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津贴补贴</w:t>
            </w:r>
          </w:p>
        </w:tc>
        <w:tc>
          <w:tcPr>
            <w:tcW w:w="169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106.99</w:t>
            </w: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106.99</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301</w:t>
            </w:r>
          </w:p>
        </w:tc>
        <w:tc>
          <w:tcPr>
            <w:tcW w:w="655" w:type="dxa"/>
            <w:tcBorders>
              <w:top w:val="nil"/>
              <w:left w:val="nil"/>
              <w:bottom w:val="single" w:color="auto" w:sz="4" w:space="0"/>
              <w:right w:val="single" w:color="auto" w:sz="4" w:space="0"/>
            </w:tcBorders>
            <w:noWrap w:val="0"/>
            <w:vAlign w:val="center"/>
          </w:tcPr>
          <w:p>
            <w:pPr>
              <w:widowControl/>
              <w:tabs>
                <w:tab w:val="left" w:pos="529"/>
              </w:tabs>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08</w:t>
            </w:r>
          </w:p>
        </w:tc>
        <w:tc>
          <w:tcPr>
            <w:tcW w:w="2842" w:type="dxa"/>
            <w:tcBorders>
              <w:top w:val="nil"/>
              <w:left w:val="nil"/>
              <w:bottom w:val="single" w:color="auto" w:sz="4" w:space="0"/>
              <w:right w:val="single" w:color="auto" w:sz="4" w:space="0"/>
            </w:tcBorders>
            <w:noWrap w:val="0"/>
            <w:vAlign w:val="center"/>
          </w:tcPr>
          <w:p>
            <w:pPr>
              <w:widowControl/>
              <w:tabs>
                <w:tab w:val="left" w:pos="529"/>
              </w:tabs>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机关事业单位基本养老保险缴费</w:t>
            </w:r>
          </w:p>
        </w:tc>
        <w:tc>
          <w:tcPr>
            <w:tcW w:w="169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29.18</w:t>
            </w: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29.18</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301</w:t>
            </w:r>
          </w:p>
        </w:tc>
        <w:tc>
          <w:tcPr>
            <w:tcW w:w="655" w:type="dxa"/>
            <w:tcBorders>
              <w:top w:val="nil"/>
              <w:left w:val="nil"/>
              <w:bottom w:val="single" w:color="auto" w:sz="4" w:space="0"/>
              <w:right w:val="single" w:color="auto" w:sz="4" w:space="0"/>
            </w:tcBorders>
            <w:noWrap w:val="0"/>
            <w:vAlign w:val="center"/>
          </w:tcPr>
          <w:p>
            <w:pPr>
              <w:widowControl/>
              <w:tabs>
                <w:tab w:val="left" w:pos="529"/>
              </w:tabs>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09</w:t>
            </w:r>
          </w:p>
        </w:tc>
        <w:tc>
          <w:tcPr>
            <w:tcW w:w="2842" w:type="dxa"/>
            <w:tcBorders>
              <w:top w:val="nil"/>
              <w:left w:val="nil"/>
              <w:bottom w:val="single" w:color="auto" w:sz="4" w:space="0"/>
              <w:right w:val="single" w:color="auto" w:sz="4" w:space="0"/>
            </w:tcBorders>
            <w:noWrap w:val="0"/>
            <w:vAlign w:val="center"/>
          </w:tcPr>
          <w:p>
            <w:pPr>
              <w:widowControl/>
              <w:tabs>
                <w:tab w:val="left" w:pos="529"/>
              </w:tabs>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机关事业单位职业年金缴费</w:t>
            </w:r>
          </w:p>
        </w:tc>
        <w:tc>
          <w:tcPr>
            <w:tcW w:w="169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14.59</w:t>
            </w: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14.59</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301</w:t>
            </w:r>
          </w:p>
        </w:tc>
        <w:tc>
          <w:tcPr>
            <w:tcW w:w="655" w:type="dxa"/>
            <w:tcBorders>
              <w:top w:val="nil"/>
              <w:left w:val="nil"/>
              <w:bottom w:val="single" w:color="auto" w:sz="4" w:space="0"/>
              <w:right w:val="single" w:color="auto" w:sz="4" w:space="0"/>
            </w:tcBorders>
            <w:noWrap w:val="0"/>
            <w:vAlign w:val="center"/>
          </w:tcPr>
          <w:p>
            <w:pPr>
              <w:widowControl/>
              <w:tabs>
                <w:tab w:val="left" w:pos="529"/>
              </w:tabs>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10</w:t>
            </w:r>
          </w:p>
        </w:tc>
        <w:tc>
          <w:tcPr>
            <w:tcW w:w="2842" w:type="dxa"/>
            <w:tcBorders>
              <w:top w:val="nil"/>
              <w:left w:val="nil"/>
              <w:bottom w:val="single" w:color="auto" w:sz="4" w:space="0"/>
              <w:right w:val="single" w:color="auto" w:sz="4" w:space="0"/>
            </w:tcBorders>
            <w:noWrap w:val="0"/>
            <w:vAlign w:val="center"/>
          </w:tcPr>
          <w:p>
            <w:pPr>
              <w:widowControl/>
              <w:tabs>
                <w:tab w:val="left" w:pos="529"/>
              </w:tabs>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职工基本医疗保险缴费</w:t>
            </w:r>
          </w:p>
        </w:tc>
        <w:tc>
          <w:tcPr>
            <w:tcW w:w="169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13.27</w:t>
            </w: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13.27</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301</w:t>
            </w:r>
          </w:p>
        </w:tc>
        <w:tc>
          <w:tcPr>
            <w:tcW w:w="655" w:type="dxa"/>
            <w:tcBorders>
              <w:top w:val="nil"/>
              <w:left w:val="nil"/>
              <w:bottom w:val="single" w:color="auto" w:sz="4" w:space="0"/>
              <w:right w:val="single" w:color="auto" w:sz="4" w:space="0"/>
            </w:tcBorders>
            <w:noWrap w:val="0"/>
            <w:vAlign w:val="center"/>
          </w:tcPr>
          <w:p>
            <w:pPr>
              <w:widowControl/>
              <w:tabs>
                <w:tab w:val="left" w:pos="529"/>
              </w:tabs>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12</w:t>
            </w:r>
          </w:p>
        </w:tc>
        <w:tc>
          <w:tcPr>
            <w:tcW w:w="2842" w:type="dxa"/>
            <w:tcBorders>
              <w:top w:val="nil"/>
              <w:left w:val="nil"/>
              <w:bottom w:val="single" w:color="auto" w:sz="4" w:space="0"/>
              <w:right w:val="single" w:color="auto" w:sz="4" w:space="0"/>
            </w:tcBorders>
            <w:noWrap w:val="0"/>
            <w:vAlign w:val="center"/>
          </w:tcPr>
          <w:p>
            <w:pPr>
              <w:widowControl/>
              <w:tabs>
                <w:tab w:val="left" w:pos="529"/>
              </w:tabs>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其他社会保障缴费</w:t>
            </w:r>
          </w:p>
        </w:tc>
        <w:tc>
          <w:tcPr>
            <w:tcW w:w="169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1.29</w:t>
            </w: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1.29</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301</w:t>
            </w:r>
          </w:p>
        </w:tc>
        <w:tc>
          <w:tcPr>
            <w:tcW w:w="655" w:type="dxa"/>
            <w:tcBorders>
              <w:top w:val="nil"/>
              <w:left w:val="nil"/>
              <w:bottom w:val="single" w:color="auto" w:sz="4" w:space="0"/>
              <w:right w:val="single" w:color="auto" w:sz="4" w:space="0"/>
            </w:tcBorders>
            <w:noWrap w:val="0"/>
            <w:vAlign w:val="center"/>
          </w:tcPr>
          <w:p>
            <w:pPr>
              <w:widowControl/>
              <w:tabs>
                <w:tab w:val="left" w:pos="529"/>
              </w:tabs>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13</w:t>
            </w:r>
          </w:p>
        </w:tc>
        <w:tc>
          <w:tcPr>
            <w:tcW w:w="2842" w:type="dxa"/>
            <w:tcBorders>
              <w:top w:val="nil"/>
              <w:left w:val="nil"/>
              <w:bottom w:val="single" w:color="auto" w:sz="4" w:space="0"/>
              <w:right w:val="single" w:color="auto" w:sz="4" w:space="0"/>
            </w:tcBorders>
            <w:noWrap w:val="0"/>
            <w:vAlign w:val="center"/>
          </w:tcPr>
          <w:p>
            <w:pPr>
              <w:widowControl/>
              <w:tabs>
                <w:tab w:val="left" w:pos="529"/>
              </w:tabs>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住房公积金</w:t>
            </w:r>
          </w:p>
        </w:tc>
        <w:tc>
          <w:tcPr>
            <w:tcW w:w="169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21.89</w:t>
            </w: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21.89</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tabs>
                <w:tab w:val="left" w:pos="529"/>
              </w:tabs>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302</w:t>
            </w:r>
          </w:p>
        </w:tc>
        <w:tc>
          <w:tcPr>
            <w:tcW w:w="655" w:type="dxa"/>
            <w:tcBorders>
              <w:top w:val="nil"/>
              <w:left w:val="nil"/>
              <w:bottom w:val="single" w:color="auto" w:sz="4" w:space="0"/>
              <w:right w:val="single" w:color="auto" w:sz="4" w:space="0"/>
            </w:tcBorders>
            <w:noWrap w:val="0"/>
            <w:vAlign w:val="center"/>
          </w:tcPr>
          <w:p>
            <w:pPr>
              <w:widowControl/>
              <w:tabs>
                <w:tab w:val="left" w:pos="529"/>
              </w:tabs>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p>
        </w:tc>
        <w:tc>
          <w:tcPr>
            <w:tcW w:w="2842" w:type="dxa"/>
            <w:tcBorders>
              <w:top w:val="nil"/>
              <w:left w:val="nil"/>
              <w:bottom w:val="single" w:color="auto" w:sz="4" w:space="0"/>
              <w:right w:val="single" w:color="auto" w:sz="4" w:space="0"/>
            </w:tcBorders>
            <w:noWrap w:val="0"/>
            <w:vAlign w:val="center"/>
          </w:tcPr>
          <w:p>
            <w:pPr>
              <w:widowControl/>
              <w:tabs>
                <w:tab w:val="left" w:pos="529"/>
              </w:tabs>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商品和服务支出</w:t>
            </w:r>
          </w:p>
        </w:tc>
        <w:tc>
          <w:tcPr>
            <w:tcW w:w="169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10.57</w:t>
            </w: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10.57</w:t>
            </w:r>
          </w:p>
        </w:tc>
      </w:tr>
      <w:tr>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302</w:t>
            </w:r>
          </w:p>
        </w:tc>
        <w:tc>
          <w:tcPr>
            <w:tcW w:w="655" w:type="dxa"/>
            <w:tcBorders>
              <w:top w:val="nil"/>
              <w:left w:val="nil"/>
              <w:bottom w:val="single" w:color="auto" w:sz="4" w:space="0"/>
              <w:right w:val="single" w:color="auto" w:sz="4" w:space="0"/>
            </w:tcBorders>
            <w:noWrap w:val="0"/>
            <w:vAlign w:val="center"/>
          </w:tcPr>
          <w:p>
            <w:pPr>
              <w:widowControl/>
              <w:tabs>
                <w:tab w:val="left" w:pos="529"/>
              </w:tabs>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08</w:t>
            </w:r>
          </w:p>
        </w:tc>
        <w:tc>
          <w:tcPr>
            <w:tcW w:w="2842" w:type="dxa"/>
            <w:tcBorders>
              <w:top w:val="nil"/>
              <w:left w:val="nil"/>
              <w:bottom w:val="single" w:color="auto" w:sz="4" w:space="0"/>
              <w:right w:val="single" w:color="auto" w:sz="4" w:space="0"/>
            </w:tcBorders>
            <w:noWrap w:val="0"/>
            <w:vAlign w:val="center"/>
          </w:tcPr>
          <w:p>
            <w:pPr>
              <w:widowControl/>
              <w:tabs>
                <w:tab w:val="left" w:pos="529"/>
              </w:tabs>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取暖费</w:t>
            </w:r>
          </w:p>
        </w:tc>
        <w:tc>
          <w:tcPr>
            <w:tcW w:w="169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8.00</w:t>
            </w: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8.00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302</w:t>
            </w:r>
          </w:p>
        </w:tc>
        <w:tc>
          <w:tcPr>
            <w:tcW w:w="655" w:type="dxa"/>
            <w:tcBorders>
              <w:top w:val="nil"/>
              <w:left w:val="nil"/>
              <w:bottom w:val="single" w:color="auto" w:sz="4" w:space="0"/>
              <w:right w:val="single" w:color="auto" w:sz="4" w:space="0"/>
            </w:tcBorders>
            <w:noWrap w:val="0"/>
            <w:vAlign w:val="center"/>
          </w:tcPr>
          <w:p>
            <w:pPr>
              <w:widowControl/>
              <w:tabs>
                <w:tab w:val="left" w:pos="529"/>
              </w:tabs>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16</w:t>
            </w:r>
          </w:p>
        </w:tc>
        <w:tc>
          <w:tcPr>
            <w:tcW w:w="2842" w:type="dxa"/>
            <w:tcBorders>
              <w:top w:val="nil"/>
              <w:left w:val="nil"/>
              <w:bottom w:val="single" w:color="auto" w:sz="4" w:space="0"/>
              <w:right w:val="single" w:color="auto" w:sz="4" w:space="0"/>
            </w:tcBorders>
            <w:noWrap w:val="0"/>
            <w:vAlign w:val="center"/>
          </w:tcPr>
          <w:p>
            <w:pPr>
              <w:widowControl/>
              <w:tabs>
                <w:tab w:val="left" w:pos="529"/>
              </w:tabs>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培训费</w:t>
            </w:r>
          </w:p>
        </w:tc>
        <w:tc>
          <w:tcPr>
            <w:tcW w:w="169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2.5</w:t>
            </w: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eastAsia="zh-CN"/>
              </w:rPr>
              <w:t>302</w:t>
            </w:r>
          </w:p>
        </w:tc>
        <w:tc>
          <w:tcPr>
            <w:tcW w:w="655" w:type="dxa"/>
            <w:tcBorders>
              <w:top w:val="nil"/>
              <w:left w:val="nil"/>
              <w:bottom w:val="single" w:color="auto" w:sz="4" w:space="0"/>
              <w:right w:val="single" w:color="auto" w:sz="4" w:space="0"/>
            </w:tcBorders>
            <w:noWrap w:val="0"/>
            <w:vAlign w:val="center"/>
          </w:tcPr>
          <w:p>
            <w:pPr>
              <w:widowControl/>
              <w:tabs>
                <w:tab w:val="left" w:pos="529"/>
              </w:tabs>
              <w:ind w:firstLine="180" w:firstLineChars="100"/>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28</w:t>
            </w:r>
          </w:p>
        </w:tc>
        <w:tc>
          <w:tcPr>
            <w:tcW w:w="2842" w:type="dxa"/>
            <w:tcBorders>
              <w:top w:val="nil"/>
              <w:left w:val="nil"/>
              <w:bottom w:val="single" w:color="auto" w:sz="4" w:space="0"/>
              <w:right w:val="single" w:color="auto" w:sz="4" w:space="0"/>
            </w:tcBorders>
            <w:noWrap w:val="0"/>
            <w:vAlign w:val="center"/>
          </w:tcPr>
          <w:p>
            <w:pPr>
              <w:widowControl/>
              <w:tabs>
                <w:tab w:val="left" w:pos="529"/>
              </w:tabs>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工会经费</w:t>
            </w:r>
          </w:p>
        </w:tc>
        <w:tc>
          <w:tcPr>
            <w:tcW w:w="169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0.04</w:t>
            </w: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655" w:type="dxa"/>
            <w:tcBorders>
              <w:top w:val="nil"/>
              <w:left w:val="nil"/>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w:t>
            </w:r>
          </w:p>
        </w:tc>
        <w:tc>
          <w:tcPr>
            <w:tcW w:w="284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18"/>
                <w:szCs w:val="18"/>
                <w:highlight w:val="none"/>
                <w:lang w:eastAsia="zh-CN"/>
              </w:rPr>
            </w:pPr>
            <w:r>
              <w:rPr>
                <w:rFonts w:hint="default" w:ascii="Times New Roman" w:hAnsi="Times New Roman" w:eastAsia="仿宋_GB2312" w:cs="Times New Roman"/>
                <w:color w:val="auto"/>
                <w:kern w:val="0"/>
                <w:sz w:val="18"/>
                <w:szCs w:val="18"/>
                <w:highlight w:val="none"/>
                <w:lang w:eastAsia="zh-CN"/>
              </w:rPr>
              <w:t>福利费</w:t>
            </w:r>
          </w:p>
        </w:tc>
        <w:tc>
          <w:tcPr>
            <w:tcW w:w="1693" w:type="dxa"/>
            <w:gridSpan w:val="2"/>
            <w:tcBorders>
              <w:top w:val="nil"/>
              <w:left w:val="nil"/>
              <w:bottom w:val="single" w:color="auto" w:sz="4" w:space="0"/>
              <w:right w:val="single" w:color="auto" w:sz="4" w:space="0"/>
            </w:tcBorders>
            <w:noWrap w:val="0"/>
            <w:vAlign w:val="center"/>
          </w:tcPr>
          <w:p>
            <w:pPr>
              <w:widowControl/>
              <w:ind w:firstLine="540" w:firstLineChars="300"/>
              <w:jc w:val="both"/>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0.03</w:t>
            </w: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92" w:type="dxa"/>
            <w:tcBorders>
              <w:top w:val="nil"/>
              <w:left w:val="nil"/>
              <w:bottom w:val="single" w:color="auto" w:sz="4" w:space="0"/>
              <w:right w:val="single" w:color="auto" w:sz="4" w:space="0"/>
            </w:tcBorders>
            <w:noWrap w:val="0"/>
            <w:vAlign w:val="center"/>
          </w:tcPr>
          <w:p>
            <w:pPr>
              <w:widowControl/>
              <w:ind w:firstLine="540" w:firstLineChars="300"/>
              <w:jc w:val="both"/>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0.03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6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69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6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69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6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69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6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69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6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69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9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6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合  计</w:t>
            </w:r>
          </w:p>
        </w:tc>
        <w:tc>
          <w:tcPr>
            <w:tcW w:w="169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285.29</w:t>
            </w:r>
          </w:p>
        </w:tc>
        <w:tc>
          <w:tcPr>
            <w:tcW w:w="168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274.72</w:t>
            </w:r>
          </w:p>
        </w:tc>
        <w:tc>
          <w:tcPr>
            <w:tcW w:w="16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10.57</w:t>
            </w: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12"/>
        <w:tblW w:w="9540" w:type="dxa"/>
        <w:tblInd w:w="-360" w:type="dxa"/>
        <w:tblLayout w:type="autofit"/>
        <w:tblCellMar>
          <w:top w:w="0" w:type="dxa"/>
          <w:left w:w="108" w:type="dxa"/>
          <w:bottom w:w="0" w:type="dxa"/>
          <w:right w:w="108" w:type="dxa"/>
        </w:tblCellMar>
      </w:tblPr>
      <w:tblGrid>
        <w:gridCol w:w="10"/>
        <w:gridCol w:w="506"/>
        <w:gridCol w:w="417"/>
        <w:gridCol w:w="417"/>
        <w:gridCol w:w="788"/>
        <w:gridCol w:w="1305"/>
        <w:gridCol w:w="723"/>
        <w:gridCol w:w="110"/>
        <w:gridCol w:w="437"/>
        <w:gridCol w:w="636"/>
        <w:gridCol w:w="618"/>
        <w:gridCol w:w="618"/>
        <w:gridCol w:w="404"/>
        <w:gridCol w:w="214"/>
        <w:gridCol w:w="419"/>
        <w:gridCol w:w="618"/>
        <w:gridCol w:w="420"/>
        <w:gridCol w:w="420"/>
        <w:gridCol w:w="386"/>
        <w:gridCol w:w="74"/>
      </w:tblGrid>
      <w:tr>
        <w:tblPrEx>
          <w:tblCellMar>
            <w:top w:w="0" w:type="dxa"/>
            <w:left w:w="108" w:type="dxa"/>
            <w:bottom w:w="0" w:type="dxa"/>
            <w:right w:w="108" w:type="dxa"/>
          </w:tblCellMar>
        </w:tblPrEx>
        <w:trPr>
          <w:gridBefore w:val="1"/>
          <w:gridAfter w:val="1"/>
          <w:wBefore w:w="10" w:type="dxa"/>
          <w:wAfter w:w="74" w:type="dxa"/>
          <w:trHeight w:val="375" w:hRule="atLeast"/>
        </w:trPr>
        <w:tc>
          <w:tcPr>
            <w:tcW w:w="9456" w:type="dxa"/>
            <w:gridSpan w:val="18"/>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10" w:type="dxa"/>
          <w:wAfter w:w="74" w:type="dxa"/>
          <w:trHeight w:val="405" w:hRule="atLeast"/>
        </w:trPr>
        <w:tc>
          <w:tcPr>
            <w:tcW w:w="4266" w:type="dxa"/>
            <w:gridSpan w:val="7"/>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eastAsia="zh-CN"/>
              </w:rPr>
              <w:t>焉耆回族自治县第六幼儿园</w:t>
            </w:r>
          </w:p>
        </w:tc>
        <w:tc>
          <w:tcPr>
            <w:tcW w:w="1073"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640"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77" w:type="dxa"/>
            <w:gridSpan w:val="6"/>
            <w:tcBorders>
              <w:top w:val="nil"/>
              <w:left w:val="nil"/>
              <w:bottom w:val="nil"/>
              <w:right w:val="nil"/>
            </w:tcBorders>
            <w:noWrap w:val="0"/>
            <w:vAlign w:val="center"/>
          </w:tcPr>
          <w:p>
            <w:pPr>
              <w:widowControl/>
              <w:ind w:firstLine="960" w:firstLineChars="4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50" w:type="dxa"/>
            <w:gridSpan w:val="4"/>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788"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305"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723"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547"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636"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60"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16" w:type="dxa"/>
            <w:gridSpan w:val="2"/>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788"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305"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23"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47"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6"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60"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8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30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2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0"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8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30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2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0"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8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30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2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0"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8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30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2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0"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8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30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2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0"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8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30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2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0"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8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30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2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0"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788" w:type="dxa"/>
            <w:noWrap w:val="0"/>
            <w:vAlign w:val="top"/>
          </w:tcPr>
          <w:p>
            <w:pPr>
              <w:widowControl/>
              <w:jc w:val="left"/>
              <w:outlineLvl w:val="1"/>
              <w:rPr>
                <w:rFonts w:ascii="仿宋_GB2312" w:hAnsi="宋体" w:eastAsia="仿宋_GB2312"/>
                <w:color w:val="auto"/>
                <w:kern w:val="0"/>
                <w:sz w:val="32"/>
                <w:szCs w:val="32"/>
                <w:highlight w:val="none"/>
              </w:rPr>
            </w:pPr>
          </w:p>
        </w:tc>
        <w:tc>
          <w:tcPr>
            <w:tcW w:w="1305" w:type="dxa"/>
            <w:noWrap w:val="0"/>
            <w:vAlign w:val="top"/>
          </w:tcPr>
          <w:p>
            <w:pPr>
              <w:widowControl/>
              <w:jc w:val="left"/>
              <w:outlineLvl w:val="1"/>
              <w:rPr>
                <w:rFonts w:ascii="仿宋_GB2312" w:hAnsi="宋体" w:eastAsia="仿宋_GB2312"/>
                <w:color w:val="auto"/>
                <w:kern w:val="0"/>
                <w:sz w:val="32"/>
                <w:szCs w:val="32"/>
                <w:highlight w:val="none"/>
              </w:rPr>
            </w:pPr>
          </w:p>
        </w:tc>
        <w:tc>
          <w:tcPr>
            <w:tcW w:w="723" w:type="dxa"/>
            <w:noWrap w:val="0"/>
            <w:vAlign w:val="top"/>
          </w:tcPr>
          <w:p>
            <w:pPr>
              <w:widowControl/>
              <w:jc w:val="left"/>
              <w:outlineLvl w:val="1"/>
              <w:rPr>
                <w:rFonts w:ascii="仿宋_GB2312" w:hAnsi="宋体" w:eastAsia="仿宋_GB2312"/>
                <w:color w:val="auto"/>
                <w:kern w:val="0"/>
                <w:sz w:val="32"/>
                <w:szCs w:val="32"/>
                <w:highlight w:val="none"/>
              </w:rPr>
            </w:pPr>
          </w:p>
        </w:tc>
        <w:tc>
          <w:tcPr>
            <w:tcW w:w="547"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636"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60" w:type="dxa"/>
            <w:gridSpan w:val="2"/>
            <w:noWrap w:val="0"/>
            <w:vAlign w:val="top"/>
          </w:tcPr>
          <w:p>
            <w:pPr>
              <w:widowControl/>
              <w:jc w:val="left"/>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788" w:type="dxa"/>
            <w:noWrap w:val="0"/>
            <w:vAlign w:val="top"/>
          </w:tcPr>
          <w:p>
            <w:pPr>
              <w:widowControl/>
              <w:jc w:val="left"/>
              <w:outlineLvl w:val="1"/>
              <w:rPr>
                <w:rFonts w:ascii="仿宋_GB2312" w:hAnsi="宋体" w:eastAsia="仿宋_GB2312"/>
                <w:color w:val="auto"/>
                <w:kern w:val="0"/>
                <w:sz w:val="32"/>
                <w:szCs w:val="32"/>
                <w:highlight w:val="none"/>
              </w:rPr>
            </w:pPr>
          </w:p>
        </w:tc>
        <w:tc>
          <w:tcPr>
            <w:tcW w:w="1305" w:type="dxa"/>
            <w:noWrap w:val="0"/>
            <w:vAlign w:val="top"/>
          </w:tcPr>
          <w:p>
            <w:pPr>
              <w:widowControl/>
              <w:jc w:val="left"/>
              <w:outlineLvl w:val="1"/>
              <w:rPr>
                <w:rFonts w:ascii="仿宋_GB2312" w:hAnsi="宋体" w:eastAsia="仿宋_GB2312"/>
                <w:color w:val="auto"/>
                <w:kern w:val="0"/>
                <w:sz w:val="32"/>
                <w:szCs w:val="32"/>
                <w:highlight w:val="none"/>
              </w:rPr>
            </w:pPr>
          </w:p>
        </w:tc>
        <w:tc>
          <w:tcPr>
            <w:tcW w:w="723" w:type="dxa"/>
            <w:noWrap w:val="0"/>
            <w:vAlign w:val="top"/>
          </w:tcPr>
          <w:p>
            <w:pPr>
              <w:widowControl/>
              <w:jc w:val="left"/>
              <w:outlineLvl w:val="1"/>
              <w:rPr>
                <w:rFonts w:ascii="仿宋_GB2312" w:hAnsi="宋体" w:eastAsia="仿宋_GB2312"/>
                <w:color w:val="auto"/>
                <w:kern w:val="0"/>
                <w:sz w:val="32"/>
                <w:szCs w:val="32"/>
                <w:highlight w:val="none"/>
              </w:rPr>
            </w:pPr>
          </w:p>
        </w:tc>
        <w:tc>
          <w:tcPr>
            <w:tcW w:w="547"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636"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60" w:type="dxa"/>
            <w:gridSpan w:val="2"/>
            <w:noWrap w:val="0"/>
            <w:vAlign w:val="top"/>
          </w:tcPr>
          <w:p>
            <w:pPr>
              <w:widowControl/>
              <w:jc w:val="left"/>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788" w:type="dxa"/>
            <w:noWrap w:val="0"/>
            <w:vAlign w:val="top"/>
          </w:tcPr>
          <w:p>
            <w:pPr>
              <w:widowControl/>
              <w:jc w:val="left"/>
              <w:outlineLvl w:val="1"/>
              <w:rPr>
                <w:rFonts w:ascii="仿宋_GB2312" w:hAnsi="宋体" w:eastAsia="仿宋_GB2312"/>
                <w:color w:val="auto"/>
                <w:kern w:val="0"/>
                <w:sz w:val="32"/>
                <w:szCs w:val="32"/>
                <w:highlight w:val="none"/>
              </w:rPr>
            </w:pPr>
          </w:p>
        </w:tc>
        <w:tc>
          <w:tcPr>
            <w:tcW w:w="1305" w:type="dxa"/>
            <w:noWrap w:val="0"/>
            <w:vAlign w:val="top"/>
          </w:tcPr>
          <w:p>
            <w:pPr>
              <w:widowControl/>
              <w:jc w:val="left"/>
              <w:outlineLvl w:val="1"/>
              <w:rPr>
                <w:rFonts w:ascii="仿宋_GB2312" w:hAnsi="宋体" w:eastAsia="仿宋_GB2312"/>
                <w:color w:val="auto"/>
                <w:kern w:val="0"/>
                <w:sz w:val="32"/>
                <w:szCs w:val="32"/>
                <w:highlight w:val="none"/>
              </w:rPr>
            </w:pPr>
          </w:p>
        </w:tc>
        <w:tc>
          <w:tcPr>
            <w:tcW w:w="723" w:type="dxa"/>
            <w:noWrap w:val="0"/>
            <w:vAlign w:val="top"/>
          </w:tcPr>
          <w:p>
            <w:pPr>
              <w:widowControl/>
              <w:jc w:val="left"/>
              <w:outlineLvl w:val="1"/>
              <w:rPr>
                <w:rFonts w:ascii="仿宋_GB2312" w:hAnsi="宋体" w:eastAsia="仿宋_GB2312"/>
                <w:color w:val="auto"/>
                <w:kern w:val="0"/>
                <w:sz w:val="32"/>
                <w:szCs w:val="32"/>
                <w:highlight w:val="none"/>
              </w:rPr>
            </w:pPr>
          </w:p>
        </w:tc>
        <w:tc>
          <w:tcPr>
            <w:tcW w:w="547"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636"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60" w:type="dxa"/>
            <w:gridSpan w:val="2"/>
            <w:noWrap w:val="0"/>
            <w:vAlign w:val="top"/>
          </w:tcPr>
          <w:p>
            <w:pPr>
              <w:widowControl/>
              <w:jc w:val="left"/>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8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30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2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4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6"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0"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8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305" w:type="dxa"/>
            <w:noWrap w:val="0"/>
            <w:vAlign w:val="center"/>
          </w:tcPr>
          <w:p>
            <w:pPr>
              <w:widowControl/>
              <w:jc w:val="center"/>
              <w:outlineLvl w:val="1"/>
              <w:rPr>
                <w:rFonts w:ascii="仿宋_GB2312" w:hAnsi="宋体" w:eastAsia="仿宋_GB2312"/>
                <w:color w:val="auto"/>
                <w:kern w:val="0"/>
                <w:sz w:val="32"/>
                <w:szCs w:val="32"/>
                <w:highlight w:val="none"/>
              </w:rPr>
            </w:pPr>
            <w:r>
              <w:rPr>
                <w:rFonts w:hint="eastAsia" w:ascii="仿宋_GB2312" w:hAnsi="宋体" w:eastAsia="仿宋_GB2312"/>
                <w:b/>
                <w:bCs/>
                <w:color w:val="auto"/>
                <w:kern w:val="0"/>
                <w:sz w:val="20"/>
                <w:szCs w:val="20"/>
                <w:highlight w:val="none"/>
              </w:rPr>
              <w:t>合 计</w:t>
            </w:r>
          </w:p>
        </w:tc>
        <w:tc>
          <w:tcPr>
            <w:tcW w:w="723" w:type="dxa"/>
            <w:noWrap w:val="0"/>
            <w:vAlign w:val="center"/>
          </w:tcPr>
          <w:p>
            <w:pPr>
              <w:widowControl/>
              <w:jc w:val="center"/>
              <w:outlineLvl w:val="1"/>
              <w:rPr>
                <w:rFonts w:hint="eastAsia" w:ascii="仿宋_GB2312" w:hAnsi="宋体" w:eastAsia="仿宋_GB2312"/>
                <w:color w:val="auto"/>
                <w:kern w:val="0"/>
                <w:szCs w:val="21"/>
                <w:highlight w:val="none"/>
                <w:lang w:val="en-US" w:eastAsia="zh-CN"/>
              </w:rPr>
            </w:pPr>
          </w:p>
          <w:p>
            <w:pPr>
              <w:widowControl/>
              <w:jc w:val="center"/>
              <w:outlineLvl w:val="1"/>
              <w:rPr>
                <w:rFonts w:hint="default" w:ascii="仿宋_GB2312" w:hAnsi="宋体" w:eastAsia="仿宋_GB2312"/>
                <w:color w:val="auto"/>
                <w:kern w:val="0"/>
                <w:szCs w:val="21"/>
                <w:highlight w:val="none"/>
                <w:lang w:val="en-US" w:eastAsia="zh-CN"/>
              </w:rPr>
            </w:pPr>
          </w:p>
        </w:tc>
        <w:tc>
          <w:tcPr>
            <w:tcW w:w="54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6" w:type="dxa"/>
            <w:noWrap w:val="0"/>
            <w:vAlign w:val="top"/>
          </w:tcPr>
          <w:p>
            <w:pPr>
              <w:widowControl/>
              <w:jc w:val="center"/>
              <w:outlineLvl w:val="1"/>
              <w:rPr>
                <w:rFonts w:hint="default" w:ascii="仿宋_GB2312" w:hAnsi="宋体" w:eastAsia="仿宋_GB2312"/>
                <w:color w:val="auto"/>
                <w:kern w:val="0"/>
                <w:szCs w:val="21"/>
                <w:highlight w:val="none"/>
                <w:lang w:val="en-US" w:eastAsia="zh-CN"/>
              </w:rPr>
            </w:pPr>
            <w:r>
              <w:rPr>
                <w:rFonts w:hint="eastAsia" w:ascii="仿宋_GB2312" w:hAnsi="宋体" w:eastAsia="仿宋_GB2312"/>
                <w:color w:val="auto"/>
                <w:kern w:val="0"/>
                <w:szCs w:val="21"/>
                <w:highlight w:val="none"/>
                <w:lang w:val="en-US" w:eastAsia="zh-CN"/>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0"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lang w:val="en-US" w:eastAsia="zh-CN"/>
        </w:rPr>
        <w:t>备注：</w:t>
      </w:r>
      <w:r>
        <w:rPr>
          <w:rFonts w:hint="eastAsia" w:ascii="仿宋_GB2312" w:hAnsi="仿宋_GB2312" w:eastAsia="仿宋_GB2312" w:cs="仿宋_GB2312"/>
          <w:b/>
          <w:bCs/>
          <w:sz w:val="28"/>
          <w:szCs w:val="28"/>
          <w:lang w:val="en-US" w:eastAsia="zh-CN"/>
        </w:rPr>
        <w:t>2025年本单位无一般公共预算项目支出，此表为空表。</w:t>
      </w: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pStyle w:val="3"/>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焉耆回族自治县第六幼儿园</w:t>
      </w:r>
      <w:r>
        <w:rPr>
          <w:rFonts w:hint="eastAsia" w:ascii="仿宋_GB2312" w:hAnsi="宋体" w:eastAsia="仿宋_GB2312"/>
          <w:color w:val="auto"/>
          <w:kern w:val="0"/>
          <w:sz w:val="24"/>
          <w:highlight w:val="none"/>
        </w:rPr>
        <w:t xml:space="preserve">                          单位：万元</w:t>
      </w:r>
    </w:p>
    <w:tbl>
      <w:tblPr>
        <w:tblStyle w:val="12"/>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lang w:val="en-US" w:eastAsia="zh-CN"/>
        </w:rPr>
        <w:t>备注：</w:t>
      </w:r>
      <w:r>
        <w:rPr>
          <w:rFonts w:hint="eastAsia" w:ascii="仿宋_GB2312" w:hAnsi="仿宋_GB2312" w:eastAsia="仿宋_GB2312" w:cs="仿宋_GB2312"/>
          <w:b/>
          <w:bCs/>
          <w:sz w:val="28"/>
          <w:szCs w:val="28"/>
          <w:lang w:val="en-US" w:eastAsia="zh-CN"/>
        </w:rPr>
        <w:t>2025年本单位无政府性基金预算支出，此表为空表。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焉耆回族自治县第六幼儿园</w:t>
      </w:r>
      <w:r>
        <w:rPr>
          <w:rFonts w:hint="eastAsia" w:ascii="仿宋_GB2312" w:hAnsi="宋体" w:eastAsia="仿宋_GB2312"/>
          <w:color w:val="auto"/>
          <w:kern w:val="0"/>
          <w:sz w:val="24"/>
          <w:highlight w:val="none"/>
        </w:rPr>
        <w:t xml:space="preserve">                       单位：万元</w:t>
      </w:r>
    </w:p>
    <w:tbl>
      <w:tblPr>
        <w:tblStyle w:val="12"/>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eastAsia" w:ascii="仿宋_GB2312" w:hAnsi="仿宋_GB2312" w:eastAsia="仿宋_GB2312" w:cs="仿宋_GB2312"/>
          <w:b/>
          <w:bCs w:val="0"/>
          <w:sz w:val="28"/>
          <w:szCs w:val="28"/>
          <w:lang w:val="en-US" w:eastAsia="zh-CN"/>
        </w:rPr>
        <w:t>2025年本单位无国有资本经营预算支出，此表为空表。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lef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焉耆回族自治县第六幼儿园</w:t>
      </w:r>
      <w:r>
        <w:rPr>
          <w:rFonts w:hint="eastAsia" w:ascii="仿宋_GB2312" w:hAnsi="宋体" w:eastAsia="仿宋_GB2312"/>
          <w:color w:val="auto"/>
          <w:kern w:val="0"/>
          <w:sz w:val="24"/>
          <w:highlight w:val="none"/>
        </w:rPr>
        <w:t xml:space="preserve">                   单位：万元</w:t>
      </w:r>
    </w:p>
    <w:tbl>
      <w:tblPr>
        <w:tblStyle w:val="13"/>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15"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621"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215"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215"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215"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val="0"/>
          <w:sz w:val="28"/>
          <w:szCs w:val="28"/>
          <w:lang w:val="en-US" w:eastAsia="zh-CN"/>
        </w:rPr>
      </w:pPr>
      <w:r>
        <w:rPr>
          <w:rFonts w:hint="eastAsia" w:ascii="仿宋_GB2312" w:hAnsi="宋体" w:eastAsia="仿宋_GB2312"/>
          <w:b/>
          <w:color w:val="auto"/>
          <w:kern w:val="0"/>
          <w:sz w:val="28"/>
          <w:szCs w:val="32"/>
          <w:highlight w:val="none"/>
        </w:rPr>
        <w:t>备注：</w:t>
      </w:r>
      <w:r>
        <w:rPr>
          <w:rFonts w:hint="eastAsia" w:ascii="仿宋_GB2312" w:hAnsi="仿宋_GB2312" w:eastAsia="仿宋_GB2312" w:cs="仿宋_GB2312"/>
          <w:b/>
          <w:bCs w:val="0"/>
          <w:sz w:val="28"/>
          <w:szCs w:val="28"/>
          <w:lang w:val="en-US" w:eastAsia="zh-CN"/>
        </w:rPr>
        <w:t>2025年本单位无财政拨款“三公”经费支出预算，此表为空表。</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left"/>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焉耆回族自治县第六幼儿园</w:t>
      </w:r>
      <w:r>
        <w:rPr>
          <w:rFonts w:hint="eastAsia" w:ascii="仿宋_GB2312" w:hAnsi="宋体" w:eastAsia="仿宋_GB2312"/>
          <w:color w:val="auto"/>
          <w:kern w:val="0"/>
          <w:sz w:val="24"/>
          <w:highlight w:val="none"/>
        </w:rPr>
        <w:t xml:space="preserve">                    单位：万元</w:t>
      </w:r>
    </w:p>
    <w:tbl>
      <w:tblPr>
        <w:tblStyle w:val="13"/>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outlineLvl w:val="1"/>
        <w:rPr>
          <w:rFonts w:hint="eastAsia" w:ascii="仿宋_GB2312" w:hAnsi="宋体" w:eastAsia="仿宋_GB2312"/>
          <w:b/>
          <w:color w:val="auto"/>
          <w:kern w:val="0"/>
          <w:sz w:val="28"/>
          <w:szCs w:val="32"/>
          <w:highlight w:val="none"/>
        </w:rPr>
      </w:pPr>
    </w:p>
    <w:p>
      <w:pPr>
        <w:widowControl/>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hint="eastAsia" w:ascii="仿宋_GB2312" w:hAnsi="仿宋_GB2312" w:eastAsia="仿宋_GB2312" w:cs="仿宋_GB2312"/>
          <w:b/>
          <w:bCs w:val="0"/>
          <w:sz w:val="28"/>
          <w:szCs w:val="28"/>
          <w:lang w:val="en-US" w:eastAsia="zh-CN"/>
        </w:rPr>
        <w:t>2025年本单位无</w:t>
      </w:r>
      <w:r>
        <w:rPr>
          <w:rFonts w:hint="eastAsia" w:ascii="仿宋_GB2312" w:hAnsi="仿宋_GB2312" w:eastAsia="仿宋_GB2312" w:cs="仿宋_GB2312"/>
          <w:b/>
          <w:bCs w:val="0"/>
          <w:sz w:val="28"/>
          <w:szCs w:val="28"/>
          <w:lang w:val="en-US" w:eastAsia="zh-Hans"/>
        </w:rPr>
        <w:t>上年结转</w:t>
      </w:r>
      <w:r>
        <w:rPr>
          <w:rFonts w:hint="eastAsia" w:ascii="仿宋_GB2312" w:hAnsi="仿宋_GB2312" w:eastAsia="仿宋_GB2312" w:cs="仿宋_GB2312"/>
          <w:b/>
          <w:bCs w:val="0"/>
          <w:sz w:val="28"/>
          <w:szCs w:val="28"/>
          <w:lang w:val="en-US" w:eastAsia="zh-CN"/>
        </w:rPr>
        <w:t>结余</w:t>
      </w:r>
      <w:r>
        <w:rPr>
          <w:rFonts w:hint="eastAsia" w:ascii="仿宋_GB2312" w:hAnsi="仿宋_GB2312" w:eastAsia="仿宋_GB2312" w:cs="仿宋_GB2312"/>
          <w:b/>
          <w:bCs w:val="0"/>
          <w:sz w:val="28"/>
          <w:szCs w:val="28"/>
          <w:lang w:val="en-US" w:eastAsia="zh-CN"/>
        </w:rPr>
        <w:t>预算，此表为空表。</w:t>
      </w: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一、关于焉耆回族自治县第六幼儿园2025年收支预算情况的总体说明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按照全口径预算的原则，焉耆回族自治县第六幼儿园</w:t>
      </w:r>
      <w:r>
        <w:rPr>
          <w:rFonts w:hint="default" w:ascii="Times New Roman" w:hAnsi="Times New Roman" w:eastAsia="仿宋_GB2312" w:cs="Times New Roman"/>
          <w:color w:val="auto"/>
          <w:kern w:val="0"/>
          <w:sz w:val="32"/>
          <w:szCs w:val="32"/>
          <w:highlight w:val="none"/>
          <w:lang w:val="en-US" w:eastAsia="zh-CN"/>
        </w:rPr>
        <w:t>2025</w:t>
      </w:r>
      <w:r>
        <w:rPr>
          <w:rFonts w:hint="eastAsia" w:ascii="仿宋_GB2312" w:hAnsi="宋体" w:eastAsia="仿宋_GB2312" w:cs="宋体"/>
          <w:color w:val="auto"/>
          <w:kern w:val="0"/>
          <w:sz w:val="32"/>
          <w:szCs w:val="32"/>
          <w:highlight w:val="none"/>
          <w:lang w:val="en-US" w:eastAsia="zh-CN"/>
        </w:rPr>
        <w:t>年所有收入和支出均纳入单位预算管理。收支总预算</w:t>
      </w:r>
      <w:r>
        <w:rPr>
          <w:rFonts w:hint="eastAsia" w:ascii="Times New Roman" w:hAnsi="Times New Roman" w:eastAsia="仿宋_GB2312" w:cs="Times New Roman"/>
          <w:color w:val="auto"/>
          <w:kern w:val="0"/>
          <w:sz w:val="32"/>
          <w:szCs w:val="32"/>
          <w:highlight w:val="none"/>
          <w:lang w:val="en-US" w:eastAsia="zh-CN"/>
        </w:rPr>
        <w:t>286.31万</w:t>
      </w:r>
      <w:r>
        <w:rPr>
          <w:rFonts w:hint="eastAsia" w:ascii="仿宋_GB2312" w:hAnsi="宋体" w:eastAsia="仿宋_GB2312" w:cs="宋体"/>
          <w:color w:val="auto"/>
          <w:kern w:val="0"/>
          <w:sz w:val="32"/>
          <w:szCs w:val="32"/>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支出预算包括:教育支出。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二、关于焉耆回族自治县第六幼儿园2025年收入预算情况说明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焉耆回族自治县第六幼儿园收入预算</w:t>
      </w:r>
      <w:r>
        <w:rPr>
          <w:rFonts w:hint="eastAsia" w:ascii="Times New Roman" w:hAnsi="Times New Roman" w:eastAsia="仿宋_GB2312" w:cs="Times New Roman"/>
          <w:color w:val="auto"/>
          <w:kern w:val="0"/>
          <w:sz w:val="32"/>
          <w:szCs w:val="32"/>
          <w:highlight w:val="none"/>
          <w:lang w:val="en-US" w:eastAsia="zh-CN"/>
        </w:rPr>
        <w:t>286.31</w:t>
      </w:r>
      <w:r>
        <w:rPr>
          <w:rFonts w:hint="eastAsia" w:ascii="仿宋_GB2312" w:hAnsi="宋体" w:eastAsia="仿宋_GB2312" w:cs="宋体"/>
          <w:color w:val="auto"/>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一般公共预算</w:t>
      </w:r>
      <w:r>
        <w:rPr>
          <w:rFonts w:hint="default" w:ascii="Times New Roman" w:hAnsi="Times New Roman" w:eastAsia="仿宋_GB2312" w:cs="Times New Roman"/>
          <w:color w:val="auto"/>
          <w:kern w:val="0"/>
          <w:sz w:val="32"/>
          <w:szCs w:val="32"/>
          <w:highlight w:val="none"/>
          <w:lang w:val="en-US" w:eastAsia="zh-CN"/>
        </w:rPr>
        <w:t>285.29</w:t>
      </w:r>
      <w:r>
        <w:rPr>
          <w:rFonts w:hint="eastAsia" w:ascii="Times New Roman" w:hAnsi="Times New Roman" w:eastAsia="仿宋_GB2312" w:cs="Times New Roman"/>
          <w:color w:val="auto"/>
          <w:kern w:val="0"/>
          <w:sz w:val="32"/>
          <w:szCs w:val="32"/>
          <w:highlight w:val="none"/>
          <w:lang w:val="en-US" w:eastAsia="zh-CN"/>
        </w:rPr>
        <w:t>万元，占99.64%，比上年预算减少14.6</w:t>
      </w:r>
      <w:r>
        <w:rPr>
          <w:rFonts w:hint="eastAsia"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万元，下降4.87%，主要原因</w:t>
      </w:r>
      <w:r>
        <w:rPr>
          <w:rFonts w:hint="eastAsia" w:eastAsia="仿宋_GB2312" w:cs="Times New Roman"/>
          <w:color w:val="auto"/>
          <w:kern w:val="0"/>
          <w:sz w:val="32"/>
          <w:szCs w:val="32"/>
          <w:highlight w:val="none"/>
          <w:lang w:val="en-US" w:eastAsia="zh-CN"/>
        </w:rPr>
        <w:t>是</w:t>
      </w:r>
      <w:r>
        <w:rPr>
          <w:rFonts w:hint="eastAsia" w:ascii="Times New Roman" w:hAnsi="Times New Roman" w:eastAsia="仿宋_GB2312" w:cs="Times New Roman"/>
          <w:color w:val="auto"/>
          <w:kern w:val="0"/>
          <w:sz w:val="32"/>
          <w:szCs w:val="32"/>
          <w:highlight w:val="none"/>
          <w:lang w:val="en-US" w:eastAsia="zh-CN"/>
        </w:rPr>
        <w:t>人员减少，</w:t>
      </w:r>
      <w:r>
        <w:rPr>
          <w:rFonts w:hint="default" w:ascii="Times New Roman" w:hAnsi="Times New Roman" w:eastAsia="仿宋_GB2312" w:cs="Times New Roman"/>
          <w:color w:val="auto"/>
          <w:kern w:val="0"/>
          <w:sz w:val="32"/>
          <w:szCs w:val="32"/>
          <w:highlight w:val="none"/>
          <w:lang w:val="en-US" w:eastAsia="zh-CN"/>
        </w:rPr>
        <w:t>故基本工资</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社保</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住房公积金</w:t>
      </w:r>
      <w:r>
        <w:rPr>
          <w:rFonts w:hint="eastAsia" w:ascii="Times New Roman" w:hAnsi="Times New Roman" w:eastAsia="仿宋_GB2312" w:cs="Times New Roman"/>
          <w:color w:val="auto"/>
          <w:kern w:val="0"/>
          <w:sz w:val="32"/>
          <w:szCs w:val="32"/>
          <w:highlight w:val="none"/>
          <w:lang w:val="en-US" w:eastAsia="zh-CN"/>
        </w:rPr>
        <w:t>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上级</w:t>
      </w:r>
      <w:r>
        <w:rPr>
          <w:rFonts w:hint="eastAsia" w:ascii="Times New Roman" w:hAnsi="Times New Roman" w:eastAsia="仿宋_GB2312" w:cs="Times New Roman"/>
          <w:color w:val="auto"/>
          <w:kern w:val="0"/>
          <w:sz w:val="32"/>
          <w:szCs w:val="32"/>
          <w:highlight w:val="none"/>
          <w:lang w:val="en-US" w:eastAsia="zh-CN"/>
        </w:rPr>
        <w:t>一般公共预算</w:t>
      </w:r>
      <w:r>
        <w:rPr>
          <w:rFonts w:hint="eastAsia" w:ascii="Times New Roman" w:hAnsi="Times New Roman" w:eastAsia="仿宋_GB2312" w:cs="Times New Roman"/>
          <w:color w:val="auto"/>
          <w:kern w:val="0"/>
          <w:sz w:val="32"/>
          <w:szCs w:val="32"/>
          <w:highlight w:val="none"/>
          <w:lang w:val="en-US" w:eastAsia="zh-Hans"/>
        </w:rPr>
        <w:t>安排的转移支付资金</w:t>
      </w:r>
      <w:r>
        <w:rPr>
          <w:rFonts w:hint="eastAsia" w:ascii="Times New Roman" w:hAnsi="Times New Roman" w:eastAsia="仿宋_GB2312" w:cs="Times New Roman"/>
          <w:color w:val="auto"/>
          <w:kern w:val="0"/>
          <w:sz w:val="32"/>
          <w:szCs w:val="32"/>
          <w:highlight w:val="none"/>
          <w:lang w:val="en-US" w:eastAsia="zh-CN"/>
        </w:rPr>
        <w:t xml:space="preserve">0万元，占0%，比上年预算减少32.57万元，下降100%，主要原因是本年度项目预算资金由主管部门负责填报，故项目支出减少；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Hans"/>
        </w:rPr>
        <w:t>上级政府性基金安排的转移支付资金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单位资金1.02万元，占0.36%，比上年预算增加1.02万元，增长100%，主要原因</w:t>
      </w:r>
      <w:r>
        <w:rPr>
          <w:rFonts w:hint="eastAsia" w:eastAsia="仿宋_GB2312" w:cs="Times New Roman"/>
          <w:color w:val="auto"/>
          <w:kern w:val="0"/>
          <w:sz w:val="32"/>
          <w:szCs w:val="32"/>
          <w:highlight w:val="none"/>
          <w:lang w:val="en-US" w:eastAsia="zh-CN"/>
        </w:rPr>
        <w:t>是2025年其他事业收入增加；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三、关于焉耆回族自治县第六幼儿园2025年支出预算情况说明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焉耆回族自治县第六幼儿园2025年支出预算286.31万元，其中：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基本支出28</w:t>
      </w:r>
      <w:r>
        <w:rPr>
          <w:rFonts w:hint="eastAsia" w:eastAsia="仿宋_GB2312" w:cs="Times New Roman"/>
          <w:color w:val="auto"/>
          <w:kern w:val="0"/>
          <w:sz w:val="32"/>
          <w:szCs w:val="32"/>
          <w:highlight w:val="none"/>
          <w:lang w:val="en-US" w:eastAsia="zh-CN"/>
        </w:rPr>
        <w:t>6.31</w:t>
      </w:r>
      <w:r>
        <w:rPr>
          <w:rFonts w:hint="eastAsia" w:ascii="Times New Roman" w:hAnsi="Times New Roman" w:eastAsia="仿宋_GB2312" w:cs="Times New Roman"/>
          <w:color w:val="auto"/>
          <w:kern w:val="0"/>
          <w:sz w:val="32"/>
          <w:szCs w:val="32"/>
          <w:highlight w:val="none"/>
          <w:lang w:val="en-US" w:eastAsia="zh-CN"/>
        </w:rPr>
        <w:t>万元，占</w:t>
      </w:r>
      <w:r>
        <w:rPr>
          <w:rFonts w:hint="eastAsia"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%，比上年预算减少</w:t>
      </w:r>
      <w:r>
        <w:rPr>
          <w:rFonts w:hint="eastAsia" w:eastAsia="仿宋_GB2312" w:cs="Times New Roman"/>
          <w:color w:val="auto"/>
          <w:kern w:val="0"/>
          <w:sz w:val="32"/>
          <w:szCs w:val="32"/>
          <w:highlight w:val="none"/>
          <w:lang w:val="en-US" w:eastAsia="zh-CN"/>
        </w:rPr>
        <w:t>13.59</w:t>
      </w:r>
      <w:r>
        <w:rPr>
          <w:rFonts w:hint="eastAsia" w:ascii="Times New Roman" w:hAnsi="Times New Roman" w:eastAsia="仿宋_GB2312" w:cs="Times New Roman"/>
          <w:color w:val="auto"/>
          <w:kern w:val="0"/>
          <w:sz w:val="32"/>
          <w:szCs w:val="32"/>
          <w:highlight w:val="none"/>
          <w:lang w:val="en-US" w:eastAsia="zh-CN"/>
        </w:rPr>
        <w:t>万元，下降4.</w:t>
      </w:r>
      <w:r>
        <w:rPr>
          <w:rFonts w:hint="eastAsia" w:eastAsia="仿宋_GB2312" w:cs="Times New Roman"/>
          <w:color w:val="auto"/>
          <w:kern w:val="0"/>
          <w:sz w:val="32"/>
          <w:szCs w:val="32"/>
          <w:highlight w:val="none"/>
          <w:lang w:val="en-US" w:eastAsia="zh-CN"/>
        </w:rPr>
        <w:t>53</w:t>
      </w:r>
      <w:r>
        <w:rPr>
          <w:rFonts w:hint="eastAsia" w:ascii="Times New Roman" w:hAnsi="Times New Roman" w:eastAsia="仿宋_GB2312" w:cs="Times New Roman"/>
          <w:color w:val="auto"/>
          <w:kern w:val="0"/>
          <w:sz w:val="32"/>
          <w:szCs w:val="32"/>
          <w:highlight w:val="none"/>
          <w:lang w:val="en-US" w:eastAsia="zh-CN"/>
        </w:rPr>
        <w:t>%，主要原因是：人员减少，</w:t>
      </w:r>
      <w:r>
        <w:rPr>
          <w:rFonts w:hint="default" w:ascii="Times New Roman" w:hAnsi="Times New Roman" w:eastAsia="仿宋_GB2312" w:cs="Times New Roman"/>
          <w:color w:val="auto"/>
          <w:kern w:val="0"/>
          <w:sz w:val="32"/>
          <w:szCs w:val="32"/>
          <w:highlight w:val="none"/>
          <w:lang w:val="en-US" w:eastAsia="zh-CN"/>
        </w:rPr>
        <w:t>故基本工资</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社保</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住房公积金</w:t>
      </w:r>
      <w:r>
        <w:rPr>
          <w:rFonts w:hint="eastAsia" w:ascii="Times New Roman" w:hAnsi="Times New Roman" w:eastAsia="仿宋_GB2312" w:cs="Times New Roman"/>
          <w:color w:val="auto"/>
          <w:kern w:val="0"/>
          <w:sz w:val="32"/>
          <w:szCs w:val="32"/>
          <w:highlight w:val="none"/>
          <w:lang w:val="en-US" w:eastAsia="zh-CN"/>
        </w:rPr>
        <w:t>减少。</w:t>
      </w:r>
    </w:p>
    <w:p>
      <w:pPr>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color w:val="auto"/>
          <w:kern w:val="0"/>
          <w:sz w:val="32"/>
          <w:szCs w:val="32"/>
          <w:highlight w:val="none"/>
          <w:lang w:val="en-US" w:eastAsia="zh-CN"/>
        </w:rPr>
        <w:t>项目支出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万元，占0</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%，比上年预算减少3</w:t>
      </w:r>
      <w:r>
        <w:rPr>
          <w:rFonts w:hint="eastAsia" w:eastAsia="仿宋_GB2312" w:cs="Times New Roman"/>
          <w:color w:val="auto"/>
          <w:kern w:val="0"/>
          <w:sz w:val="32"/>
          <w:szCs w:val="32"/>
          <w:highlight w:val="none"/>
          <w:lang w:val="en-US" w:eastAsia="zh-CN"/>
        </w:rPr>
        <w:t>2.57</w:t>
      </w:r>
      <w:r>
        <w:rPr>
          <w:rFonts w:hint="eastAsia"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%，主要原因是本年度项目预算资金由主管部门负责填报，故项目支出减少；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firstLine="321" w:firstLineChars="1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四、关于焉耆回族自治县第六幼儿园2025年财政拨款收支预算情况的总体说明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收入预算包括：一般公共预算拨款285.29万元。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一般公共预算支出包括:教育支出</w:t>
      </w:r>
      <w:r>
        <w:rPr>
          <w:rFonts w:hint="eastAsia" w:eastAsia="仿宋_GB2312" w:cs="Times New Roman"/>
          <w:color w:val="auto"/>
          <w:kern w:val="0"/>
          <w:sz w:val="32"/>
          <w:szCs w:val="32"/>
          <w:highlight w:val="none"/>
          <w:lang w:val="en-US" w:eastAsia="zh-CN"/>
        </w:rPr>
        <w:t>285.29</w:t>
      </w:r>
      <w:r>
        <w:rPr>
          <w:rFonts w:hint="eastAsia" w:ascii="Times New Roman" w:hAnsi="Times New Roman" w:eastAsia="仿宋_GB2312" w:cs="Times New Roman"/>
          <w:color w:val="auto"/>
          <w:kern w:val="0"/>
          <w:sz w:val="32"/>
          <w:szCs w:val="32"/>
          <w:highlight w:val="none"/>
          <w:lang w:val="en-US" w:eastAsia="zh-CN"/>
        </w:rPr>
        <w:t>万元，</w:t>
      </w:r>
      <w:r>
        <w:rPr>
          <w:rFonts w:hint="eastAsia" w:ascii="仿宋_GB2312" w:hAnsi="宋体" w:eastAsia="仿宋_GB2312" w:cs="宋体"/>
          <w:color w:val="auto"/>
          <w:kern w:val="0"/>
          <w:sz w:val="32"/>
          <w:szCs w:val="32"/>
          <w:highlight w:val="none"/>
          <w:lang w:val="en-US" w:eastAsia="zh-CN"/>
        </w:rPr>
        <w:t>主要用于：</w:t>
      </w:r>
      <w:r>
        <w:rPr>
          <w:rStyle w:val="18"/>
          <w:rFonts w:hint="default" w:ascii="Times New Roman" w:hAnsi="Times New Roman" w:cs="Times New Roman"/>
          <w:szCs w:val="22"/>
        </w:rPr>
        <w:t>教职工工资福利支出、社保缴费、住房公积金、其他对个人和家庭的补助支出及公用经费支出</w:t>
      </w:r>
      <w:r>
        <w:rPr>
          <w:rFonts w:hint="eastAsia" w:ascii="仿宋_GB2312" w:hAnsi="宋体" w:eastAsia="仿宋_GB2312" w:cs="宋体"/>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五、关于焉耆回族自治县第六幼儿园2025年一般公共预算当年拨款情况说明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焉耆回族自治县第六幼儿园2025年一般公共预算拨款合计285.29万元,其中：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基本支出285.29万元，比上年预算减少14.61万元，下降4.87%，主要原因是：人员减少，</w:t>
      </w:r>
      <w:r>
        <w:rPr>
          <w:rFonts w:hint="default" w:ascii="Times New Roman" w:hAnsi="Times New Roman" w:eastAsia="仿宋_GB2312" w:cs="Times New Roman"/>
          <w:color w:val="auto"/>
          <w:kern w:val="0"/>
          <w:sz w:val="32"/>
          <w:szCs w:val="32"/>
          <w:highlight w:val="none"/>
          <w:lang w:val="en-US" w:eastAsia="zh-CN"/>
        </w:rPr>
        <w:t>故基本工资</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社保</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住房公积金</w:t>
      </w:r>
      <w:r>
        <w:rPr>
          <w:rFonts w:hint="eastAsia" w:ascii="Times New Roman" w:hAnsi="Times New Roman" w:eastAsia="仿宋_GB2312" w:cs="Times New Roman"/>
          <w:color w:val="auto"/>
          <w:kern w:val="0"/>
          <w:sz w:val="32"/>
          <w:szCs w:val="32"/>
          <w:highlight w:val="none"/>
          <w:lang w:val="en-US" w:eastAsia="zh-CN"/>
        </w:rPr>
        <w:t>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项目支出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减少32.57</w:t>
      </w:r>
      <w:r>
        <w:rPr>
          <w:rFonts w:hint="eastAsia"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%，主要原因是：本年度项目预算资金由主管部门负责填报，故单位项目资金减少。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1.教育支出（类）</w:t>
      </w:r>
      <w:r>
        <w:rPr>
          <w:rFonts w:hint="eastAsia" w:ascii="Times New Roman" w:hAnsi="Times New Roman" w:eastAsia="仿宋_GB2312" w:cs="Times New Roman"/>
          <w:color w:val="auto"/>
          <w:kern w:val="0"/>
          <w:sz w:val="32"/>
          <w:szCs w:val="32"/>
          <w:highlight w:val="none"/>
          <w:lang w:val="en-US" w:eastAsia="zh-CN"/>
        </w:rPr>
        <w:t>285.29万元，占100%。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教育支出（类）普通教育（款）学前教育（项）:202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年预算数为</w:t>
      </w:r>
      <w:r>
        <w:rPr>
          <w:rFonts w:hint="eastAsia" w:ascii="Times New Roman" w:hAnsi="Times New Roman" w:eastAsia="仿宋_GB2312" w:cs="Times New Roman"/>
          <w:color w:val="auto"/>
          <w:kern w:val="0"/>
          <w:sz w:val="32"/>
          <w:szCs w:val="32"/>
          <w:highlight w:val="none"/>
          <w:lang w:val="en-US" w:eastAsia="zh-CN"/>
        </w:rPr>
        <w:t>285.29</w:t>
      </w:r>
      <w:r>
        <w:rPr>
          <w:rFonts w:hint="default" w:ascii="Times New Roman" w:hAnsi="Times New Roman" w:eastAsia="仿宋_GB2312" w:cs="Times New Roman"/>
          <w:color w:val="auto"/>
          <w:kern w:val="0"/>
          <w:sz w:val="32"/>
          <w:szCs w:val="32"/>
          <w:highlight w:val="none"/>
          <w:lang w:val="en-US" w:eastAsia="zh-CN"/>
        </w:rPr>
        <w:t>万元，比上年预算</w:t>
      </w:r>
      <w:r>
        <w:rPr>
          <w:rFonts w:hint="eastAsia" w:ascii="Times New Roman" w:hAnsi="Times New Roman" w:eastAsia="仿宋_GB2312" w:cs="Times New Roman"/>
          <w:color w:val="auto"/>
          <w:kern w:val="0"/>
          <w:sz w:val="32"/>
          <w:szCs w:val="32"/>
          <w:highlight w:val="none"/>
          <w:lang w:val="en-US" w:eastAsia="zh-CN"/>
        </w:rPr>
        <w:t>减少</w:t>
      </w:r>
      <w:r>
        <w:rPr>
          <w:rFonts w:hint="eastAsia" w:eastAsia="仿宋_GB2312" w:cs="Times New Roman"/>
          <w:color w:val="auto"/>
          <w:kern w:val="0"/>
          <w:sz w:val="32"/>
          <w:szCs w:val="32"/>
          <w:highlight w:val="none"/>
          <w:lang w:val="en-US" w:eastAsia="zh-CN"/>
        </w:rPr>
        <w:t>47.18</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下降</w:t>
      </w:r>
      <w:r>
        <w:rPr>
          <w:rFonts w:hint="eastAsia" w:eastAsia="仿宋_GB2312" w:cs="Times New Roman"/>
          <w:color w:val="auto"/>
          <w:kern w:val="0"/>
          <w:sz w:val="32"/>
          <w:szCs w:val="32"/>
          <w:highlight w:val="none"/>
          <w:lang w:val="en-US" w:eastAsia="zh-CN"/>
        </w:rPr>
        <w:t>14.19</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ascii="Times New Roman" w:hAnsi="Times New Roman" w:eastAsia="仿宋_GB2312" w:cs="Times New Roman"/>
          <w:color w:val="auto"/>
          <w:kern w:val="0"/>
          <w:sz w:val="32"/>
          <w:szCs w:val="32"/>
          <w:highlight w:val="none"/>
          <w:lang w:val="en-US" w:eastAsia="zh-CN"/>
        </w:rPr>
        <w:t>人员减少，</w:t>
      </w:r>
      <w:r>
        <w:rPr>
          <w:rFonts w:hint="default" w:ascii="Times New Roman" w:hAnsi="Times New Roman" w:eastAsia="仿宋_GB2312" w:cs="Times New Roman"/>
          <w:color w:val="auto"/>
          <w:kern w:val="0"/>
          <w:sz w:val="32"/>
          <w:szCs w:val="32"/>
          <w:highlight w:val="none"/>
          <w:lang w:val="en-US" w:eastAsia="zh-CN"/>
        </w:rPr>
        <w:t>故基本工资</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社保</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住房公积金</w:t>
      </w:r>
      <w:r>
        <w:rPr>
          <w:rFonts w:hint="eastAsia" w:ascii="Times New Roman" w:hAnsi="Times New Roman" w:eastAsia="仿宋_GB2312" w:cs="Times New Roman"/>
          <w:color w:val="auto"/>
          <w:kern w:val="0"/>
          <w:sz w:val="32"/>
          <w:szCs w:val="32"/>
          <w:highlight w:val="none"/>
          <w:lang w:val="en-US" w:eastAsia="zh-CN"/>
        </w:rPr>
        <w:t>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六、关于焉耆回族自治县第六幼儿园2025年一般公共预算基本支出情况说明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焉耆回族自治县第六幼儿园2025年一般公共预算基本支出285.29万元，其中：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人员经费274.7</w:t>
      </w:r>
      <w:r>
        <w:rPr>
          <w:rFonts w:hint="eastAsia"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val="en-US" w:eastAsia="zh-CN"/>
        </w:rPr>
        <w:t>万元，主要包括:基本工资、津贴补贴、机关事业单位基本养老保险缴费、职业年金缴费、职工基本医疗保险缴费、其他社会保障缴费、住房公积金。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公用经费10.57万元，主要包括:取暖费、工会经费、福利费、培训费。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七、关于焉耆回族自治县第六幼儿园2025年一般公共预算项目支出情况说明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焉耆回族自治县第六幼儿园</w:t>
      </w:r>
      <w:r>
        <w:rPr>
          <w:rFonts w:hint="eastAsia" w:ascii="Times New Roman" w:hAnsi="Times New Roman" w:eastAsia="仿宋_GB2312" w:cs="Times New Roman"/>
          <w:color w:val="auto"/>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w:t>
      </w:r>
      <w:r>
        <w:rPr>
          <w:rFonts w:hint="eastAsia" w:ascii="仿宋_GB2312" w:hAnsi="仿宋_GB2312" w:eastAsia="仿宋_GB2312" w:cs="仿宋_GB2312"/>
          <w:color w:val="auto"/>
          <w:kern w:val="0"/>
          <w:sz w:val="32"/>
          <w:szCs w:val="32"/>
          <w:highlight w:val="none"/>
        </w:rPr>
        <w:t>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八、关于焉耆回族自治县第六幼儿园2025年政府性基金预算支出情况说明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焉耆回族自治县第六幼儿园</w:t>
      </w:r>
      <w:r>
        <w:rPr>
          <w:rFonts w:hint="eastAsia" w:ascii="Times New Roman" w:hAnsi="Times New Roman" w:eastAsia="仿宋_GB2312" w:cs="Times New Roman"/>
          <w:color w:val="auto"/>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九、关于焉耆回族自治县第六幼儿园2025年国有资本经营预算拨款情况说明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焉耆回族自治县第六幼儿园</w:t>
      </w:r>
      <w:r>
        <w:rPr>
          <w:rFonts w:hint="eastAsia" w:ascii="Times New Roman" w:hAnsi="Times New Roman" w:eastAsia="仿宋_GB2312" w:cs="Times New Roman"/>
          <w:color w:val="auto"/>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十、关于焉耆回族自治县第六幼儿园2025年财政拨款“三公”经费预算情况说明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焉耆回族自治县第六幼儿园</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Hans"/>
        </w:rPr>
        <w:t>财政拨款</w:t>
      </w:r>
      <w:r>
        <w:rPr>
          <w:rFonts w:hint="default" w:ascii="Times New Roman" w:hAnsi="Times New Roman" w:eastAsia="仿宋_GB2312" w:cs="Times New Roman"/>
          <w:color w:val="auto"/>
          <w:sz w:val="32"/>
          <w:szCs w:val="32"/>
          <w:highlight w:val="none"/>
          <w:lang w:val="en-US" w:eastAsia="zh-CN"/>
        </w:rPr>
        <w:t>“三公”经费数为0万元，其中：因公出国（境）费0万元，公务用车购置费0万元，公务用车运行费0万元，公务接待费0万元。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年财政拨款"三公"经费比上年预算增加0万元，增长0%，其中：因公出国（境）费增加0万元，增长0%、主要原因是</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无因公出国（境）人员；公务用车购置费增加0万元，增长0%，主要原因是</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本年度未安排公务用车购置费预算；公务用车运行费增加0万元，增长0%，主要原因是</w:t>
      </w:r>
      <w:r>
        <w:rPr>
          <w:rFonts w:hint="eastAsia" w:ascii="Times New Roman" w:hAnsi="Times New Roman" w:eastAsia="仿宋_GB2312" w:cs="Times New Roman"/>
          <w:color w:val="auto"/>
          <w:sz w:val="32"/>
          <w:szCs w:val="32"/>
          <w:highlight w:val="none"/>
          <w:lang w:val="en-US" w:eastAsia="zh-CN"/>
        </w:rPr>
        <w:t>：未安排预算；</w:t>
      </w:r>
      <w:r>
        <w:rPr>
          <w:rFonts w:hint="default" w:ascii="Times New Roman" w:hAnsi="Times New Roman" w:eastAsia="仿宋_GB2312" w:cs="Times New Roman"/>
          <w:color w:val="auto"/>
          <w:sz w:val="32"/>
          <w:szCs w:val="32"/>
          <w:highlight w:val="none"/>
          <w:lang w:val="en-US" w:eastAsia="zh-CN"/>
        </w:rPr>
        <w:t>公务接待费增加0万元，增长0%，主要原因是</w:t>
      </w:r>
      <w:r>
        <w:rPr>
          <w:rFonts w:hint="eastAsia" w:ascii="Times New Roman" w:hAnsi="Times New Roman" w:eastAsia="仿宋_GB2312" w:cs="Times New Roman"/>
          <w:color w:val="auto"/>
          <w:sz w:val="32"/>
          <w:szCs w:val="32"/>
          <w:highlight w:val="none"/>
          <w:lang w:val="en-US" w:eastAsia="zh-CN"/>
        </w:rPr>
        <w:t>：未安排预算。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一</w:t>
      </w:r>
      <w:r>
        <w:rPr>
          <w:rFonts w:hint="eastAsia" w:ascii="楷体_GB2312" w:hAnsi="楷体_GB2312" w:eastAsia="楷体_GB2312" w:cs="楷体_GB2312"/>
          <w:b/>
          <w:bCs/>
          <w:color w:val="auto"/>
          <w:kern w:val="0"/>
          <w:sz w:val="32"/>
          <w:szCs w:val="32"/>
          <w:highlight w:val="none"/>
        </w:rPr>
        <w:t>、关于焉耆回族自治县第六幼儿园</w:t>
      </w:r>
      <w:r>
        <w:rPr>
          <w:rFonts w:hint="eastAsia" w:ascii="楷体_GB2312" w:hAnsi="楷体_GB2312" w:eastAsia="楷体_GB2312" w:cs="楷体_GB2312"/>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rPr>
        <w:t>年</w:t>
      </w:r>
      <w:r>
        <w:rPr>
          <w:rFonts w:hint="eastAsia" w:ascii="楷体_GB2312" w:hAnsi="楷体_GB2312" w:eastAsia="楷体_GB2312" w:cs="楷体_GB2312"/>
          <w:b/>
          <w:bCs/>
          <w:color w:val="auto"/>
          <w:kern w:val="0"/>
          <w:sz w:val="32"/>
          <w:szCs w:val="32"/>
          <w:highlight w:val="none"/>
          <w:lang w:val="en-US" w:eastAsia="zh-CN"/>
        </w:rPr>
        <w:t>上年结转结余</w:t>
      </w:r>
      <w:r>
        <w:rPr>
          <w:rFonts w:hint="eastAsia" w:ascii="楷体_GB2312" w:hAnsi="楷体_GB2312" w:eastAsia="楷体_GB2312" w:cs="楷体_GB2312"/>
          <w:b/>
          <w:bCs/>
          <w:color w:val="auto"/>
          <w:kern w:val="0"/>
          <w:sz w:val="32"/>
          <w:szCs w:val="32"/>
          <w:highlight w:val="none"/>
        </w:rPr>
        <w:t>预算情况说明</w:t>
      </w:r>
    </w:p>
    <w:p>
      <w:pPr>
        <w:spacing w:line="600" w:lineRule="exact"/>
        <w:ind w:firstLine="640" w:firstLineChars="200"/>
      </w:pPr>
      <w:r>
        <w:rPr>
          <w:rFonts w:hint="eastAsia" w:ascii="仿宋_GB2312" w:hAnsi="仿宋_GB2312" w:eastAsia="仿宋_GB2312" w:cs="仿宋_GB2312"/>
          <w:kern w:val="0"/>
          <w:sz w:val="32"/>
          <w:szCs w:val="32"/>
          <w:lang w:eastAsia="zh-CN"/>
        </w:rPr>
        <w:t>焉耆回族自治县第六幼儿</w:t>
      </w:r>
      <w:r>
        <w:rPr>
          <w:rFonts w:hint="eastAsia" w:ascii="Times New Roman" w:hAnsi="Times New Roman" w:eastAsia="仿宋_GB2312" w:cs="Times New Roman"/>
          <w:kern w:val="0"/>
          <w:sz w:val="32"/>
          <w:szCs w:val="32"/>
          <w:lang w:eastAsia="zh-CN"/>
        </w:rPr>
        <w:t>园</w:t>
      </w:r>
      <w:r>
        <w:rPr>
          <w:rFonts w:hint="eastAsia" w:ascii="Times New Roman" w:hAnsi="Times New Roman" w:eastAsia="仿宋_GB2312" w:cs="Times New Roman"/>
          <w:kern w:val="0"/>
          <w:sz w:val="32"/>
          <w:szCs w:val="32"/>
        </w:rPr>
        <w:t>2025年</w:t>
      </w:r>
      <w:r>
        <w:rPr>
          <w:rFonts w:hint="eastAsia" w:ascii="仿宋_GB2312" w:hAnsi="仿宋_GB2312" w:eastAsia="仿宋_GB2312" w:cs="仿宋_GB2312"/>
          <w:kern w:val="0"/>
          <w:sz w:val="32"/>
          <w:szCs w:val="32"/>
        </w:rPr>
        <w:t>没有上年结转结余预算的支出，上年结转结余情况明细表为空表。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二</w:t>
      </w:r>
      <w:r>
        <w:rPr>
          <w:rFonts w:hint="eastAsia" w:ascii="楷体_GB2312" w:hAnsi="楷体_GB2312" w:eastAsia="楷体_GB2312" w:cs="楷体_GB2312"/>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（一）</w:t>
      </w:r>
      <w:r>
        <w:rPr>
          <w:rFonts w:hint="eastAsia" w:ascii="仿宋_GB2312" w:hAnsi="仿宋_GB2312" w:eastAsia="仿宋_GB2312" w:cs="仿宋_GB2312"/>
          <w:b/>
          <w:color w:val="auto"/>
          <w:kern w:val="0"/>
          <w:sz w:val="32"/>
          <w:szCs w:val="32"/>
          <w:highlight w:val="none"/>
          <w:lang w:val="en-US" w:eastAsia="zh-CN"/>
        </w:rPr>
        <w:t>单位</w:t>
      </w:r>
      <w:r>
        <w:rPr>
          <w:rFonts w:hint="eastAsia" w:ascii="仿宋_GB2312" w:hAnsi="仿宋_GB2312" w:eastAsia="仿宋_GB2312" w:cs="仿宋_GB2312"/>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焉耆回族自治县第六幼儿园2025年的事业单位运行经费10.57万元，比上年预算增加1.</w:t>
      </w:r>
      <w:r>
        <w:rPr>
          <w:rFonts w:hint="eastAsia" w:eastAsia="仿宋_GB2312" w:cs="Times New Roman"/>
          <w:color w:val="auto"/>
          <w:sz w:val="32"/>
          <w:szCs w:val="32"/>
          <w:highlight w:val="none"/>
          <w:lang w:val="en-US" w:eastAsia="zh-CN"/>
        </w:rPr>
        <w:t>05</w:t>
      </w:r>
      <w:r>
        <w:rPr>
          <w:rFonts w:hint="eastAsia" w:ascii="Times New Roman" w:hAnsi="Times New Roman" w:eastAsia="仿宋_GB2312" w:cs="Times New Roman"/>
          <w:color w:val="auto"/>
          <w:sz w:val="32"/>
          <w:szCs w:val="32"/>
          <w:highlight w:val="none"/>
          <w:lang w:val="en-US" w:eastAsia="zh-CN"/>
        </w:rPr>
        <w:t>万元，增长11.</w:t>
      </w:r>
      <w:r>
        <w:rPr>
          <w:rFonts w:hint="eastAsia" w:eastAsia="仿宋_GB2312" w:cs="Times New Roman"/>
          <w:color w:val="auto"/>
          <w:sz w:val="32"/>
          <w:szCs w:val="32"/>
          <w:highlight w:val="none"/>
          <w:lang w:val="en-US" w:eastAsia="zh-CN"/>
        </w:rPr>
        <w:t>03</w:t>
      </w:r>
      <w:r>
        <w:rPr>
          <w:rFonts w:hint="eastAsia" w:ascii="Times New Roman" w:hAnsi="Times New Roman" w:eastAsia="仿宋_GB2312" w:cs="Times New Roman"/>
          <w:color w:val="auto"/>
          <w:sz w:val="32"/>
          <w:szCs w:val="32"/>
          <w:highlight w:val="none"/>
          <w:lang w:val="en-US" w:eastAsia="zh-CN"/>
        </w:rPr>
        <w:t>%。主要原因是：取暖费收费标准变化，取暖费预算增加</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2025年，焉耆回族自治县第六幼儿园政府采购预算8万元，其中：政府采购货物预算8万元，政府采购工程预算0万元，政府采购服务预算0万元。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2025年，焉耆回族自治县第六幼儿园面向中小企业预留政府采购项目预算金额</w:t>
      </w:r>
      <w:r>
        <w:rPr>
          <w:rFonts w:hint="eastAsia"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val="en-US" w:eastAsia="zh-CN"/>
        </w:rPr>
        <w:t>万元，小微企业预留政府采购项目预算金额8万元。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截至2024年底，焉耆回族自治县第六幼儿园及下属各预算单位占用使用国有资产总体情况为：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1.房屋3720.75平方米，价值10597.46万元。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rPr>
        <w:t>（四）</w:t>
      </w:r>
      <w:r>
        <w:rPr>
          <w:rFonts w:hint="eastAsia" w:ascii="仿宋_GB2312" w:hAnsi="仿宋_GB2312" w:eastAsia="仿宋_GB2312" w:cs="仿宋_GB2312"/>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本</w:t>
      </w:r>
      <w:r>
        <w:rPr>
          <w:rFonts w:hint="eastAsia" w:ascii="Times New Roman" w:hAnsi="Times New Roman" w:eastAsia="仿宋_GB2312" w:cs="Times New Roman"/>
          <w:color w:val="auto"/>
          <w:kern w:val="0"/>
          <w:sz w:val="32"/>
          <w:szCs w:val="32"/>
          <w:highlight w:val="none"/>
          <w:lang w:val="en-US" w:eastAsia="zh-CN"/>
        </w:rPr>
        <w:t>单位</w:t>
      </w:r>
      <w:r>
        <w:rPr>
          <w:rFonts w:hint="eastAsia" w:ascii="Times New Roman" w:hAnsi="Times New Roman" w:eastAsia="仿宋_GB2312" w:cs="Times New Roman"/>
          <w:color w:val="auto"/>
          <w:kern w:val="0"/>
          <w:sz w:val="32"/>
          <w:szCs w:val="32"/>
          <w:highlight w:val="none"/>
        </w:rPr>
        <w:t>预算绩效管理</w:t>
      </w:r>
      <w:r>
        <w:rPr>
          <w:rFonts w:hint="eastAsia" w:ascii="Times New Roman" w:hAnsi="Times New Roman" w:eastAsia="仿宋_GB2312" w:cs="Times New Roman"/>
          <w:color w:val="auto"/>
          <w:kern w:val="0"/>
          <w:sz w:val="32"/>
          <w:szCs w:val="32"/>
          <w:highlight w:val="none"/>
          <w:lang w:val="en-US" w:eastAsia="zh-CN"/>
        </w:rPr>
        <w:t>整体预算绩效目标1个，涉及预算金额286.31万元；当年预算安排项目共0个，其中:</w:t>
      </w:r>
      <w:r>
        <w:rPr>
          <w:rFonts w:hint="eastAsia" w:ascii="Times New Roman" w:hAnsi="Times New Roman" w:eastAsia="仿宋_GB2312" w:cs="Times New Roman"/>
          <w:color w:val="auto"/>
          <w:kern w:val="0"/>
          <w:sz w:val="32"/>
          <w:szCs w:val="32"/>
          <w:highlight w:val="none"/>
          <w:lang w:val="en-US" w:eastAsia="zh-Hans"/>
        </w:rPr>
        <w:t>财政拨款</w:t>
      </w:r>
      <w:r>
        <w:rPr>
          <w:rFonts w:hint="eastAsia" w:ascii="Times New Roman" w:hAnsi="Times New Roman" w:eastAsia="仿宋_GB2312" w:cs="Times New Roman"/>
          <w:color w:val="auto"/>
          <w:kern w:val="0"/>
          <w:sz w:val="32"/>
          <w:szCs w:val="32"/>
          <w:highlight w:val="none"/>
        </w:rPr>
        <w:t>项目</w:t>
      </w:r>
      <w:r>
        <w:rPr>
          <w:rFonts w:hint="eastAsia" w:ascii="Times New Roman" w:hAnsi="Times New Roman" w:eastAsia="仿宋_GB2312" w:cs="Times New Roman"/>
          <w:color w:val="auto"/>
          <w:kern w:val="0"/>
          <w:sz w:val="32"/>
          <w:szCs w:val="32"/>
          <w:highlight w:val="none"/>
          <w:lang w:val="en-US" w:eastAsia="zh-CN"/>
        </w:rPr>
        <w:t>涉及预算金额0万元；</w:t>
      </w:r>
      <w:r>
        <w:rPr>
          <w:rFonts w:hint="eastAsia" w:ascii="Times New Roman" w:hAnsi="Times New Roman" w:eastAsia="仿宋_GB2312" w:cs="Times New Roman"/>
          <w:color w:val="auto"/>
          <w:kern w:val="0"/>
          <w:sz w:val="32"/>
          <w:szCs w:val="32"/>
          <w:highlight w:val="none"/>
          <w:lang w:val="en-US" w:eastAsia="zh-Hans"/>
        </w:rPr>
        <w:t>非财政拨款项目</w:t>
      </w:r>
      <w:r>
        <w:rPr>
          <w:rFonts w:hint="eastAsia" w:ascii="Times New Roman" w:hAnsi="Times New Roman" w:eastAsia="仿宋_GB2312" w:cs="Times New Roman"/>
          <w:color w:val="auto"/>
          <w:kern w:val="0"/>
          <w:sz w:val="32"/>
          <w:szCs w:val="32"/>
          <w:highlight w:val="none"/>
        </w:rPr>
        <w:t>涉及预算金额</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rPr>
        <w:t>万元。</w:t>
      </w:r>
      <w:r>
        <w:rPr>
          <w:rFonts w:hint="eastAsia" w:ascii="Times New Roman" w:hAnsi="Times New Roman" w:eastAsia="仿宋_GB2312" w:cs="Times New Roman"/>
          <w:kern w:val="0"/>
          <w:sz w:val="32"/>
          <w:szCs w:val="32"/>
          <w:lang w:val="en-US" w:eastAsia="zh-CN"/>
        </w:rPr>
        <w:t>具体情况见下表</w:t>
      </w:r>
      <w:r>
        <w:rPr>
          <w:rFonts w:hint="eastAsia" w:ascii="仿宋_GB2312" w:hAnsi="仿宋_GB2312" w:eastAsia="仿宋_GB2312" w:cs="仿宋_GB2312"/>
          <w:color w:val="auto"/>
          <w:kern w:val="0"/>
          <w:sz w:val="32"/>
          <w:szCs w:val="32"/>
          <w:highlight w:val="none"/>
        </w:rPr>
        <w:t>（按项目分别填报）</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eastAsia" w:ascii="黑体" w:hAnsi="黑体" w:eastAsia="黑体"/>
          <w:kern w:val="0"/>
          <w:sz w:val="32"/>
          <w:szCs w:val="32"/>
          <w:highlight w:val="none"/>
          <w:lang w:eastAsia="zh-CN"/>
        </w:rPr>
      </w:pPr>
    </w:p>
    <w:p>
      <w:pPr>
        <w:pStyle w:val="2"/>
        <w:rPr>
          <w:rFonts w:hint="eastAsia" w:ascii="黑体" w:hAnsi="黑体" w:eastAsia="黑体"/>
          <w:kern w:val="0"/>
          <w:sz w:val="32"/>
          <w:szCs w:val="32"/>
          <w:highlight w:val="none"/>
          <w:lang w:eastAsia="zh-CN"/>
        </w:rPr>
      </w:pPr>
    </w:p>
    <w:p>
      <w:pPr>
        <w:pStyle w:val="2"/>
        <w:rPr>
          <w:rFonts w:hint="eastAsia" w:ascii="黑体" w:hAnsi="黑体" w:eastAsia="黑体"/>
          <w:kern w:val="0"/>
          <w:sz w:val="32"/>
          <w:szCs w:val="32"/>
          <w:highlight w:val="none"/>
          <w:lang w:eastAsia="zh-CN"/>
        </w:rPr>
      </w:pPr>
    </w:p>
    <w:p>
      <w:pPr>
        <w:pStyle w:val="2"/>
        <w:rPr>
          <w:rFonts w:hint="eastAsia" w:ascii="黑体" w:hAnsi="黑体" w:eastAsia="黑体"/>
          <w:kern w:val="0"/>
          <w:sz w:val="32"/>
          <w:szCs w:val="32"/>
          <w:highlight w:val="none"/>
          <w:lang w:eastAsia="zh-CN"/>
        </w:rPr>
      </w:pPr>
    </w:p>
    <w:p>
      <w:pPr>
        <w:pStyle w:val="2"/>
        <w:rPr>
          <w:rFonts w:hint="eastAsia" w:ascii="黑体" w:hAnsi="黑体" w:eastAsia="黑体"/>
          <w:kern w:val="0"/>
          <w:sz w:val="32"/>
          <w:szCs w:val="32"/>
          <w:highlight w:val="none"/>
          <w:lang w:eastAsia="zh-CN"/>
        </w:rPr>
      </w:pPr>
    </w:p>
    <w:p>
      <w:pPr>
        <w:pStyle w:val="2"/>
        <w:rPr>
          <w:rFonts w:hint="eastAsia" w:ascii="黑体" w:hAnsi="黑体" w:eastAsia="黑体"/>
          <w:kern w:val="0"/>
          <w:sz w:val="32"/>
          <w:szCs w:val="32"/>
          <w:highlight w:val="none"/>
          <w:lang w:eastAsia="zh-CN"/>
        </w:rPr>
      </w:pPr>
    </w:p>
    <w:tbl>
      <w:tblPr>
        <w:tblStyle w:val="12"/>
        <w:tblpPr w:leftFromText="180" w:rightFromText="180" w:vertAnchor="page" w:horzAnchor="page" w:tblpX="1249" w:tblpY="1684"/>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仿宋_GB2312" w:hAnsi="宋体" w:eastAsia="仿宋_GB2312" w:cs="仿宋_GB2312"/>
                <w:b/>
                <w:color w:val="000000"/>
                <w:kern w:val="0"/>
                <w:sz w:val="32"/>
                <w:szCs w:val="32"/>
                <w:highlight w:val="none"/>
                <w:lang w:val="en-US" w:eastAsia="zh-CN" w:bidi="ar"/>
              </w:rPr>
              <w:t>单位整体绩效目标表</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val="en-US" w:eastAsia="zh-CN"/>
              </w:rPr>
              <w:t>焉耆县第六幼儿园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val="en-US" w:eastAsia="zh-CN"/>
              </w:rPr>
              <w:t>帕提古丽</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val="en-US" w:eastAsia="zh-CN"/>
              </w:rPr>
              <w:t>15609962833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color w:val="000000"/>
                <w:sz w:val="20"/>
                <w:szCs w:val="20"/>
              </w:rPr>
              <w:t>全面贯彻执行党和国家的教育方针，按照保育与教育相结合的原则，遵循幼儿身心发展特点和规律，实施德、智、体、美、劳等全面发展的教育，促进幼儿身心和谐发展；为家长提供科学育儿宣传、指导。制订并实施教育教学大纲、完成幼儿园“育人、服务”两大任务。落实立德树人根本任务，以年度工作思路和工作重点为抓手，以和谐、创新、发展为主题，以师资队伍建设与校园文化内涵建设为重点，创新思路，优化环境，打造特色，精心为教师搭建创新发展的平台、为幼儿创设安全舒适的成长环境，不断提升办园品质。学前教育幼儿人数252名,幼儿园适龄入学率98%，开办数量12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285.29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default" w:ascii="Times New Roman" w:hAnsi="Times New Roman" w:cs="Times New Roman"/>
                <w:color w:val="000000"/>
                <w:kern w:val="0"/>
                <w:sz w:val="18"/>
                <w:szCs w:val="18"/>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kern w:val="2"/>
                <w:sz w:val="18"/>
                <w:szCs w:val="18"/>
                <w:highlight w:val="none"/>
                <w:u w:val="none"/>
                <w:lang w:val="en-US" w:eastAsia="zh-CN" w:bidi="ar-SA"/>
              </w:rPr>
            </w:pPr>
            <w:r>
              <w:rPr>
                <w:rFonts w:hint="default" w:ascii="Times New Roman" w:hAnsi="Times New Roman" w:cs="Times New Roman"/>
                <w:color w:val="000000"/>
                <w:sz w:val="18"/>
                <w:szCs w:val="18"/>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kern w:val="2"/>
                <w:sz w:val="18"/>
                <w:szCs w:val="18"/>
                <w:highlight w:val="none"/>
                <w:u w:val="none"/>
                <w:lang w:val="en-US" w:eastAsia="zh-CN" w:bidi="ar-SA"/>
              </w:rPr>
            </w:pPr>
            <w:r>
              <w:rPr>
                <w:rFonts w:hint="default" w:ascii="Times New Roman" w:hAnsi="Times New Roman" w:cs="Times New Roman"/>
                <w:i w:val="0"/>
                <w:iCs w:val="0"/>
                <w:color w:val="000000"/>
                <w:sz w:val="18"/>
                <w:szCs w:val="18"/>
                <w:u w:val="none"/>
                <w:lang w:eastAsia="zh-CN"/>
              </w:rPr>
              <w:t>学前教育幼儿人数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ind w:firstLine="180" w:firstLineChars="100"/>
              <w:jc w:val="both"/>
              <w:rPr>
                <w:rFonts w:hint="default" w:ascii="宋体" w:hAnsi="宋体" w:eastAsia="宋体" w:cs="宋体"/>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sz w:val="18"/>
                <w:szCs w:val="18"/>
                <w:u w:val="none"/>
              </w:rPr>
              <w:t>≧</w:t>
            </w:r>
            <w:r>
              <w:rPr>
                <w:rFonts w:hint="eastAsia" w:cs="Times New Roman"/>
                <w:i w:val="0"/>
                <w:iCs w:val="0"/>
                <w:color w:val="000000"/>
                <w:sz w:val="18"/>
                <w:szCs w:val="18"/>
                <w:u w:val="none"/>
                <w:lang w:val="en-US" w:eastAsia="zh-CN"/>
              </w:rPr>
              <w:t>252</w:t>
            </w:r>
            <w:r>
              <w:rPr>
                <w:rFonts w:hint="default" w:ascii="Times New Roman" w:hAnsi="Times New Roman" w:cs="Times New Roman"/>
                <w:i w:val="0"/>
                <w:iCs w:val="0"/>
                <w:color w:val="000000"/>
                <w:sz w:val="18"/>
                <w:szCs w:val="18"/>
                <w:u w:val="none"/>
                <w:lang w:val="en-US" w:eastAsia="zh-CN"/>
              </w:rPr>
              <w:t>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kern w:val="2"/>
                <w:sz w:val="18"/>
                <w:szCs w:val="18"/>
                <w:highlight w:val="none"/>
                <w:u w:val="none"/>
                <w:lang w:val="en-US" w:eastAsia="zh-CN" w:bidi="ar-SA"/>
              </w:rPr>
            </w:pPr>
            <w:r>
              <w:rPr>
                <w:rFonts w:hint="default" w:ascii="Times New Roman" w:hAnsi="Times New Roman" w:cs="Times New Roman"/>
                <w:color w:val="000000"/>
                <w:sz w:val="18"/>
                <w:szCs w:val="18"/>
              </w:rPr>
              <w:t>202</w:t>
            </w:r>
            <w:r>
              <w:rPr>
                <w:rFonts w:hint="eastAsia" w:cs="Times New Roman"/>
                <w:color w:val="000000"/>
                <w:sz w:val="18"/>
                <w:szCs w:val="18"/>
                <w:lang w:val="en-US" w:eastAsia="zh-CN"/>
              </w:rPr>
              <w:t>5</w:t>
            </w:r>
            <w:r>
              <w:rPr>
                <w:rFonts w:hint="default" w:ascii="Times New Roman" w:hAnsi="Times New Roman" w:cs="Times New Roman"/>
                <w:color w:val="000000"/>
                <w:sz w:val="18"/>
                <w:szCs w:val="18"/>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kern w:val="2"/>
                <w:sz w:val="22"/>
                <w:szCs w:val="22"/>
                <w:highlight w:val="none"/>
                <w:u w:val="none"/>
                <w:lang w:val="en-US" w:eastAsia="zh-CN" w:bidi="ar-SA"/>
              </w:rPr>
            </w:pPr>
            <w:r>
              <w:rPr>
                <w:rFonts w:hint="eastAsia" w:eastAsia="仿宋_GB2312" w:cs="Times New Roman"/>
                <w:i w:val="0"/>
                <w:iCs w:val="0"/>
                <w:color w:val="000000"/>
                <w:sz w:val="22"/>
                <w:szCs w:val="22"/>
                <w:u w:val="none"/>
                <w:lang w:val="en-US" w:eastAsia="zh-CN"/>
              </w:rPr>
              <w:t>2</w:t>
            </w:r>
            <w:r>
              <w:rPr>
                <w:rFonts w:hint="default" w:ascii="Times New Roman" w:hAnsi="Times New Roman" w:eastAsia="仿宋_GB2312" w:cs="Times New Roman"/>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i w:val="0"/>
                <w:iCs w:val="0"/>
                <w:color w:val="000000"/>
                <w:sz w:val="18"/>
                <w:szCs w:val="18"/>
                <w:highlight w:val="none"/>
                <w:u w:val="none"/>
              </w:rPr>
            </w:pPr>
            <w:r>
              <w:rPr>
                <w:rFonts w:hint="default" w:ascii="Times New Roman" w:hAnsi="Times New Roman" w:cs="Times New Roman"/>
                <w:color w:val="000000"/>
                <w:kern w:val="0"/>
                <w:sz w:val="18"/>
                <w:szCs w:val="18"/>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highlight w:val="none"/>
                <w:u w:val="none"/>
              </w:rPr>
            </w:pPr>
            <w:r>
              <w:rPr>
                <w:rFonts w:hint="default" w:ascii="Times New Roman" w:hAnsi="Times New Roman" w:cs="Times New Roman"/>
                <w:color w:val="000000"/>
                <w:sz w:val="18"/>
                <w:szCs w:val="18"/>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幼儿开办数量</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ind w:firstLine="180" w:firstLineChars="100"/>
              <w:jc w:val="both"/>
              <w:rPr>
                <w:rFonts w:hint="eastAsia" w:ascii="宋体" w:hAnsi="宋体" w:eastAsia="宋体" w:cs="宋体"/>
                <w:i w:val="0"/>
                <w:iCs w:val="0"/>
                <w:color w:val="000000"/>
                <w:sz w:val="18"/>
                <w:szCs w:val="18"/>
                <w:highlight w:val="none"/>
                <w:u w:val="none"/>
              </w:rPr>
            </w:pPr>
            <w:r>
              <w:rPr>
                <w:rFonts w:hint="default" w:ascii="Times New Roman" w:hAnsi="Times New Roman" w:eastAsia="宋体" w:cs="Times New Roman"/>
                <w:i w:val="0"/>
                <w:iCs w:val="0"/>
                <w:color w:val="000000"/>
                <w:sz w:val="18"/>
                <w:szCs w:val="18"/>
                <w:u w:val="none"/>
              </w:rPr>
              <w:t>≧</w:t>
            </w:r>
            <w:r>
              <w:rPr>
                <w:rFonts w:hint="eastAsia" w:cs="Times New Roman"/>
                <w:i w:val="0"/>
                <w:iCs w:val="0"/>
                <w:color w:val="000000"/>
                <w:sz w:val="18"/>
                <w:szCs w:val="18"/>
                <w:u w:val="none"/>
                <w:lang w:val="en-US" w:eastAsia="zh-CN"/>
              </w:rPr>
              <w:t>12</w:t>
            </w:r>
            <w:r>
              <w:rPr>
                <w:rFonts w:hint="default" w:ascii="Times New Roman" w:hAnsi="Times New Roman" w:cs="Times New Roman"/>
                <w:i w:val="0"/>
                <w:iCs w:val="0"/>
                <w:color w:val="000000"/>
                <w:sz w:val="18"/>
                <w:szCs w:val="18"/>
                <w:u w:val="none"/>
                <w:lang w:val="en-US" w:eastAsia="zh-CN"/>
              </w:rPr>
              <w:t>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highlight w:val="none"/>
                <w:u w:val="none"/>
              </w:rPr>
            </w:pPr>
            <w:r>
              <w:rPr>
                <w:rFonts w:hint="default" w:ascii="Times New Roman" w:hAnsi="Times New Roman" w:cs="Times New Roman"/>
                <w:color w:val="000000"/>
                <w:sz w:val="18"/>
                <w:szCs w:val="18"/>
              </w:rPr>
              <w:t>202</w:t>
            </w:r>
            <w:r>
              <w:rPr>
                <w:rFonts w:hint="eastAsia" w:cs="Times New Roman"/>
                <w:color w:val="000000"/>
                <w:sz w:val="18"/>
                <w:szCs w:val="18"/>
                <w:lang w:val="en-US" w:eastAsia="zh-CN"/>
              </w:rPr>
              <w:t>5</w:t>
            </w:r>
            <w:r>
              <w:rPr>
                <w:rFonts w:hint="default" w:ascii="Times New Roman" w:hAnsi="Times New Roman" w:cs="Times New Roman"/>
                <w:color w:val="000000"/>
                <w:sz w:val="18"/>
                <w:szCs w:val="18"/>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2"/>
                <w:szCs w:val="22"/>
                <w:highlight w:val="none"/>
                <w:u w:val="none"/>
              </w:rPr>
            </w:pPr>
            <w:r>
              <w:rPr>
                <w:rFonts w:hint="eastAsia" w:eastAsia="仿宋_GB2312" w:cs="Times New Roman"/>
                <w:i w:val="0"/>
                <w:iCs w:val="0"/>
                <w:color w:val="000000"/>
                <w:sz w:val="22"/>
                <w:szCs w:val="22"/>
                <w:u w:val="none"/>
                <w:lang w:val="en-US" w:eastAsia="zh-CN"/>
              </w:rPr>
              <w:t>2</w:t>
            </w:r>
            <w:r>
              <w:rPr>
                <w:rFonts w:hint="default" w:ascii="Times New Roman" w:hAnsi="Times New Roman" w:eastAsia="仿宋_GB2312" w:cs="Times New Roman"/>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i w:val="0"/>
                <w:iCs w:val="0"/>
                <w:color w:val="000000"/>
                <w:sz w:val="18"/>
                <w:szCs w:val="18"/>
                <w:highlight w:val="none"/>
                <w:u w:val="none"/>
              </w:rPr>
            </w:pPr>
            <w:r>
              <w:rPr>
                <w:rFonts w:hint="default" w:ascii="Times New Roman" w:hAnsi="Times New Roman" w:cs="Times New Roman"/>
                <w:color w:val="000000"/>
                <w:kern w:val="0"/>
                <w:sz w:val="18"/>
                <w:szCs w:val="18"/>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highlight w:val="none"/>
                <w:u w:val="none"/>
              </w:rPr>
            </w:pPr>
            <w:r>
              <w:rPr>
                <w:rFonts w:hint="default" w:ascii="Times New Roman" w:hAnsi="Times New Roman" w:cs="Times New Roman"/>
                <w:color w:val="000000"/>
                <w:sz w:val="18"/>
                <w:szCs w:val="18"/>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imes New Roman" w:hAnsi="Times New Roman" w:cs="Times New Roman"/>
                <w:i w:val="0"/>
                <w:iCs w:val="0"/>
                <w:color w:val="000000"/>
                <w:sz w:val="18"/>
                <w:szCs w:val="18"/>
                <w:u w:val="none"/>
                <w:lang w:eastAsia="zh-CN"/>
              </w:rPr>
            </w:pPr>
            <w:r>
              <w:rPr>
                <w:rFonts w:hint="default" w:ascii="Times New Roman" w:hAnsi="Times New Roman" w:cs="Times New Roman"/>
                <w:i w:val="0"/>
                <w:iCs w:val="0"/>
                <w:color w:val="000000"/>
                <w:sz w:val="18"/>
                <w:szCs w:val="18"/>
                <w:u w:val="none"/>
                <w:lang w:eastAsia="zh-CN"/>
              </w:rPr>
              <w:t>免除学前教育幼儿保教费人数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ind w:firstLine="180" w:firstLineChars="100"/>
              <w:jc w:val="both"/>
              <w:rPr>
                <w:rFonts w:hint="default" w:ascii="宋体" w:hAnsi="宋体" w:eastAsia="宋体" w:cs="宋体"/>
                <w:i w:val="0"/>
                <w:iCs w:val="0"/>
                <w:color w:val="000000"/>
                <w:sz w:val="18"/>
                <w:szCs w:val="18"/>
                <w:highlight w:val="none"/>
                <w:u w:val="none"/>
                <w:lang w:val="en-US"/>
              </w:rPr>
            </w:pPr>
            <w:r>
              <w:rPr>
                <w:rFonts w:hint="default" w:ascii="Times New Roman" w:hAnsi="Times New Roman" w:cs="Times New Roman"/>
                <w:color w:val="000000"/>
                <w:sz w:val="18"/>
                <w:szCs w:val="18"/>
              </w:rPr>
              <w:t>≥</w:t>
            </w:r>
            <w:r>
              <w:rPr>
                <w:rFonts w:hint="eastAsia" w:cs="Times New Roman"/>
                <w:color w:val="000000"/>
                <w:sz w:val="18"/>
                <w:szCs w:val="18"/>
                <w:lang w:val="en-US" w:eastAsia="zh-CN"/>
              </w:rPr>
              <w:t>252人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18"/>
                <w:szCs w:val="18"/>
                <w:highlight w:val="none"/>
                <w:u w:val="none"/>
              </w:rPr>
            </w:pPr>
            <w:r>
              <w:rPr>
                <w:rFonts w:hint="default" w:ascii="Times New Roman" w:hAnsi="Times New Roman" w:cs="Times New Roman"/>
                <w:color w:val="000000"/>
                <w:sz w:val="18"/>
                <w:szCs w:val="18"/>
              </w:rPr>
              <w:t>202</w:t>
            </w:r>
            <w:r>
              <w:rPr>
                <w:rFonts w:hint="eastAsia" w:cs="Times New Roman"/>
                <w:color w:val="000000"/>
                <w:sz w:val="18"/>
                <w:szCs w:val="18"/>
                <w:lang w:val="en-US" w:eastAsia="zh-CN"/>
              </w:rPr>
              <w:t>5</w:t>
            </w:r>
            <w:r>
              <w:rPr>
                <w:rFonts w:hint="default" w:ascii="Times New Roman" w:hAnsi="Times New Roman" w:cs="Times New Roman"/>
                <w:color w:val="000000"/>
                <w:sz w:val="18"/>
                <w:szCs w:val="18"/>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2"/>
                <w:szCs w:val="22"/>
                <w:highlight w:val="none"/>
                <w:u w:val="none"/>
                <w:lang w:val="en-US"/>
              </w:rPr>
            </w:pPr>
            <w:r>
              <w:rPr>
                <w:rFonts w:hint="eastAsia" w:eastAsia="仿宋_GB2312" w:cs="Times New Roman"/>
                <w:i w:val="0"/>
                <w:iCs w:val="0"/>
                <w:color w:val="000000"/>
                <w:sz w:val="22"/>
                <w:szCs w:val="22"/>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i w:val="0"/>
                <w:iCs w:val="0"/>
                <w:color w:val="000000"/>
                <w:sz w:val="18"/>
                <w:szCs w:val="18"/>
                <w:highlight w:val="none"/>
                <w:u w:val="none"/>
              </w:rPr>
            </w:pPr>
            <w:r>
              <w:rPr>
                <w:rFonts w:hint="default" w:ascii="Times New Roman" w:hAnsi="Times New Roman" w:cs="Times New Roman"/>
                <w:color w:val="000000"/>
                <w:kern w:val="0"/>
                <w:sz w:val="18"/>
                <w:szCs w:val="18"/>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i w:val="0"/>
                <w:iCs w:val="0"/>
                <w:color w:val="000000"/>
                <w:sz w:val="18"/>
                <w:szCs w:val="18"/>
                <w:highlight w:val="none"/>
                <w:u w:val="none"/>
              </w:rPr>
            </w:pPr>
            <w:r>
              <w:rPr>
                <w:rFonts w:hint="default" w:ascii="Times New Roman" w:hAnsi="Times New Roman" w:cs="Times New Roman"/>
                <w:color w:val="000000"/>
                <w:sz w:val="18"/>
                <w:szCs w:val="18"/>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Times New Roman" w:hAnsi="Times New Roman" w:cs="Times New Roman"/>
                <w:i w:val="0"/>
                <w:iCs w:val="0"/>
                <w:color w:val="000000"/>
                <w:sz w:val="18"/>
                <w:szCs w:val="18"/>
                <w:u w:val="none"/>
                <w:lang w:eastAsia="zh-CN"/>
              </w:rPr>
            </w:pPr>
            <w:r>
              <w:rPr>
                <w:rFonts w:hint="default" w:ascii="Times New Roman" w:hAnsi="Times New Roman" w:cs="Times New Roman"/>
                <w:i w:val="0"/>
                <w:iCs w:val="0"/>
                <w:color w:val="000000"/>
                <w:sz w:val="18"/>
                <w:szCs w:val="18"/>
                <w:u w:val="none"/>
                <w:lang w:eastAsia="zh-CN"/>
              </w:rPr>
              <w:t>学前教育适龄幼儿入学率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180" w:firstLineChars="100"/>
              <w:jc w:val="both"/>
              <w:textAlignment w:val="center"/>
              <w:rPr>
                <w:rFonts w:hint="default" w:ascii="宋体" w:hAnsi="宋体" w:eastAsia="宋体" w:cs="宋体"/>
                <w:i w:val="0"/>
                <w:iCs w:val="0"/>
                <w:color w:val="000000"/>
                <w:sz w:val="18"/>
                <w:szCs w:val="18"/>
                <w:highlight w:val="none"/>
                <w:u w:val="none"/>
                <w:lang w:val="en-US"/>
              </w:rPr>
            </w:pPr>
            <w:r>
              <w:rPr>
                <w:rFonts w:hint="default" w:ascii="Times New Roman" w:hAnsi="Times New Roman" w:eastAsia="宋体" w:cs="Times New Roman"/>
                <w:i w:val="0"/>
                <w:iCs w:val="0"/>
                <w:color w:val="000000"/>
                <w:sz w:val="18"/>
                <w:szCs w:val="18"/>
                <w:u w:val="none"/>
              </w:rPr>
              <w:t>≧</w:t>
            </w:r>
            <w:r>
              <w:rPr>
                <w:rFonts w:hint="eastAsia" w:cs="Times New Roman"/>
                <w:color w:val="000000"/>
                <w:sz w:val="18"/>
                <w:szCs w:val="18"/>
                <w:lang w:val="en-US" w:eastAsia="zh-CN"/>
              </w:rPr>
              <w:t>98%</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default" w:ascii="Times New Roman" w:hAnsi="Times New Roman" w:cs="Times New Roman"/>
                <w:color w:val="000000"/>
                <w:sz w:val="18"/>
                <w:szCs w:val="18"/>
              </w:rPr>
              <w:t>202</w:t>
            </w:r>
            <w:r>
              <w:rPr>
                <w:rFonts w:hint="eastAsia" w:cs="Times New Roman"/>
                <w:color w:val="000000"/>
                <w:sz w:val="18"/>
                <w:szCs w:val="18"/>
                <w:lang w:val="en-US" w:eastAsia="zh-CN"/>
              </w:rPr>
              <w:t>5</w:t>
            </w:r>
            <w:r>
              <w:rPr>
                <w:rFonts w:hint="default" w:ascii="Times New Roman" w:hAnsi="Times New Roman" w:cs="Times New Roman"/>
                <w:color w:val="000000"/>
                <w:sz w:val="18"/>
                <w:szCs w:val="18"/>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2"/>
                <w:szCs w:val="22"/>
                <w:highlight w:val="none"/>
                <w:u w:val="none"/>
                <w:lang w:val="en-US"/>
              </w:rPr>
            </w:pPr>
            <w:r>
              <w:rPr>
                <w:rFonts w:hint="eastAsia" w:eastAsia="仿宋_GB2312" w:cs="Times New Roman"/>
                <w:i w:val="0"/>
                <w:iCs w:val="0"/>
                <w:color w:val="000000"/>
                <w:sz w:val="22"/>
                <w:szCs w:val="22"/>
                <w:u w:val="none"/>
                <w:lang w:val="en-US" w:eastAsia="zh-CN"/>
              </w:rPr>
              <w:t>25</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320" w:firstLineChars="100"/>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本单位无其他需说明的事项。</w:t>
      </w:r>
    </w:p>
    <w:p>
      <w:pPr>
        <w:jc w:val="center"/>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color w:val="auto"/>
          <w:sz w:val="32"/>
          <w:szCs w:val="32"/>
          <w:highlight w:val="none"/>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 xml:space="preserve">  焉耆回族自治县第六幼儿园</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2025</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20</w:t>
      </w:r>
      <w:r>
        <w:rPr>
          <w:rFonts w:ascii="仿宋_GB2312" w:hAnsi="宋体" w:eastAsia="仿宋_GB2312" w:cs="宋体"/>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_x0000_s004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40"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Dk/vMV5gEAAPUD&#10;AAAOAAAAAAAAAAEAIAAAAB8BAABkcnMvZTJvRG9jLnhtbFBLBQYAAAAABgAGAFkBAAB3BQ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_x0000_s004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4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CGPof66QEA&#10;APUDAAAOAAAAAAAAAAEAIAAAAB8BAABkcnMvZTJvRG9jLnhtbFBLBQYAAAAABgAGAFkBAAB6BQAA&#10;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A6064"/>
    <w:multiLevelType w:val="singleLevel"/>
    <w:tmpl w:val="E36A606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62255A"/>
    <w:rsid w:val="011E6AE8"/>
    <w:rsid w:val="01284F06"/>
    <w:rsid w:val="0147242D"/>
    <w:rsid w:val="016C17AF"/>
    <w:rsid w:val="01B76311"/>
    <w:rsid w:val="01EC6D87"/>
    <w:rsid w:val="02724913"/>
    <w:rsid w:val="02F61C89"/>
    <w:rsid w:val="03346C89"/>
    <w:rsid w:val="038360A2"/>
    <w:rsid w:val="03C31BE2"/>
    <w:rsid w:val="058A0F3B"/>
    <w:rsid w:val="063504E6"/>
    <w:rsid w:val="06CF5D56"/>
    <w:rsid w:val="070124FE"/>
    <w:rsid w:val="07457272"/>
    <w:rsid w:val="07AC67F6"/>
    <w:rsid w:val="07F862EF"/>
    <w:rsid w:val="08181290"/>
    <w:rsid w:val="081C4D69"/>
    <w:rsid w:val="08872FB1"/>
    <w:rsid w:val="0893349C"/>
    <w:rsid w:val="08976FE1"/>
    <w:rsid w:val="090C78FF"/>
    <w:rsid w:val="09290697"/>
    <w:rsid w:val="093C59D3"/>
    <w:rsid w:val="09502EE2"/>
    <w:rsid w:val="0AA10A0A"/>
    <w:rsid w:val="0ABF6986"/>
    <w:rsid w:val="0B0A730D"/>
    <w:rsid w:val="0B0B4778"/>
    <w:rsid w:val="0B0F7BB8"/>
    <w:rsid w:val="0B72340C"/>
    <w:rsid w:val="0BBE574D"/>
    <w:rsid w:val="0BE8733E"/>
    <w:rsid w:val="0C642A08"/>
    <w:rsid w:val="0D095D12"/>
    <w:rsid w:val="0EBA5A0B"/>
    <w:rsid w:val="0F0321FA"/>
    <w:rsid w:val="0F7E75A5"/>
    <w:rsid w:val="10091BE1"/>
    <w:rsid w:val="108A6499"/>
    <w:rsid w:val="10FB7F0D"/>
    <w:rsid w:val="112832E2"/>
    <w:rsid w:val="11B33B64"/>
    <w:rsid w:val="11C873A3"/>
    <w:rsid w:val="12797AF3"/>
    <w:rsid w:val="12831908"/>
    <w:rsid w:val="12C52847"/>
    <w:rsid w:val="12DA2E11"/>
    <w:rsid w:val="132A0981"/>
    <w:rsid w:val="134F07DD"/>
    <w:rsid w:val="14387467"/>
    <w:rsid w:val="147D0C9E"/>
    <w:rsid w:val="154B5EC0"/>
    <w:rsid w:val="15D0171A"/>
    <w:rsid w:val="15F03A41"/>
    <w:rsid w:val="16AA0848"/>
    <w:rsid w:val="17DB4A4F"/>
    <w:rsid w:val="18AE48DE"/>
    <w:rsid w:val="18D6546A"/>
    <w:rsid w:val="198704D8"/>
    <w:rsid w:val="19C8468D"/>
    <w:rsid w:val="19CC1700"/>
    <w:rsid w:val="19E15420"/>
    <w:rsid w:val="19F913F5"/>
    <w:rsid w:val="1A98702A"/>
    <w:rsid w:val="1A9C3F88"/>
    <w:rsid w:val="1B6473BE"/>
    <w:rsid w:val="1B703D17"/>
    <w:rsid w:val="1B970424"/>
    <w:rsid w:val="1CE62401"/>
    <w:rsid w:val="1D0D397A"/>
    <w:rsid w:val="1D4B2EBD"/>
    <w:rsid w:val="1EDF7B3E"/>
    <w:rsid w:val="1EEA5380"/>
    <w:rsid w:val="1F10197F"/>
    <w:rsid w:val="20E92A8A"/>
    <w:rsid w:val="211903B7"/>
    <w:rsid w:val="211A421E"/>
    <w:rsid w:val="213007D8"/>
    <w:rsid w:val="213C6B54"/>
    <w:rsid w:val="21834DFD"/>
    <w:rsid w:val="21FB39DC"/>
    <w:rsid w:val="223A1AFE"/>
    <w:rsid w:val="22B43CA8"/>
    <w:rsid w:val="23213B38"/>
    <w:rsid w:val="234313B3"/>
    <w:rsid w:val="23813FA5"/>
    <w:rsid w:val="23D00C04"/>
    <w:rsid w:val="24B42570"/>
    <w:rsid w:val="24D06023"/>
    <w:rsid w:val="250603F4"/>
    <w:rsid w:val="255C412A"/>
    <w:rsid w:val="25885B46"/>
    <w:rsid w:val="26100D3B"/>
    <w:rsid w:val="26984BF4"/>
    <w:rsid w:val="27CE2B42"/>
    <w:rsid w:val="27F00387"/>
    <w:rsid w:val="280F1EF7"/>
    <w:rsid w:val="287578E0"/>
    <w:rsid w:val="28804057"/>
    <w:rsid w:val="2A864D87"/>
    <w:rsid w:val="2B2F015D"/>
    <w:rsid w:val="2BD26E23"/>
    <w:rsid w:val="2C4A06F6"/>
    <w:rsid w:val="2DB4628C"/>
    <w:rsid w:val="2E976B36"/>
    <w:rsid w:val="302C1DF6"/>
    <w:rsid w:val="3042382C"/>
    <w:rsid w:val="313C1C9A"/>
    <w:rsid w:val="32304DF4"/>
    <w:rsid w:val="329D7EDF"/>
    <w:rsid w:val="330520B5"/>
    <w:rsid w:val="33301158"/>
    <w:rsid w:val="340D5637"/>
    <w:rsid w:val="34655190"/>
    <w:rsid w:val="34F83CD7"/>
    <w:rsid w:val="35E720C7"/>
    <w:rsid w:val="369D69DD"/>
    <w:rsid w:val="36B801A3"/>
    <w:rsid w:val="372C5FE6"/>
    <w:rsid w:val="382E014A"/>
    <w:rsid w:val="38871558"/>
    <w:rsid w:val="38DB0AFB"/>
    <w:rsid w:val="39B84923"/>
    <w:rsid w:val="39BB27DE"/>
    <w:rsid w:val="3A740189"/>
    <w:rsid w:val="3A8D7C5F"/>
    <w:rsid w:val="3B727BE7"/>
    <w:rsid w:val="3BBE5BDF"/>
    <w:rsid w:val="3BE62A11"/>
    <w:rsid w:val="3C0A2AF0"/>
    <w:rsid w:val="3C7857AE"/>
    <w:rsid w:val="3D1C0A55"/>
    <w:rsid w:val="3D244688"/>
    <w:rsid w:val="3E1371F1"/>
    <w:rsid w:val="3E7A665B"/>
    <w:rsid w:val="3EAE7AAB"/>
    <w:rsid w:val="3EF5558C"/>
    <w:rsid w:val="3EF90077"/>
    <w:rsid w:val="3F713024"/>
    <w:rsid w:val="3FA4337D"/>
    <w:rsid w:val="3FD76A46"/>
    <w:rsid w:val="40827092"/>
    <w:rsid w:val="411C49C8"/>
    <w:rsid w:val="41231354"/>
    <w:rsid w:val="412D1712"/>
    <w:rsid w:val="413E3EE3"/>
    <w:rsid w:val="41FD7F4A"/>
    <w:rsid w:val="42340A1A"/>
    <w:rsid w:val="42975615"/>
    <w:rsid w:val="42C35655"/>
    <w:rsid w:val="433F15B6"/>
    <w:rsid w:val="439A4601"/>
    <w:rsid w:val="43C23031"/>
    <w:rsid w:val="43F659E0"/>
    <w:rsid w:val="45847C23"/>
    <w:rsid w:val="47973C2B"/>
    <w:rsid w:val="48124B10"/>
    <w:rsid w:val="484A04D9"/>
    <w:rsid w:val="49153348"/>
    <w:rsid w:val="49552B66"/>
    <w:rsid w:val="498774CF"/>
    <w:rsid w:val="4A1D6628"/>
    <w:rsid w:val="4A231CE6"/>
    <w:rsid w:val="4A487685"/>
    <w:rsid w:val="4A6E70DA"/>
    <w:rsid w:val="4AA54A08"/>
    <w:rsid w:val="4AE83526"/>
    <w:rsid w:val="4B3A4249"/>
    <w:rsid w:val="4B7258B2"/>
    <w:rsid w:val="4C4750FF"/>
    <w:rsid w:val="4D0A6767"/>
    <w:rsid w:val="4DCA2FCF"/>
    <w:rsid w:val="4E5A1343"/>
    <w:rsid w:val="4E7E317F"/>
    <w:rsid w:val="4EC918DC"/>
    <w:rsid w:val="4F0E3CCE"/>
    <w:rsid w:val="4F2B6E04"/>
    <w:rsid w:val="4F905984"/>
    <w:rsid w:val="4FDB25AB"/>
    <w:rsid w:val="5050207D"/>
    <w:rsid w:val="50A775DD"/>
    <w:rsid w:val="510512B8"/>
    <w:rsid w:val="515F660D"/>
    <w:rsid w:val="51AE235C"/>
    <w:rsid w:val="523C2D2B"/>
    <w:rsid w:val="5257494D"/>
    <w:rsid w:val="53CA3F1F"/>
    <w:rsid w:val="54D1486F"/>
    <w:rsid w:val="552B015C"/>
    <w:rsid w:val="553A6645"/>
    <w:rsid w:val="56EC1CF1"/>
    <w:rsid w:val="57A74CF3"/>
    <w:rsid w:val="57E226AA"/>
    <w:rsid w:val="57E35472"/>
    <w:rsid w:val="582A5A3B"/>
    <w:rsid w:val="58D220DE"/>
    <w:rsid w:val="59354898"/>
    <w:rsid w:val="5B132062"/>
    <w:rsid w:val="5BF674CB"/>
    <w:rsid w:val="5C894B6A"/>
    <w:rsid w:val="5CAF1259"/>
    <w:rsid w:val="5CB25144"/>
    <w:rsid w:val="5D2A3EB6"/>
    <w:rsid w:val="5D9171A1"/>
    <w:rsid w:val="5EA53E91"/>
    <w:rsid w:val="5FB54F4B"/>
    <w:rsid w:val="600166DF"/>
    <w:rsid w:val="611F2DCE"/>
    <w:rsid w:val="61B408DA"/>
    <w:rsid w:val="62156882"/>
    <w:rsid w:val="623B61A2"/>
    <w:rsid w:val="626058E5"/>
    <w:rsid w:val="62A51DB4"/>
    <w:rsid w:val="62BC3FB8"/>
    <w:rsid w:val="62EE4229"/>
    <w:rsid w:val="62F1069B"/>
    <w:rsid w:val="642216CF"/>
    <w:rsid w:val="64352D66"/>
    <w:rsid w:val="65A44633"/>
    <w:rsid w:val="65B67634"/>
    <w:rsid w:val="66170BD7"/>
    <w:rsid w:val="66B76386"/>
    <w:rsid w:val="670C7EA3"/>
    <w:rsid w:val="67147DCD"/>
    <w:rsid w:val="672D5759"/>
    <w:rsid w:val="67792C29"/>
    <w:rsid w:val="6826380D"/>
    <w:rsid w:val="684131E0"/>
    <w:rsid w:val="686C4D79"/>
    <w:rsid w:val="687B7DE8"/>
    <w:rsid w:val="68B05D20"/>
    <w:rsid w:val="696801C6"/>
    <w:rsid w:val="6A8C7468"/>
    <w:rsid w:val="6C571E5C"/>
    <w:rsid w:val="6CD52621"/>
    <w:rsid w:val="6CFC0278"/>
    <w:rsid w:val="6D533473"/>
    <w:rsid w:val="6E2A21A3"/>
    <w:rsid w:val="6E4B3D80"/>
    <w:rsid w:val="6E814415"/>
    <w:rsid w:val="6E9E4711"/>
    <w:rsid w:val="6EBB2F13"/>
    <w:rsid w:val="6F564AE0"/>
    <w:rsid w:val="6FBC4491"/>
    <w:rsid w:val="6FE35790"/>
    <w:rsid w:val="70C95D46"/>
    <w:rsid w:val="70EB7218"/>
    <w:rsid w:val="717E0984"/>
    <w:rsid w:val="71C80B5A"/>
    <w:rsid w:val="72B5202D"/>
    <w:rsid w:val="72C81442"/>
    <w:rsid w:val="73356507"/>
    <w:rsid w:val="7356361F"/>
    <w:rsid w:val="74793E19"/>
    <w:rsid w:val="7512351F"/>
    <w:rsid w:val="75153B33"/>
    <w:rsid w:val="752953A5"/>
    <w:rsid w:val="75F4322B"/>
    <w:rsid w:val="76442BEE"/>
    <w:rsid w:val="76802DA1"/>
    <w:rsid w:val="77191D13"/>
    <w:rsid w:val="77AC64AA"/>
    <w:rsid w:val="78A06C29"/>
    <w:rsid w:val="79276D47"/>
    <w:rsid w:val="79732CBC"/>
    <w:rsid w:val="7A193B16"/>
    <w:rsid w:val="7A3B3447"/>
    <w:rsid w:val="7AE52178"/>
    <w:rsid w:val="7B9C5585"/>
    <w:rsid w:val="7C593368"/>
    <w:rsid w:val="7C740083"/>
    <w:rsid w:val="7CD416C9"/>
    <w:rsid w:val="7DCE0D18"/>
    <w:rsid w:val="7E077E7F"/>
    <w:rsid w:val="7ED341A1"/>
    <w:rsid w:val="7F675392"/>
    <w:rsid w:val="7F6B1045"/>
    <w:rsid w:val="7FA97B25"/>
    <w:rsid w:val="7FCE2DF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Body Text"/>
    <w:basedOn w:val="1"/>
    <w:next w:val="6"/>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w:basedOn w:val="5"/>
    <w:next w:val="1"/>
    <w:qFormat/>
    <w:uiPriority w:val="0"/>
    <w:pPr>
      <w:ind w:firstLine="100" w:firstLineChars="10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character" w:customStyle="1" w:styleId="18">
    <w:name w:val="预算公开正文内容"/>
    <w:basedOn w:val="14"/>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86396d-9864-4b2d-81e3-edaeb16a54bd}">
  <ds:schemaRefs/>
</ds:datastoreItem>
</file>

<file path=customXml/itemProps3.xml><?xml version="1.0" encoding="utf-8"?>
<ds:datastoreItem xmlns:ds="http://schemas.openxmlformats.org/officeDocument/2006/customXml" ds:itemID="{cad075d8-5acc-4260-b978-88f648914113}">
  <ds:schemaRefs/>
</ds:datastoreItem>
</file>

<file path=customXml/itemProps4.xml><?xml version="1.0" encoding="utf-8"?>
<ds:datastoreItem xmlns:ds="http://schemas.openxmlformats.org/officeDocument/2006/customXml" ds:itemID="{f4e21040-77f9-4742-b2d5-ccfbc9f335f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5</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2025-03-27T08:19:00Z</cp:lastPrinted>
  <dcterms:modified xsi:type="dcterms:W3CDTF">2025-04-23T04:13:19Z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