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焉耆回族自治县第五幼儿园</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一、关于焉耆回族自治县第五幼儿园2025年收支预算情况的总体说明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二、关于焉耆回族自治县第五幼儿园2025年收入预算情况说明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三、关于焉耆回族自治县第五幼儿园2025年支出预算情况说明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四、关于焉耆回族自治县第五幼儿园2025年财政拨款收支预算情况的总体说明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五、关于焉耆回族自治县第五幼儿园2025年一般公共预算当年拨款情况说明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六、关于焉耆回族自治县第五幼儿园2025年一般公共预算基本支出情况说明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七、关于焉耆回族自治县第五幼儿园2025年一般公共预算项目支出情况说明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八、关于焉耆回族自治县第五幼儿园2025年政府性基金预算拨款情况说明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九、关于焉耆回族自治县第五幼儿园2025年国有资本经营预算拨款情况说明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十、关于焉耆回族自治县第五幼儿园2025年财政拨款“三公”经费预算情况说明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十一、关于焉耆回族自治县第五幼儿园2025年上年结转结余预算情况说明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widowControl/>
        <w:spacing w:line="540" w:lineRule="exact"/>
        <w:jc w:val="center"/>
        <w:outlineLvl w:val="1"/>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第一部分   202</w:t>
      </w:r>
      <w:r>
        <w:rPr>
          <w:rFonts w:hint="default" w:ascii="Times New Roman" w:hAnsi="Times New Roman" w:eastAsia="黑体" w:cs="Times New Roman"/>
          <w:kern w:val="0"/>
          <w:sz w:val="32"/>
          <w:szCs w:val="32"/>
          <w:lang w:val="en-US" w:eastAsia="zh-CN"/>
        </w:rPr>
        <w:t>5</w:t>
      </w:r>
      <w:r>
        <w:rPr>
          <w:rFonts w:hint="default" w:ascii="Times New Roman" w:hAnsi="Times New Roman" w:eastAsia="黑体" w:cs="Times New Roman"/>
          <w:kern w:val="0"/>
          <w:sz w:val="32"/>
          <w:szCs w:val="32"/>
        </w:rPr>
        <w:t>年</w:t>
      </w:r>
      <w:r>
        <w:rPr>
          <w:rFonts w:hint="eastAsia" w:eastAsia="黑体" w:cs="Times New Roman"/>
          <w:kern w:val="0"/>
          <w:sz w:val="32"/>
          <w:szCs w:val="32"/>
          <w:lang w:eastAsia="zh-CN"/>
        </w:rPr>
        <w:t>单位</w:t>
      </w:r>
      <w:r>
        <w:rPr>
          <w:rFonts w:hint="default" w:ascii="Times New Roman" w:hAnsi="Times New Roman" w:eastAsia="黑体" w:cs="Times New Roman"/>
          <w:kern w:val="0"/>
          <w:sz w:val="32"/>
          <w:szCs w:val="32"/>
        </w:rPr>
        <w:t>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 xml:space="preserve">1.我单位认真贯彻执行党和国家有关幼儿教育的方针、政策以 及教育法规、规章，坚持正确的办园方向。执行上级的指示和决议；贯彻执行《幼儿教育纲要》和《幼儿园工作规程》，深化改革，强化管理，使各项工作程序化，规范化，制度化，不断提高保教水平。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 xml:space="preserve">2.制定并严格执行幼儿园安全、卫生、保健制度，培养幼儿良好的习惯，预防安全事故发生。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 xml:space="preserve">3.观察、分析并记录幼儿发展情况，关注幼儿的兴趣和需要及 个体差异。从实际出发，实施素质教育，为幼儿发展打下良好基础。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 xml:space="preserve">4.培育健康活泼、独立自信、探究合作、习惯良好、具有爱心的幼儿，张扬孩子的个性，促进每个孩子全面和谐发展。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 xml:space="preserve">5.与时俱进，勤于学习，善于学习，树立现代教育理念，不断学习和汲取新信息、新知识，不断创新教育方法，积极参与教研活动，促进教师自我发展。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 xml:space="preserve">6.创设与保教要求相适应的环境，科学合理地安排幼儿一日活动，保证幼儿充足的游戏活动、户外活动、自主活动时间。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7.与家长经常保持联系,了解幼儿家庭教育情况，商讨符合幼儿特点的教育措施，协同完成教育任务。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eastAsia" w:eastAsia="仿宋_GB2312" w:cs="Times New Roman"/>
          <w:bCs/>
          <w:color w:val="auto"/>
          <w:kern w:val="0"/>
          <w:sz w:val="32"/>
          <w:szCs w:val="32"/>
          <w:highlight w:val="none"/>
          <w:lang w:val="en-US" w:eastAsia="zh-CN"/>
        </w:rPr>
        <w:t>焉耆回族自治县第五幼儿园</w:t>
      </w:r>
      <w:r>
        <w:rPr>
          <w:rFonts w:hint="default" w:ascii="Times New Roman" w:hAnsi="Times New Roman" w:eastAsia="仿宋_GB2312" w:cs="Times New Roman"/>
          <w:bCs/>
          <w:color w:val="auto"/>
          <w:kern w:val="0"/>
          <w:sz w:val="32"/>
          <w:szCs w:val="32"/>
          <w:highlight w:val="none"/>
          <w:lang w:val="en-US" w:eastAsia="zh-CN"/>
        </w:rPr>
        <w:t>无下属预算单位，下设3个处室，分别是：园长室、财务室、档案室。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eastAsia" w:eastAsia="仿宋_GB2312" w:cs="Times New Roman"/>
          <w:bCs/>
          <w:color w:val="auto"/>
          <w:kern w:val="0"/>
          <w:sz w:val="32"/>
          <w:szCs w:val="32"/>
          <w:highlight w:val="none"/>
          <w:lang w:val="en-US" w:eastAsia="zh-CN"/>
        </w:rPr>
        <w:t>焉耆回族自治县第五幼儿园</w:t>
      </w:r>
      <w:r>
        <w:rPr>
          <w:rFonts w:hint="default" w:ascii="Times New Roman" w:hAnsi="Times New Roman" w:eastAsia="仿宋_GB2312" w:cs="Times New Roman"/>
          <w:bCs/>
          <w:color w:val="auto"/>
          <w:kern w:val="0"/>
          <w:sz w:val="32"/>
          <w:szCs w:val="32"/>
          <w:highlight w:val="none"/>
          <w:lang w:val="en-US" w:eastAsia="zh-CN"/>
        </w:rPr>
        <w:t>编制数15人，实有人数11人，其中：在职10人，</w:t>
      </w:r>
      <w:r>
        <w:rPr>
          <w:rFonts w:hint="eastAsia" w:eastAsia="仿宋_GB2312" w:cs="Times New Roman"/>
          <w:bCs/>
          <w:color w:val="auto"/>
          <w:kern w:val="0"/>
          <w:sz w:val="32"/>
          <w:szCs w:val="32"/>
          <w:highlight w:val="none"/>
          <w:lang w:val="en-US" w:eastAsia="zh-CN"/>
        </w:rPr>
        <w:t>减少1</w:t>
      </w:r>
      <w:r>
        <w:rPr>
          <w:rFonts w:hint="default" w:ascii="Times New Roman" w:hAnsi="Times New Roman" w:eastAsia="仿宋_GB2312" w:cs="Times New Roman"/>
          <w:bCs/>
          <w:color w:val="auto"/>
          <w:kern w:val="0"/>
          <w:sz w:val="32"/>
          <w:szCs w:val="32"/>
          <w:highlight w:val="none"/>
          <w:lang w:val="en-US" w:eastAsia="zh-CN"/>
        </w:rPr>
        <w:t>人；退休1人，</w:t>
      </w:r>
      <w:r>
        <w:rPr>
          <w:rFonts w:hint="eastAsia" w:eastAsia="仿宋_GB2312" w:cs="Times New Roman"/>
          <w:bCs/>
          <w:color w:val="auto"/>
          <w:kern w:val="0"/>
          <w:sz w:val="32"/>
          <w:szCs w:val="32"/>
          <w:highlight w:val="none"/>
          <w:lang w:val="en-US" w:eastAsia="zh-CN"/>
        </w:rPr>
        <w:t>减少0</w:t>
      </w:r>
      <w:r>
        <w:rPr>
          <w:rFonts w:hint="default" w:ascii="Times New Roman" w:hAnsi="Times New Roman" w:eastAsia="仿宋_GB2312" w:cs="Times New Roman"/>
          <w:bCs/>
          <w:color w:val="auto"/>
          <w:kern w:val="0"/>
          <w:sz w:val="32"/>
          <w:szCs w:val="32"/>
          <w:highlight w:val="none"/>
          <w:lang w:val="en-US" w:eastAsia="zh-CN"/>
        </w:rPr>
        <w:t>人；离休0人，</w:t>
      </w:r>
      <w:r>
        <w:rPr>
          <w:rFonts w:hint="eastAsia" w:eastAsia="仿宋_GB2312" w:cs="Times New Roman"/>
          <w:bCs/>
          <w:color w:val="auto"/>
          <w:kern w:val="0"/>
          <w:sz w:val="32"/>
          <w:szCs w:val="32"/>
          <w:highlight w:val="none"/>
          <w:lang w:val="en-US" w:eastAsia="zh-CN"/>
        </w:rPr>
        <w:t>减少</w:t>
      </w:r>
      <w:r>
        <w:rPr>
          <w:rFonts w:hint="default" w:ascii="Times New Roman" w:hAnsi="Times New Roman" w:eastAsia="仿宋_GB2312" w:cs="Times New Roman"/>
          <w:bCs/>
          <w:color w:val="auto"/>
          <w:kern w:val="0"/>
          <w:sz w:val="32"/>
          <w:szCs w:val="32"/>
          <w:highlight w:val="none"/>
          <w:lang w:val="en-US" w:eastAsia="zh-CN"/>
        </w:rPr>
        <w:t>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left"/>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焉耆回族自治县第五幼儿园</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b/>
                <w:kern w:val="0"/>
                <w:sz w:val="20"/>
                <w:szCs w:val="20"/>
              </w:rPr>
              <w:t>项     目</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一、本年收入</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lang w:val="en-US" w:eastAsia="zh-CN"/>
              </w:rPr>
              <w:t>123.39</w:t>
            </w: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1.一般公共预算拨款</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w:t>
            </w:r>
            <w:r>
              <w:rPr>
                <w:rFonts w:hint="default" w:ascii="Times New Roman" w:hAnsi="Times New Roman" w:eastAsia="仿宋_GB2312" w:cs="Times New Roman"/>
                <w:kern w:val="0"/>
                <w:sz w:val="18"/>
                <w:szCs w:val="18"/>
                <w:lang w:val="en-US" w:eastAsia="zh-CN"/>
              </w:rPr>
              <w:t>22.61</w:t>
            </w: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其中：一般财力</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w:t>
            </w:r>
            <w:r>
              <w:rPr>
                <w:rFonts w:hint="default" w:ascii="Times New Roman" w:hAnsi="Times New Roman" w:eastAsia="仿宋_GB2312" w:cs="Times New Roman"/>
                <w:kern w:val="0"/>
                <w:sz w:val="18"/>
                <w:szCs w:val="18"/>
                <w:lang w:val="en-US" w:eastAsia="zh-CN"/>
              </w:rPr>
              <w:t>22.61</w:t>
            </w: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上级一般公共预算安排转移支付</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2.政府性基金预算拨款</w:t>
            </w:r>
            <w:r>
              <w:rPr>
                <w:rFonts w:hint="default" w:ascii="Times New Roman" w:hAnsi="Times New Roman" w:eastAsia="仿宋_GB2312" w:cs="Times New Roman"/>
                <w:kern w:val="0"/>
                <w:sz w:val="18"/>
                <w:szCs w:val="18"/>
              </w:rPr>
              <w:tab/>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123.39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其中：政府性基金收入</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上级政府性基金安排转移支付</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ind w:right="180"/>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3.国有资本经营预算拨款</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其中：国有资本经营收入</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上级国有资本经营预算安排转移支付</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4.财政专户核拨</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5.单位资金</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0.78</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其中：事业收入</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上级补助收入</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附属单位上缴收入</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事业单位经营收入</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其他收入</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0.78</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二、上年结转结余</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1.财政拨款结转</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其中：一般公共预算拨款</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政府性基金预算拨款</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国有资本经营预算拨款</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2.非财政拨款结余</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其中：财政专户核拨</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单位资金</w:t>
            </w:r>
          </w:p>
        </w:tc>
        <w:tc>
          <w:tcPr>
            <w:tcW w:w="1103" w:type="dxa"/>
            <w:tcBorders>
              <w:top w:val="nil"/>
              <w:left w:val="nil"/>
              <w:bottom w:val="single" w:color="auto" w:sz="4" w:space="0"/>
              <w:right w:val="single" w:color="auto" w:sz="4" w:space="0"/>
            </w:tcBorders>
            <w:vAlign w:val="bottom"/>
          </w:tcPr>
          <w:p>
            <w:pPr>
              <w:widowControl/>
              <w:spacing w:line="280" w:lineRule="exact"/>
              <w:jc w:val="righ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234抗疫特别国债安排的支出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hint="default" w:ascii="Times New Roman" w:hAnsi="Times New Roman" w:eastAsia="仿宋_GB2312" w:cs="Times New Roman"/>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收  入  总  计</w:t>
            </w: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lang w:val="en-US" w:eastAsia="zh-CN"/>
              </w:rPr>
            </w:pPr>
            <w:r>
              <w:rPr>
                <w:rFonts w:hint="default" w:ascii="Times New Roman" w:hAnsi="Times New Roman" w:eastAsia="仿宋_GB2312" w:cs="Times New Roman"/>
                <w:b/>
                <w:bCs/>
                <w:kern w:val="0"/>
                <w:sz w:val="18"/>
                <w:szCs w:val="18"/>
                <w:lang w:val="en-US" w:eastAsia="zh-CN"/>
              </w:rPr>
              <w:t>123.39</w:t>
            </w:r>
          </w:p>
        </w:tc>
        <w:tc>
          <w:tcPr>
            <w:tcW w:w="2693" w:type="dxa"/>
            <w:tcBorders>
              <w:top w:val="nil"/>
              <w:left w:val="nil"/>
              <w:bottom w:val="single" w:color="auto" w:sz="4" w:space="0"/>
              <w:right w:val="nil"/>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lang w:val="en-US" w:eastAsia="zh-CN"/>
              </w:rPr>
              <w:t>123.39</w:t>
            </w:r>
            <w:r>
              <w:rPr>
                <w:rFonts w:hint="default" w:ascii="Times New Roman" w:hAnsi="Times New Roman" w:eastAsia="仿宋_GB2312" w:cs="Times New Roman"/>
                <w:kern w:val="0"/>
                <w:sz w:val="18"/>
                <w:szCs w:val="18"/>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表2</w:t>
      </w:r>
    </w:p>
    <w:p>
      <w:pPr>
        <w:widowControl/>
        <w:spacing w:line="44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单位收入总体情况表</w:t>
      </w:r>
    </w:p>
    <w:p>
      <w:pPr>
        <w:widowControl/>
        <w:jc w:val="lef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w:t>
      </w:r>
      <w:r>
        <w:rPr>
          <w:rFonts w:hint="default" w:ascii="Times New Roman" w:hAnsi="Times New Roman" w:eastAsia="仿宋_GB2312" w:cs="Times New Roman"/>
          <w:kern w:val="0"/>
          <w:sz w:val="24"/>
          <w:lang w:eastAsia="zh-CN"/>
        </w:rPr>
        <w:t>焉耆回族自治县第五幼儿园</w:t>
      </w: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rPr>
        <w:t xml:space="preserve"> 单位：万元</w:t>
      </w:r>
    </w:p>
    <w:tbl>
      <w:tblPr>
        <w:tblStyle w:val="10"/>
        <w:tblW w:w="9803" w:type="dxa"/>
        <w:tblInd w:w="-450" w:type="dxa"/>
        <w:tblLayout w:type="fixed"/>
        <w:tblCellMar>
          <w:top w:w="0" w:type="dxa"/>
          <w:left w:w="108" w:type="dxa"/>
          <w:bottom w:w="0" w:type="dxa"/>
          <w:right w:w="108" w:type="dxa"/>
        </w:tblCellMar>
      </w:tblPr>
      <w:tblGrid>
        <w:gridCol w:w="540"/>
        <w:gridCol w:w="460"/>
        <w:gridCol w:w="418"/>
        <w:gridCol w:w="700"/>
        <w:gridCol w:w="795"/>
        <w:gridCol w:w="998"/>
        <w:gridCol w:w="846"/>
        <w:gridCol w:w="796"/>
        <w:gridCol w:w="480"/>
        <w:gridCol w:w="655"/>
        <w:gridCol w:w="400"/>
        <w:gridCol w:w="747"/>
        <w:gridCol w:w="466"/>
        <w:gridCol w:w="600"/>
        <w:gridCol w:w="395"/>
        <w:gridCol w:w="507"/>
      </w:tblGrid>
      <w:tr>
        <w:tblPrEx>
          <w:tblCellMar>
            <w:top w:w="0" w:type="dxa"/>
            <w:left w:w="108" w:type="dxa"/>
            <w:bottom w:w="0" w:type="dxa"/>
            <w:right w:w="108" w:type="dxa"/>
          </w:tblCellMar>
        </w:tblPrEx>
        <w:trPr>
          <w:trHeight w:val="697" w:hRule="atLeast"/>
        </w:trPr>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4"/>
              </w:rPr>
              <w:t>功能分类科目编码</w:t>
            </w:r>
          </w:p>
        </w:tc>
        <w:tc>
          <w:tcPr>
            <w:tcW w:w="70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功能分类科目名称</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总  计</w:t>
            </w:r>
          </w:p>
        </w:tc>
        <w:tc>
          <w:tcPr>
            <w:tcW w:w="4922"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4"/>
              </w:rPr>
              <w:t>财  政  拨  款  (  补  助  )</w:t>
            </w:r>
          </w:p>
        </w:tc>
        <w:tc>
          <w:tcPr>
            <w:tcW w:w="466"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财政专户（教育收费）</w:t>
            </w:r>
          </w:p>
        </w:tc>
        <w:tc>
          <w:tcPr>
            <w:tcW w:w="600"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单位资金</w:t>
            </w:r>
          </w:p>
        </w:tc>
        <w:tc>
          <w:tcPr>
            <w:tcW w:w="395"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财政拨款结转</w:t>
            </w:r>
          </w:p>
        </w:tc>
        <w:tc>
          <w:tcPr>
            <w:tcW w:w="507"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非财政拨款结转结余</w:t>
            </w:r>
          </w:p>
        </w:tc>
      </w:tr>
      <w:tr>
        <w:tblPrEx>
          <w:tblCellMar>
            <w:top w:w="0" w:type="dxa"/>
            <w:left w:w="108" w:type="dxa"/>
            <w:bottom w:w="0" w:type="dxa"/>
            <w:right w:w="108" w:type="dxa"/>
          </w:tblCellMar>
        </w:tblPrEx>
        <w:trPr>
          <w:trHeight w:val="2394" w:hRule="atLeast"/>
        </w:trPr>
        <w:tc>
          <w:tcPr>
            <w:tcW w:w="540" w:type="dxa"/>
            <w:tcBorders>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类</w:t>
            </w:r>
          </w:p>
        </w:tc>
        <w:tc>
          <w:tcPr>
            <w:tcW w:w="460" w:type="dxa"/>
            <w:tcBorders>
              <w:left w:val="nil"/>
              <w:bottom w:val="single" w:color="auto" w:sz="4" w:space="0"/>
              <w:right w:val="single" w:color="auto" w:sz="4" w:space="0"/>
            </w:tcBorders>
            <w:vAlign w:val="center"/>
          </w:tcPr>
          <w:p>
            <w:pPr>
              <w:jc w:val="right"/>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款</w:t>
            </w:r>
          </w:p>
        </w:tc>
        <w:tc>
          <w:tcPr>
            <w:tcW w:w="418" w:type="dxa"/>
            <w:tcBorders>
              <w:left w:val="nil"/>
              <w:bottom w:val="single" w:color="auto" w:sz="4" w:space="0"/>
              <w:right w:val="single" w:color="auto" w:sz="4" w:space="0"/>
            </w:tcBorders>
            <w:vAlign w:val="center"/>
          </w:tcPr>
          <w:p>
            <w:pPr>
              <w:jc w:val="right"/>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项</w:t>
            </w:r>
          </w:p>
        </w:tc>
        <w:tc>
          <w:tcPr>
            <w:tcW w:w="700"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795"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998"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财政拨款(补助)小计</w:t>
            </w:r>
          </w:p>
        </w:tc>
        <w:tc>
          <w:tcPr>
            <w:tcW w:w="846"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一般公共预算</w:t>
            </w:r>
          </w:p>
        </w:tc>
        <w:tc>
          <w:tcPr>
            <w:tcW w:w="796"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上级一般公共预算安排的转移支付</w:t>
            </w:r>
          </w:p>
        </w:tc>
        <w:tc>
          <w:tcPr>
            <w:tcW w:w="480"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政府性基金预算</w:t>
            </w:r>
          </w:p>
        </w:tc>
        <w:tc>
          <w:tcPr>
            <w:tcW w:w="655"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上级政府性基金安排的转移支付</w:t>
            </w:r>
          </w:p>
        </w:tc>
        <w:tc>
          <w:tcPr>
            <w:tcW w:w="400"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国有资本经营预算</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上级国有资本经营预算安排的转移支付</w:t>
            </w:r>
          </w:p>
        </w:tc>
        <w:tc>
          <w:tcPr>
            <w:tcW w:w="46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0"/>
                <w:szCs w:val="20"/>
              </w:rPr>
            </w:pPr>
          </w:p>
        </w:tc>
        <w:tc>
          <w:tcPr>
            <w:tcW w:w="600"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0"/>
                <w:szCs w:val="20"/>
              </w:rPr>
            </w:pPr>
          </w:p>
        </w:tc>
        <w:tc>
          <w:tcPr>
            <w:tcW w:w="39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0"/>
                <w:szCs w:val="20"/>
              </w:rPr>
            </w:pPr>
          </w:p>
        </w:tc>
        <w:tc>
          <w:tcPr>
            <w:tcW w:w="507"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205　</w:t>
            </w:r>
          </w:p>
        </w:tc>
        <w:tc>
          <w:tcPr>
            <w:tcW w:w="460"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18"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教育支出</w:t>
            </w:r>
          </w:p>
        </w:tc>
        <w:tc>
          <w:tcPr>
            <w:tcW w:w="795"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r>
              <w:rPr>
                <w:rFonts w:hint="default" w:ascii="Times New Roman" w:hAnsi="Times New Roman" w:eastAsia="仿宋_GB2312" w:cs="Times New Roman"/>
                <w:sz w:val="18"/>
                <w:szCs w:val="18"/>
                <w:lang w:val="en-US" w:eastAsia="zh-CN"/>
              </w:rPr>
              <w:t>23.39</w:t>
            </w:r>
            <w:r>
              <w:rPr>
                <w:rFonts w:hint="default" w:ascii="Times New Roman" w:hAnsi="Times New Roman" w:eastAsia="仿宋_GB2312" w:cs="Times New Roman"/>
                <w:sz w:val="18"/>
                <w:szCs w:val="18"/>
              </w:rPr>
              <w:t>　</w:t>
            </w:r>
          </w:p>
        </w:tc>
        <w:tc>
          <w:tcPr>
            <w:tcW w:w="998"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r>
              <w:rPr>
                <w:rFonts w:hint="default" w:ascii="Times New Roman" w:hAnsi="Times New Roman" w:eastAsia="仿宋_GB2312" w:cs="Times New Roman"/>
                <w:sz w:val="18"/>
                <w:szCs w:val="18"/>
                <w:lang w:val="en-US" w:eastAsia="zh-CN"/>
              </w:rPr>
              <w:t>22.61</w:t>
            </w:r>
            <w:r>
              <w:rPr>
                <w:rFonts w:hint="default" w:ascii="Times New Roman" w:hAnsi="Times New Roman" w:eastAsia="仿宋_GB2312" w:cs="Times New Roman"/>
                <w:sz w:val="18"/>
                <w:szCs w:val="18"/>
              </w:rPr>
              <w:t>　</w:t>
            </w:r>
          </w:p>
        </w:tc>
        <w:tc>
          <w:tcPr>
            <w:tcW w:w="846"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r>
              <w:rPr>
                <w:rFonts w:hint="default" w:ascii="Times New Roman" w:hAnsi="Times New Roman" w:eastAsia="仿宋_GB2312" w:cs="Times New Roman"/>
                <w:sz w:val="18"/>
                <w:szCs w:val="18"/>
                <w:lang w:val="en-US" w:eastAsia="zh-CN"/>
              </w:rPr>
              <w:t>22.61</w:t>
            </w:r>
            <w:r>
              <w:rPr>
                <w:rFonts w:hint="default" w:ascii="Times New Roman" w:hAnsi="Times New Roman" w:eastAsia="仿宋_GB2312" w:cs="Times New Roman"/>
                <w:sz w:val="18"/>
                <w:szCs w:val="18"/>
              </w:rPr>
              <w:t>　</w:t>
            </w:r>
          </w:p>
        </w:tc>
        <w:tc>
          <w:tcPr>
            <w:tcW w:w="796"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18"/>
                <w:szCs w:val="18"/>
                <w:lang w:val="en-US" w:eastAsia="zh-CN"/>
              </w:rPr>
            </w:pPr>
          </w:p>
        </w:tc>
        <w:tc>
          <w:tcPr>
            <w:tcW w:w="480"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　</w:t>
            </w:r>
          </w:p>
        </w:tc>
        <w:tc>
          <w:tcPr>
            <w:tcW w:w="655"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00"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4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0.78</w:t>
            </w:r>
          </w:p>
        </w:tc>
        <w:tc>
          <w:tcPr>
            <w:tcW w:w="3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p>
        </w:tc>
        <w:tc>
          <w:tcPr>
            <w:tcW w:w="50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205　</w:t>
            </w:r>
          </w:p>
        </w:tc>
        <w:tc>
          <w:tcPr>
            <w:tcW w:w="46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02　</w:t>
            </w:r>
          </w:p>
        </w:tc>
        <w:tc>
          <w:tcPr>
            <w:tcW w:w="41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00"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普通教育　</w:t>
            </w:r>
          </w:p>
        </w:tc>
        <w:tc>
          <w:tcPr>
            <w:tcW w:w="79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r>
              <w:rPr>
                <w:rFonts w:hint="default" w:ascii="Times New Roman" w:hAnsi="Times New Roman" w:eastAsia="仿宋_GB2312" w:cs="Times New Roman"/>
                <w:sz w:val="18"/>
                <w:szCs w:val="18"/>
                <w:lang w:val="en-US" w:eastAsia="zh-CN"/>
              </w:rPr>
              <w:t>23.39</w:t>
            </w:r>
            <w:r>
              <w:rPr>
                <w:rFonts w:hint="default" w:ascii="Times New Roman" w:hAnsi="Times New Roman" w:eastAsia="仿宋_GB2312" w:cs="Times New Roman"/>
                <w:sz w:val="18"/>
                <w:szCs w:val="18"/>
              </w:rPr>
              <w:t>　</w:t>
            </w:r>
          </w:p>
        </w:tc>
        <w:tc>
          <w:tcPr>
            <w:tcW w:w="99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r>
              <w:rPr>
                <w:rFonts w:hint="default" w:ascii="Times New Roman" w:hAnsi="Times New Roman" w:eastAsia="仿宋_GB2312" w:cs="Times New Roman"/>
                <w:sz w:val="18"/>
                <w:szCs w:val="18"/>
                <w:lang w:val="en-US" w:eastAsia="zh-CN"/>
              </w:rPr>
              <w:t>22.61</w:t>
            </w:r>
            <w:r>
              <w:rPr>
                <w:rFonts w:hint="default" w:ascii="Times New Roman" w:hAnsi="Times New Roman" w:eastAsia="仿宋_GB2312" w:cs="Times New Roman"/>
                <w:sz w:val="18"/>
                <w:szCs w:val="18"/>
              </w:rPr>
              <w:t>　</w:t>
            </w:r>
          </w:p>
        </w:tc>
        <w:tc>
          <w:tcPr>
            <w:tcW w:w="84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r>
              <w:rPr>
                <w:rFonts w:hint="default" w:ascii="Times New Roman" w:hAnsi="Times New Roman" w:eastAsia="仿宋_GB2312" w:cs="Times New Roman"/>
                <w:sz w:val="18"/>
                <w:szCs w:val="18"/>
                <w:lang w:val="en-US" w:eastAsia="zh-CN"/>
              </w:rPr>
              <w:t>22.61</w:t>
            </w:r>
            <w:r>
              <w:rPr>
                <w:rFonts w:hint="default" w:ascii="Times New Roman" w:hAnsi="Times New Roman" w:eastAsia="仿宋_GB2312" w:cs="Times New Roman"/>
                <w:sz w:val="18"/>
                <w:szCs w:val="18"/>
              </w:rPr>
              <w:t>　</w:t>
            </w:r>
          </w:p>
        </w:tc>
        <w:tc>
          <w:tcPr>
            <w:tcW w:w="79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　</w:t>
            </w:r>
          </w:p>
        </w:tc>
        <w:tc>
          <w:tcPr>
            <w:tcW w:w="65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4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6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0.78</w:t>
            </w:r>
          </w:p>
        </w:tc>
        <w:tc>
          <w:tcPr>
            <w:tcW w:w="39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205　</w:t>
            </w:r>
          </w:p>
        </w:tc>
        <w:tc>
          <w:tcPr>
            <w:tcW w:w="46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02　</w:t>
            </w:r>
          </w:p>
        </w:tc>
        <w:tc>
          <w:tcPr>
            <w:tcW w:w="41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01　</w:t>
            </w:r>
          </w:p>
        </w:tc>
        <w:tc>
          <w:tcPr>
            <w:tcW w:w="700"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学前教育</w:t>
            </w:r>
          </w:p>
        </w:tc>
        <w:tc>
          <w:tcPr>
            <w:tcW w:w="79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r>
              <w:rPr>
                <w:rFonts w:hint="default" w:ascii="Times New Roman" w:hAnsi="Times New Roman" w:eastAsia="仿宋_GB2312" w:cs="Times New Roman"/>
                <w:sz w:val="18"/>
                <w:szCs w:val="18"/>
                <w:lang w:val="en-US" w:eastAsia="zh-CN"/>
              </w:rPr>
              <w:t>23.39</w:t>
            </w:r>
            <w:r>
              <w:rPr>
                <w:rFonts w:hint="default" w:ascii="Times New Roman" w:hAnsi="Times New Roman" w:eastAsia="仿宋_GB2312" w:cs="Times New Roman"/>
                <w:sz w:val="18"/>
                <w:szCs w:val="18"/>
              </w:rPr>
              <w:t>　</w:t>
            </w:r>
          </w:p>
        </w:tc>
        <w:tc>
          <w:tcPr>
            <w:tcW w:w="99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r>
              <w:rPr>
                <w:rFonts w:hint="default" w:ascii="Times New Roman" w:hAnsi="Times New Roman" w:eastAsia="仿宋_GB2312" w:cs="Times New Roman"/>
                <w:sz w:val="18"/>
                <w:szCs w:val="18"/>
                <w:lang w:val="en-US" w:eastAsia="zh-CN"/>
              </w:rPr>
              <w:t>22.61</w:t>
            </w:r>
            <w:r>
              <w:rPr>
                <w:rFonts w:hint="default" w:ascii="Times New Roman" w:hAnsi="Times New Roman" w:eastAsia="仿宋_GB2312" w:cs="Times New Roman"/>
                <w:sz w:val="18"/>
                <w:szCs w:val="18"/>
              </w:rPr>
              <w:t>　</w:t>
            </w:r>
          </w:p>
        </w:tc>
        <w:tc>
          <w:tcPr>
            <w:tcW w:w="84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r>
              <w:rPr>
                <w:rFonts w:hint="default" w:ascii="Times New Roman" w:hAnsi="Times New Roman" w:eastAsia="仿宋_GB2312" w:cs="Times New Roman"/>
                <w:sz w:val="18"/>
                <w:szCs w:val="18"/>
                <w:lang w:val="en-US" w:eastAsia="zh-CN"/>
              </w:rPr>
              <w:t>22.61</w:t>
            </w:r>
            <w:r>
              <w:rPr>
                <w:rFonts w:hint="default" w:ascii="Times New Roman" w:hAnsi="Times New Roman" w:eastAsia="仿宋_GB2312" w:cs="Times New Roman"/>
                <w:sz w:val="18"/>
                <w:szCs w:val="18"/>
              </w:rPr>
              <w:t>　</w:t>
            </w:r>
          </w:p>
        </w:tc>
        <w:tc>
          <w:tcPr>
            <w:tcW w:w="79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　</w:t>
            </w:r>
          </w:p>
        </w:tc>
        <w:tc>
          <w:tcPr>
            <w:tcW w:w="65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47" w:type="dxa"/>
            <w:tcBorders>
              <w:top w:val="single" w:color="auto" w:sz="4" w:space="0"/>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6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0.78</w:t>
            </w:r>
          </w:p>
        </w:tc>
        <w:tc>
          <w:tcPr>
            <w:tcW w:w="39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6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1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9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99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4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9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　</w:t>
            </w:r>
          </w:p>
        </w:tc>
        <w:tc>
          <w:tcPr>
            <w:tcW w:w="65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66"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39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6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1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9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99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4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9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　</w:t>
            </w:r>
          </w:p>
        </w:tc>
        <w:tc>
          <w:tcPr>
            <w:tcW w:w="65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66"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39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6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1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9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99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4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9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　</w:t>
            </w:r>
          </w:p>
        </w:tc>
        <w:tc>
          <w:tcPr>
            <w:tcW w:w="65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66"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39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6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1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0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b/>
                <w:bCs/>
                <w:sz w:val="18"/>
                <w:szCs w:val="18"/>
              </w:rPr>
              <w:t>合计</w:t>
            </w:r>
            <w:r>
              <w:rPr>
                <w:rFonts w:hint="default" w:ascii="Times New Roman" w:hAnsi="Times New Roman" w:eastAsia="仿宋_GB2312" w:cs="Times New Roman"/>
                <w:sz w:val="18"/>
                <w:szCs w:val="18"/>
              </w:rPr>
              <w:t>　</w:t>
            </w:r>
          </w:p>
        </w:tc>
        <w:tc>
          <w:tcPr>
            <w:tcW w:w="79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r>
              <w:rPr>
                <w:rFonts w:hint="default" w:ascii="Times New Roman" w:hAnsi="Times New Roman" w:eastAsia="仿宋_GB2312" w:cs="Times New Roman"/>
                <w:sz w:val="18"/>
                <w:szCs w:val="18"/>
                <w:lang w:val="en-US" w:eastAsia="zh-CN"/>
              </w:rPr>
              <w:t>23.39</w:t>
            </w:r>
            <w:r>
              <w:rPr>
                <w:rFonts w:hint="default" w:ascii="Times New Roman" w:hAnsi="Times New Roman" w:eastAsia="仿宋_GB2312" w:cs="Times New Roman"/>
                <w:sz w:val="18"/>
                <w:szCs w:val="18"/>
              </w:rPr>
              <w:t>　</w:t>
            </w:r>
          </w:p>
        </w:tc>
        <w:tc>
          <w:tcPr>
            <w:tcW w:w="99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r>
              <w:rPr>
                <w:rFonts w:hint="default" w:ascii="Times New Roman" w:hAnsi="Times New Roman" w:eastAsia="仿宋_GB2312" w:cs="Times New Roman"/>
                <w:sz w:val="18"/>
                <w:szCs w:val="18"/>
                <w:lang w:val="en-US" w:eastAsia="zh-CN"/>
              </w:rPr>
              <w:t>22.61</w:t>
            </w:r>
            <w:r>
              <w:rPr>
                <w:rFonts w:hint="default" w:ascii="Times New Roman" w:hAnsi="Times New Roman" w:eastAsia="仿宋_GB2312" w:cs="Times New Roman"/>
                <w:sz w:val="18"/>
                <w:szCs w:val="18"/>
              </w:rPr>
              <w:t>　</w:t>
            </w:r>
          </w:p>
        </w:tc>
        <w:tc>
          <w:tcPr>
            <w:tcW w:w="84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1</w:t>
            </w:r>
            <w:r>
              <w:rPr>
                <w:rFonts w:hint="default" w:ascii="Times New Roman" w:hAnsi="Times New Roman" w:eastAsia="仿宋_GB2312" w:cs="Times New Roman"/>
                <w:sz w:val="18"/>
                <w:szCs w:val="18"/>
                <w:lang w:val="en-US" w:eastAsia="zh-CN"/>
              </w:rPr>
              <w:t>22.61</w:t>
            </w:r>
            <w:r>
              <w:rPr>
                <w:rFonts w:hint="default" w:ascii="Times New Roman" w:hAnsi="Times New Roman" w:eastAsia="仿宋_GB2312" w:cs="Times New Roman"/>
                <w:sz w:val="18"/>
                <w:szCs w:val="18"/>
              </w:rPr>
              <w:t>　</w:t>
            </w:r>
          </w:p>
        </w:tc>
        <w:tc>
          <w:tcPr>
            <w:tcW w:w="79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　</w:t>
            </w:r>
          </w:p>
        </w:tc>
        <w:tc>
          <w:tcPr>
            <w:tcW w:w="65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74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66"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0.78</w:t>
            </w:r>
          </w:p>
        </w:tc>
        <w:tc>
          <w:tcPr>
            <w:tcW w:w="39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0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widowControl/>
        <w:jc w:val="left"/>
        <w:textAlignment w:val="bottom"/>
        <w:rPr>
          <w:rFonts w:hint="default" w:ascii="Times New Roman" w:hAnsi="Times New Roman" w:eastAsia="仿宋_GB2312" w:cs="Times New Roman"/>
          <w:b/>
          <w:kern w:val="0"/>
          <w:sz w:val="32"/>
          <w:szCs w:val="32"/>
        </w:rPr>
      </w:pPr>
      <w:r>
        <w:rPr>
          <w:rFonts w:hint="default" w:ascii="Times New Roman" w:hAnsi="Times New Roman" w:cs="Times New Roman"/>
          <w:kern w:val="0"/>
          <w:sz w:val="20"/>
          <w:szCs w:val="20"/>
        </w:rPr>
        <w:t>表3</w:t>
      </w:r>
    </w:p>
    <w:p>
      <w:pPr>
        <w:widowControl/>
        <w:spacing w:line="36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单位支出总体情况表</w:t>
      </w:r>
    </w:p>
    <w:p>
      <w:pPr>
        <w:widowControl/>
        <w:spacing w:line="280" w:lineRule="exact"/>
        <w:jc w:val="center"/>
        <w:outlineLvl w:val="1"/>
        <w:rPr>
          <w:rFonts w:hint="default" w:ascii="Times New Roman" w:hAnsi="Times New Roman" w:eastAsia="仿宋_GB2312" w:cs="Times New Roman"/>
          <w:b/>
          <w:kern w:val="0"/>
          <w:sz w:val="32"/>
          <w:szCs w:val="32"/>
        </w:rPr>
      </w:pPr>
    </w:p>
    <w:p>
      <w:pPr>
        <w:widowControl/>
        <w:spacing w:line="280" w:lineRule="exact"/>
        <w:jc w:val="lef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w:t>
      </w:r>
      <w:r>
        <w:rPr>
          <w:rFonts w:hint="default" w:ascii="Times New Roman" w:hAnsi="Times New Roman" w:eastAsia="仿宋_GB2312" w:cs="Times New Roman"/>
          <w:kern w:val="0"/>
          <w:sz w:val="24"/>
          <w:lang w:eastAsia="zh-CN"/>
        </w:rPr>
        <w:t>焉耆回族自治县第五幼儿园</w:t>
      </w: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rPr>
        <w:t xml:space="preserve"> 单位：万元</w:t>
      </w:r>
    </w:p>
    <w:tbl>
      <w:tblPr>
        <w:tblStyle w:val="10"/>
        <w:tblW w:w="9420" w:type="dxa"/>
        <w:tblInd w:w="-240" w:type="dxa"/>
        <w:tblLayout w:type="autofit"/>
        <w:tblCellMar>
          <w:top w:w="0" w:type="dxa"/>
          <w:left w:w="108" w:type="dxa"/>
          <w:bottom w:w="0" w:type="dxa"/>
          <w:right w:w="108" w:type="dxa"/>
        </w:tblCellMar>
      </w:tblPr>
      <w:tblGrid>
        <w:gridCol w:w="516"/>
        <w:gridCol w:w="417"/>
        <w:gridCol w:w="417"/>
        <w:gridCol w:w="2547"/>
        <w:gridCol w:w="1826"/>
        <w:gridCol w:w="1827"/>
        <w:gridCol w:w="1870"/>
      </w:tblGrid>
      <w:tr>
        <w:tblPrEx>
          <w:tblCellMar>
            <w:top w:w="0" w:type="dxa"/>
            <w:left w:w="108" w:type="dxa"/>
            <w:bottom w:w="0" w:type="dxa"/>
            <w:right w:w="108" w:type="dxa"/>
          </w:tblCellMar>
        </w:tblPrEx>
        <w:trPr>
          <w:trHeight w:val="328" w:hRule="atLeast"/>
        </w:trPr>
        <w:tc>
          <w:tcPr>
            <w:tcW w:w="3897"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5523"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功能分类科目编码</w:t>
            </w:r>
          </w:p>
        </w:tc>
        <w:tc>
          <w:tcPr>
            <w:tcW w:w="254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功能分类科目名称</w:t>
            </w:r>
          </w:p>
        </w:tc>
        <w:tc>
          <w:tcPr>
            <w:tcW w:w="182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182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基本支出</w:t>
            </w:r>
          </w:p>
        </w:tc>
        <w:tc>
          <w:tcPr>
            <w:tcW w:w="187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w:t>
            </w:r>
          </w:p>
        </w:tc>
        <w:tc>
          <w:tcPr>
            <w:tcW w:w="254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82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82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87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205</w:t>
            </w: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c>
          <w:tcPr>
            <w:tcW w:w="254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教育支出　</w:t>
            </w:r>
          </w:p>
        </w:tc>
        <w:tc>
          <w:tcPr>
            <w:tcW w:w="18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123.39</w:t>
            </w:r>
            <w:r>
              <w:rPr>
                <w:rFonts w:hint="default" w:ascii="Times New Roman" w:hAnsi="Times New Roman" w:eastAsia="仿宋_GB2312" w:cs="Times New Roman"/>
                <w:sz w:val="18"/>
                <w:szCs w:val="18"/>
              </w:rPr>
              <w:t>　</w:t>
            </w:r>
          </w:p>
        </w:tc>
        <w:tc>
          <w:tcPr>
            <w:tcW w:w="18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123.39</w:t>
            </w:r>
            <w:r>
              <w:rPr>
                <w:rFonts w:hint="default" w:ascii="Times New Roman" w:hAnsi="Times New Roman" w:eastAsia="仿宋_GB2312" w:cs="Times New Roman"/>
                <w:sz w:val="18"/>
                <w:szCs w:val="18"/>
              </w:rPr>
              <w:t>　</w:t>
            </w:r>
          </w:p>
        </w:tc>
        <w:tc>
          <w:tcPr>
            <w:tcW w:w="187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205</w:t>
            </w: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02</w:t>
            </w: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c>
          <w:tcPr>
            <w:tcW w:w="254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普通教育　</w:t>
            </w:r>
          </w:p>
        </w:tc>
        <w:tc>
          <w:tcPr>
            <w:tcW w:w="18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123.39</w:t>
            </w:r>
            <w:r>
              <w:rPr>
                <w:rFonts w:hint="default" w:ascii="Times New Roman" w:hAnsi="Times New Roman" w:eastAsia="仿宋_GB2312" w:cs="Times New Roman"/>
                <w:sz w:val="18"/>
                <w:szCs w:val="18"/>
              </w:rPr>
              <w:t>　</w:t>
            </w:r>
          </w:p>
        </w:tc>
        <w:tc>
          <w:tcPr>
            <w:tcW w:w="18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123.39</w:t>
            </w:r>
            <w:r>
              <w:rPr>
                <w:rFonts w:hint="default" w:ascii="Times New Roman" w:hAnsi="Times New Roman" w:eastAsia="仿宋_GB2312" w:cs="Times New Roman"/>
                <w:sz w:val="18"/>
                <w:szCs w:val="18"/>
              </w:rPr>
              <w:t>　</w:t>
            </w:r>
          </w:p>
        </w:tc>
        <w:tc>
          <w:tcPr>
            <w:tcW w:w="187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205</w:t>
            </w: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02</w:t>
            </w:r>
          </w:p>
        </w:tc>
        <w:tc>
          <w:tcPr>
            <w:tcW w:w="41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01</w:t>
            </w:r>
          </w:p>
        </w:tc>
        <w:tc>
          <w:tcPr>
            <w:tcW w:w="254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学前教育　</w:t>
            </w:r>
          </w:p>
        </w:tc>
        <w:tc>
          <w:tcPr>
            <w:tcW w:w="18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123.39</w:t>
            </w:r>
            <w:r>
              <w:rPr>
                <w:rFonts w:hint="default" w:ascii="Times New Roman" w:hAnsi="Times New Roman" w:eastAsia="仿宋_GB2312" w:cs="Times New Roman"/>
                <w:sz w:val="18"/>
                <w:szCs w:val="18"/>
              </w:rPr>
              <w:t>　</w:t>
            </w:r>
          </w:p>
        </w:tc>
        <w:tc>
          <w:tcPr>
            <w:tcW w:w="18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123.39</w:t>
            </w:r>
            <w:r>
              <w:rPr>
                <w:rFonts w:hint="default" w:ascii="Times New Roman" w:hAnsi="Times New Roman" w:eastAsia="仿宋_GB2312" w:cs="Times New Roman"/>
                <w:sz w:val="18"/>
                <w:szCs w:val="18"/>
              </w:rPr>
              <w:t>　</w:t>
            </w:r>
          </w:p>
        </w:tc>
        <w:tc>
          <w:tcPr>
            <w:tcW w:w="187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2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187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　</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合  计</w:t>
            </w:r>
          </w:p>
        </w:tc>
        <w:tc>
          <w:tcPr>
            <w:tcW w:w="182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123.39</w:t>
            </w:r>
            <w:r>
              <w:rPr>
                <w:rFonts w:hint="default" w:ascii="Times New Roman" w:hAnsi="Times New Roman" w:eastAsia="仿宋_GB2312" w:cs="Times New Roman"/>
                <w:sz w:val="18"/>
                <w:szCs w:val="18"/>
              </w:rPr>
              <w:t>　</w:t>
            </w:r>
          </w:p>
        </w:tc>
        <w:tc>
          <w:tcPr>
            <w:tcW w:w="18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123.39</w:t>
            </w:r>
            <w:r>
              <w:rPr>
                <w:rFonts w:hint="default" w:ascii="Times New Roman" w:hAnsi="Times New Roman" w:eastAsia="仿宋_GB2312" w:cs="Times New Roman"/>
                <w:sz w:val="18"/>
                <w:szCs w:val="18"/>
              </w:rPr>
              <w:t>　</w:t>
            </w:r>
          </w:p>
        </w:tc>
        <w:tc>
          <w:tcPr>
            <w:tcW w:w="187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bl>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表4</w:t>
      </w:r>
    </w:p>
    <w:p>
      <w:pPr>
        <w:widowControl/>
        <w:spacing w:before="120" w:beforeLines="50" w:line="28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财政拨款收支预算总体情况表</w:t>
      </w:r>
    </w:p>
    <w:p>
      <w:pPr>
        <w:widowControl/>
        <w:spacing w:before="120" w:beforeLines="50" w:line="280" w:lineRule="exac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w:t>
      </w:r>
      <w:r>
        <w:rPr>
          <w:rFonts w:hint="default" w:ascii="Times New Roman" w:hAnsi="Times New Roman" w:eastAsia="仿宋_GB2312" w:cs="Times New Roman"/>
          <w:kern w:val="0"/>
          <w:sz w:val="24"/>
          <w:lang w:eastAsia="zh-CN"/>
        </w:rPr>
        <w:t>焉耆回族自治县第五幼儿园</w:t>
      </w: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rPr>
        <w:t xml:space="preserve">   单位：万元</w:t>
      </w:r>
    </w:p>
    <w:tbl>
      <w:tblPr>
        <w:tblStyle w:val="10"/>
        <w:tblW w:w="9449" w:type="dxa"/>
        <w:tblInd w:w="-240" w:type="dxa"/>
        <w:tblLayout w:type="autofit"/>
        <w:tblCellMar>
          <w:top w:w="0" w:type="dxa"/>
          <w:left w:w="108" w:type="dxa"/>
          <w:bottom w:w="0" w:type="dxa"/>
          <w:right w:w="108" w:type="dxa"/>
        </w:tblCellMar>
      </w:tblPr>
      <w:tblGrid>
        <w:gridCol w:w="1929"/>
        <w:gridCol w:w="913"/>
        <w:gridCol w:w="2569"/>
        <w:gridCol w:w="900"/>
        <w:gridCol w:w="876"/>
        <w:gridCol w:w="1131"/>
        <w:gridCol w:w="1131"/>
      </w:tblGrid>
      <w:tr>
        <w:tblPrEx>
          <w:tblCellMar>
            <w:top w:w="0" w:type="dxa"/>
            <w:left w:w="108" w:type="dxa"/>
            <w:bottom w:w="0" w:type="dxa"/>
            <w:right w:w="108" w:type="dxa"/>
          </w:tblCellMar>
        </w:tblPrEx>
        <w:trPr>
          <w:trHeight w:val="285" w:hRule="atLeast"/>
        </w:trPr>
        <w:tc>
          <w:tcPr>
            <w:tcW w:w="2842"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财政拨款收入</w:t>
            </w:r>
          </w:p>
        </w:tc>
        <w:tc>
          <w:tcPr>
            <w:tcW w:w="6607"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财政拨款支出</w:t>
            </w:r>
          </w:p>
        </w:tc>
      </w:tr>
      <w:tr>
        <w:tblPrEx>
          <w:tblCellMar>
            <w:top w:w="0" w:type="dxa"/>
            <w:left w:w="108" w:type="dxa"/>
            <w:bottom w:w="0" w:type="dxa"/>
            <w:right w:w="108" w:type="dxa"/>
          </w:tblCellMar>
        </w:tblPrEx>
        <w:trPr>
          <w:trHeight w:val="500" w:hRule="atLeast"/>
        </w:trPr>
        <w:tc>
          <w:tcPr>
            <w:tcW w:w="1929"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    目</w:t>
            </w:r>
          </w:p>
        </w:tc>
        <w:tc>
          <w:tcPr>
            <w:tcW w:w="913"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合  计</w:t>
            </w:r>
          </w:p>
        </w:tc>
        <w:tc>
          <w:tcPr>
            <w:tcW w:w="2569"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876"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一般公共预算</w:t>
            </w:r>
          </w:p>
        </w:tc>
        <w:tc>
          <w:tcPr>
            <w:tcW w:w="1131"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政府性基金预算</w:t>
            </w:r>
          </w:p>
        </w:tc>
        <w:tc>
          <w:tcPr>
            <w:tcW w:w="1131" w:type="dxa"/>
            <w:tcBorders>
              <w:top w:val="nil"/>
              <w:left w:val="nil"/>
              <w:bottom w:val="single" w:color="auto" w:sz="4" w:space="0"/>
              <w:right w:val="single" w:color="auto" w:sz="4" w:space="0"/>
            </w:tcBorders>
            <w:vAlign w:val="center"/>
          </w:tcPr>
          <w:p>
            <w:pPr>
              <w:spacing w:line="200" w:lineRule="exac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国有资本经营预算</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一、财政拨款（补助）</w:t>
            </w:r>
          </w:p>
        </w:tc>
        <w:tc>
          <w:tcPr>
            <w:tcW w:w="91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122.61</w:t>
            </w:r>
            <w:r>
              <w:rPr>
                <w:rFonts w:hint="default" w:ascii="Times New Roman" w:hAnsi="Times New Roman" w:eastAsia="仿宋_GB2312" w:cs="Times New Roman"/>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ind w:firstLine="180" w:firstLineChars="100"/>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一般公共预算</w:t>
            </w:r>
          </w:p>
        </w:tc>
        <w:tc>
          <w:tcPr>
            <w:tcW w:w="91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122.61</w:t>
            </w:r>
            <w:r>
              <w:rPr>
                <w:rFonts w:hint="default" w:ascii="Times New Roman" w:hAnsi="Times New Roman" w:eastAsia="仿宋_GB2312" w:cs="Times New Roman"/>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202 外交支出</w:t>
            </w:r>
          </w:p>
        </w:tc>
        <w:tc>
          <w:tcPr>
            <w:tcW w:w="90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政府性基金预算</w:t>
            </w:r>
          </w:p>
        </w:tc>
        <w:tc>
          <w:tcPr>
            <w:tcW w:w="91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203 国防支出</w:t>
            </w:r>
          </w:p>
        </w:tc>
        <w:tc>
          <w:tcPr>
            <w:tcW w:w="90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国有资本经营预算</w:t>
            </w:r>
          </w:p>
        </w:tc>
        <w:tc>
          <w:tcPr>
            <w:tcW w:w="913" w:type="dxa"/>
            <w:tcBorders>
              <w:top w:val="nil"/>
              <w:left w:val="nil"/>
              <w:bottom w:val="single" w:color="auto" w:sz="4" w:space="0"/>
              <w:right w:val="single" w:color="auto" w:sz="4" w:space="0"/>
            </w:tcBorders>
            <w:vAlign w:val="bottom"/>
          </w:tcPr>
          <w:p>
            <w:pPr>
              <w:jc w:val="center"/>
              <w:rPr>
                <w:rFonts w:hint="default" w:ascii="Times New Roman" w:hAnsi="Times New Roman" w:eastAsia="仿宋_GB2312" w:cs="Times New Roman"/>
                <w:sz w:val="18"/>
                <w:szCs w:val="18"/>
              </w:rPr>
            </w:pP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204 公共安全支出</w:t>
            </w:r>
          </w:p>
        </w:tc>
        <w:tc>
          <w:tcPr>
            <w:tcW w:w="90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297"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205 教育支出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122.61</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122.61</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206 科学技术支出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210卫生健康支出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211 节能环保支出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212 城乡社区支出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213 农林水支出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214 交通运输支出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217 金融支出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221 住房保障支出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227 预备费</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229 其他支出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230转移性支出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231 债务还本支出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232 债务付息支出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234抗疫特别国债安排的支出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1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13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131"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收  入  总  计</w:t>
            </w:r>
          </w:p>
        </w:tc>
        <w:tc>
          <w:tcPr>
            <w:tcW w:w="91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lang w:val="en-US" w:eastAsia="zh-CN"/>
              </w:rPr>
              <w:t>122.61</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支  出  总  计</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122.61</w:t>
            </w:r>
          </w:p>
        </w:tc>
        <w:tc>
          <w:tcPr>
            <w:tcW w:w="87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122.61</w:t>
            </w: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13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bl>
    <w:p>
      <w:pPr>
        <w:widowControl/>
        <w:jc w:val="left"/>
        <w:textAlignment w:val="bottom"/>
        <w:rPr>
          <w:rFonts w:hint="default" w:ascii="Times New Roman" w:hAnsi="Times New Roman" w:eastAsia="仿宋_GB2312" w:cs="Times New Roman"/>
          <w:b/>
          <w:kern w:val="0"/>
          <w:sz w:val="28"/>
          <w:szCs w:val="32"/>
        </w:rPr>
      </w:pPr>
    </w:p>
    <w:p>
      <w:pPr>
        <w:widowControl/>
        <w:jc w:val="left"/>
        <w:textAlignment w:val="bottom"/>
        <w:rPr>
          <w:rFonts w:hint="default" w:ascii="Times New Roman" w:hAnsi="Times New Roman" w:eastAsia="仿宋_GB2312" w:cs="Times New Roman"/>
          <w:b/>
          <w:kern w:val="0"/>
          <w:sz w:val="28"/>
          <w:szCs w:val="32"/>
        </w:rPr>
      </w:pPr>
    </w:p>
    <w:p>
      <w:pPr>
        <w:widowControl/>
        <w:jc w:val="left"/>
        <w:textAlignment w:val="bottom"/>
        <w:rPr>
          <w:rFonts w:hint="default" w:ascii="Times New Roman" w:hAnsi="Times New Roman" w:cs="Times New Roman"/>
          <w:kern w:val="0"/>
          <w:sz w:val="20"/>
          <w:szCs w:val="20"/>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表5</w:t>
      </w:r>
    </w:p>
    <w:tbl>
      <w:tblPr>
        <w:tblStyle w:val="10"/>
        <w:tblW w:w="9214" w:type="dxa"/>
        <w:tblInd w:w="-34" w:type="dxa"/>
        <w:tblLayout w:type="autofit"/>
        <w:tblCellMar>
          <w:top w:w="0" w:type="dxa"/>
          <w:left w:w="108" w:type="dxa"/>
          <w:bottom w:w="0" w:type="dxa"/>
          <w:right w:w="108" w:type="dxa"/>
        </w:tblCellMar>
      </w:tblPr>
      <w:tblGrid>
        <w:gridCol w:w="516"/>
        <w:gridCol w:w="499"/>
        <w:gridCol w:w="502"/>
        <w:gridCol w:w="2581"/>
        <w:gridCol w:w="1589"/>
        <w:gridCol w:w="216"/>
        <w:gridCol w:w="1618"/>
        <w:gridCol w:w="1693"/>
      </w:tblGrid>
      <w:tr>
        <w:tblPrEx>
          <w:tblCellMar>
            <w:top w:w="0" w:type="dxa"/>
            <w:left w:w="108" w:type="dxa"/>
            <w:bottom w:w="0" w:type="dxa"/>
            <w:right w:w="108" w:type="dxa"/>
          </w:tblCellMar>
        </w:tblPrEx>
        <w:trPr>
          <w:trHeight w:val="654" w:hRule="atLeast"/>
        </w:trPr>
        <w:tc>
          <w:tcPr>
            <w:tcW w:w="9214" w:type="dxa"/>
            <w:gridSpan w:val="8"/>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一般公共预算支出情况表</w:t>
            </w:r>
          </w:p>
        </w:tc>
      </w:tr>
      <w:tr>
        <w:tblPrEx>
          <w:tblCellMar>
            <w:top w:w="0" w:type="dxa"/>
            <w:left w:w="108" w:type="dxa"/>
            <w:bottom w:w="0" w:type="dxa"/>
            <w:right w:w="108" w:type="dxa"/>
          </w:tblCellMar>
        </w:tblPrEx>
        <w:trPr>
          <w:trHeight w:val="675" w:hRule="atLeast"/>
        </w:trPr>
        <w:tc>
          <w:tcPr>
            <w:tcW w:w="5903" w:type="dxa"/>
            <w:gridSpan w:val="6"/>
            <w:tcBorders>
              <w:top w:val="nil"/>
              <w:left w:val="nil"/>
              <w:bottom w:val="nil"/>
              <w:right w:val="nil"/>
            </w:tcBorders>
            <w:vAlign w:val="center"/>
          </w:tcPr>
          <w:p>
            <w:pPr>
              <w:widowControl/>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rPr>
              <w:t>编制单位：</w:t>
            </w:r>
            <w:r>
              <w:rPr>
                <w:rFonts w:hint="default" w:ascii="Times New Roman" w:hAnsi="Times New Roman" w:eastAsia="仿宋_GB2312" w:cs="Times New Roman"/>
                <w:kern w:val="0"/>
                <w:sz w:val="24"/>
                <w:lang w:eastAsia="zh-CN"/>
              </w:rPr>
              <w:t>焉耆回族自治县第五幼儿园</w:t>
            </w:r>
          </w:p>
        </w:tc>
        <w:tc>
          <w:tcPr>
            <w:tcW w:w="3311" w:type="dxa"/>
            <w:gridSpan w:val="2"/>
            <w:tcBorders>
              <w:top w:val="nil"/>
              <w:left w:val="nil"/>
              <w:bottom w:val="nil"/>
              <w:right w:val="nil"/>
            </w:tcBorders>
            <w:vAlign w:val="center"/>
          </w:tcPr>
          <w:p>
            <w:pPr>
              <w:widowControl/>
              <w:ind w:firstLine="720" w:firstLineChars="3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单位：万元</w:t>
            </w:r>
          </w:p>
        </w:tc>
      </w:tr>
      <w:tr>
        <w:tblPrEx>
          <w:tblCellMar>
            <w:top w:w="0" w:type="dxa"/>
            <w:left w:w="108" w:type="dxa"/>
            <w:bottom w:w="0" w:type="dxa"/>
            <w:right w:w="108" w:type="dxa"/>
          </w:tblCellMar>
        </w:tblPrEx>
        <w:trPr>
          <w:trHeight w:val="405" w:hRule="atLeast"/>
        </w:trPr>
        <w:tc>
          <w:tcPr>
            <w:tcW w:w="409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5116" w:type="dxa"/>
            <w:gridSpan w:val="4"/>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一般公共预算支出</w:t>
            </w:r>
          </w:p>
        </w:tc>
      </w:tr>
      <w:tr>
        <w:tblPrEx>
          <w:tblCellMar>
            <w:top w:w="0" w:type="dxa"/>
            <w:left w:w="108" w:type="dxa"/>
            <w:bottom w:w="0" w:type="dxa"/>
            <w:right w:w="108" w:type="dxa"/>
          </w:tblCellMar>
        </w:tblPrEx>
        <w:trPr>
          <w:trHeight w:val="465" w:hRule="atLeast"/>
        </w:trPr>
        <w:tc>
          <w:tcPr>
            <w:tcW w:w="151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功能分类科目编码</w:t>
            </w:r>
          </w:p>
        </w:tc>
        <w:tc>
          <w:tcPr>
            <w:tcW w:w="258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功能分类科目名称</w:t>
            </w:r>
          </w:p>
        </w:tc>
        <w:tc>
          <w:tcPr>
            <w:tcW w:w="1589"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183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基本支出</w:t>
            </w:r>
          </w:p>
        </w:tc>
        <w:tc>
          <w:tcPr>
            <w:tcW w:w="1693"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项目支出</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tc>
        <w:tc>
          <w:tcPr>
            <w:tcW w:w="50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w:t>
            </w:r>
          </w:p>
        </w:tc>
        <w:tc>
          <w:tcPr>
            <w:tcW w:w="2581"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589"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83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693"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205</w:t>
            </w:r>
          </w:p>
        </w:tc>
        <w:tc>
          <w:tcPr>
            <w:tcW w:w="49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502"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2581"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教育支出</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122.61</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122.61</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205</w:t>
            </w:r>
          </w:p>
        </w:tc>
        <w:tc>
          <w:tcPr>
            <w:tcW w:w="49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02</w:t>
            </w:r>
          </w:p>
        </w:tc>
        <w:tc>
          <w:tcPr>
            <w:tcW w:w="502"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2581"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普通教育</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r>
              <w:rPr>
                <w:rFonts w:hint="default" w:ascii="Times New Roman" w:hAnsi="Times New Roman" w:eastAsia="仿宋_GB2312" w:cs="Times New Roman"/>
                <w:kern w:val="0"/>
                <w:sz w:val="18"/>
                <w:szCs w:val="18"/>
                <w:lang w:val="en-US" w:eastAsia="zh-CN"/>
              </w:rPr>
              <w:t>122.61</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lang w:val="en-US" w:eastAsia="zh-CN"/>
              </w:rPr>
              <w:t>122.61</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205</w:t>
            </w:r>
          </w:p>
        </w:tc>
        <w:tc>
          <w:tcPr>
            <w:tcW w:w="499"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02</w:t>
            </w:r>
          </w:p>
        </w:tc>
        <w:tc>
          <w:tcPr>
            <w:tcW w:w="502"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01</w:t>
            </w:r>
          </w:p>
        </w:tc>
        <w:tc>
          <w:tcPr>
            <w:tcW w:w="2581"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学前教育</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r>
              <w:rPr>
                <w:rFonts w:hint="default" w:ascii="Times New Roman" w:hAnsi="Times New Roman" w:eastAsia="仿宋_GB2312" w:cs="Times New Roman"/>
                <w:kern w:val="0"/>
                <w:sz w:val="18"/>
                <w:szCs w:val="18"/>
                <w:lang w:val="en-US" w:eastAsia="zh-CN"/>
              </w:rPr>
              <w:t>122.61</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lang w:val="en-US" w:eastAsia="zh-CN"/>
              </w:rPr>
              <w:t>122.61</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258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18"/>
                <w:szCs w:val="18"/>
              </w:rPr>
            </w:pPr>
          </w:p>
        </w:tc>
        <w:tc>
          <w:tcPr>
            <w:tcW w:w="258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rPr>
              <w:t>合  计</w:t>
            </w:r>
          </w:p>
        </w:tc>
        <w:tc>
          <w:tcPr>
            <w:tcW w:w="1589"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122.61</w:t>
            </w:r>
          </w:p>
        </w:tc>
        <w:tc>
          <w:tcPr>
            <w:tcW w:w="1834"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lang w:val="en-US" w:eastAsia="zh-CN"/>
              </w:rPr>
              <w:t>122.61</w:t>
            </w:r>
          </w:p>
        </w:tc>
        <w:tc>
          <w:tcPr>
            <w:tcW w:w="1693"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r>
    </w:tbl>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5220" w:type="dxa"/>
            <w:gridSpan w:val="4"/>
            <w:tcBorders>
              <w:top w:val="nil"/>
              <w:left w:val="nil"/>
              <w:bottom w:val="nil"/>
              <w:right w:val="nil"/>
            </w:tcBorders>
            <w:vAlign w:val="center"/>
          </w:tcPr>
          <w:p>
            <w:pPr>
              <w:widowControl/>
              <w:jc w:val="left"/>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rPr>
              <w:t>编制单位：</w:t>
            </w:r>
            <w:r>
              <w:rPr>
                <w:rFonts w:hint="default" w:ascii="Times New Roman" w:hAnsi="Times New Roman" w:eastAsia="仿宋_GB2312" w:cs="Times New Roman"/>
                <w:kern w:val="0"/>
                <w:sz w:val="24"/>
                <w:lang w:eastAsia="zh-CN"/>
              </w:rPr>
              <w:t>焉耆回族自治县第五幼儿园</w:t>
            </w:r>
          </w:p>
        </w:tc>
        <w:tc>
          <w:tcPr>
            <w:tcW w:w="1682" w:type="dxa"/>
            <w:gridSpan w:val="2"/>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301</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szCs w:val="32"/>
              </w:rPr>
            </w:pPr>
            <w:r>
              <w:rPr>
                <w:rStyle w:val="16"/>
                <w:rFonts w:hint="default" w:ascii="Times New Roman" w:hAnsi="Times New Roman" w:eastAsia="仿宋_GB2312" w:cs="Times New Roman"/>
              </w:rPr>
              <w:t>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115.59</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rPr>
            </w:pPr>
            <w:r>
              <w:rPr>
                <w:rFonts w:hint="default" w:ascii="Times New Roman" w:hAnsi="Times New Roman" w:eastAsia="仿宋_GB2312" w:cs="Times New Roman"/>
                <w:kern w:val="0"/>
                <w:sz w:val="20"/>
                <w:szCs w:val="20"/>
                <w:lang w:val="en-US" w:eastAsia="zh-CN"/>
              </w:rPr>
              <w:t>115.95</w:t>
            </w: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301</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01</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szCs w:val="32"/>
              </w:rPr>
            </w:pPr>
            <w:r>
              <w:rPr>
                <w:rStyle w:val="16"/>
                <w:rFonts w:hint="default" w:ascii="Times New Roman" w:hAnsi="Times New Roman" w:eastAsia="仿宋_GB2312" w:cs="Times New Roman"/>
              </w:rPr>
              <w:t>基本工资</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37.69</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val="en-US" w:eastAsia="zh-CN"/>
              </w:rPr>
              <w:t>37.69</w:t>
            </w: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301</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02</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szCs w:val="32"/>
              </w:rPr>
            </w:pPr>
            <w:r>
              <w:rPr>
                <w:rStyle w:val="16"/>
                <w:rFonts w:hint="default" w:ascii="Times New Roman" w:hAnsi="Times New Roman" w:eastAsia="仿宋_GB2312" w:cs="Times New Roman"/>
              </w:rPr>
              <w:t>津贴补贴</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44.43</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rPr>
              <w:t>44.43</w:t>
            </w: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301</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08</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szCs w:val="32"/>
              </w:rPr>
            </w:pPr>
            <w:r>
              <w:rPr>
                <w:rStyle w:val="16"/>
                <w:rFonts w:hint="default" w:ascii="Times New Roman" w:hAnsi="Times New Roman" w:eastAsia="仿宋_GB2312" w:cs="Times New Roman"/>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12.31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rPr>
              <w:t>12.31</w:t>
            </w: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301</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09</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szCs w:val="32"/>
              </w:rPr>
            </w:pPr>
            <w:r>
              <w:rPr>
                <w:rStyle w:val="16"/>
                <w:rFonts w:hint="default" w:ascii="Times New Roman" w:hAnsi="Times New Roman" w:eastAsia="仿宋_GB2312" w:cs="Times New Roman"/>
              </w:rPr>
              <w:t>职业年金经费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6.16</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rPr>
            </w:pPr>
            <w:r>
              <w:rPr>
                <w:rFonts w:hint="default" w:ascii="Times New Roman" w:hAnsi="Times New Roman" w:eastAsia="仿宋_GB2312" w:cs="Times New Roman"/>
                <w:kern w:val="0"/>
                <w:sz w:val="20"/>
                <w:szCs w:val="20"/>
                <w:lang w:val="en-US" w:eastAsia="zh-CN"/>
              </w:rPr>
              <w:t>6.16</w:t>
            </w: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301</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10</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szCs w:val="32"/>
              </w:rPr>
            </w:pPr>
            <w:r>
              <w:rPr>
                <w:rStyle w:val="16"/>
                <w:rFonts w:hint="default" w:ascii="Times New Roman" w:hAnsi="Times New Roman" w:eastAsia="仿宋_GB2312" w:cs="Times New Roman"/>
              </w:rPr>
              <w:t>职工基本医疗保险经费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5.5</w:t>
            </w:r>
            <w:r>
              <w:rPr>
                <w:rFonts w:hint="default" w:ascii="Times New Roman" w:hAnsi="Times New Roman" w:eastAsia="仿宋_GB2312" w:cs="Times New Roman"/>
                <w:kern w:val="0"/>
                <w:sz w:val="20"/>
                <w:szCs w:val="20"/>
                <w:lang w:val="en-US" w:eastAsia="zh-CN"/>
              </w:rPr>
              <w:t>9</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5.5</w:t>
            </w:r>
            <w:r>
              <w:rPr>
                <w:rFonts w:hint="default" w:ascii="Times New Roman" w:hAnsi="Times New Roman" w:eastAsia="仿宋_GB2312" w:cs="Times New Roman"/>
                <w:kern w:val="0"/>
                <w:sz w:val="20"/>
                <w:szCs w:val="20"/>
                <w:lang w:val="en-US" w:eastAsia="zh-CN"/>
              </w:rPr>
              <w:t>9</w:t>
            </w: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301</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12</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szCs w:val="32"/>
              </w:rPr>
            </w:pPr>
            <w:r>
              <w:rPr>
                <w:rStyle w:val="16"/>
                <w:rFonts w:hint="default" w:ascii="Times New Roman" w:hAnsi="Times New Roman" w:eastAsia="仿宋_GB2312" w:cs="Times New Roman"/>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0.54</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rPr>
              <w:t>0.54</w:t>
            </w: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301</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13</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szCs w:val="32"/>
              </w:rPr>
            </w:pPr>
            <w:r>
              <w:rPr>
                <w:rStyle w:val="16"/>
                <w:rFonts w:hint="default" w:ascii="Times New Roman" w:hAnsi="Times New Roman" w:eastAsia="仿宋_GB2312" w:cs="Times New Roman"/>
              </w:rPr>
              <w:t>住房公积金</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9.</w:t>
            </w:r>
            <w:r>
              <w:rPr>
                <w:rFonts w:hint="default" w:ascii="Times New Roman" w:hAnsi="Times New Roman" w:eastAsia="仿宋_GB2312" w:cs="Times New Roman"/>
                <w:kern w:val="0"/>
                <w:sz w:val="20"/>
                <w:szCs w:val="20"/>
                <w:lang w:val="en-US" w:eastAsia="zh-CN"/>
              </w:rPr>
              <w:t>23</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w:t>
            </w:r>
            <w:r>
              <w:rPr>
                <w:rFonts w:hint="default" w:ascii="Times New Roman" w:hAnsi="Times New Roman" w:eastAsia="仿宋_GB2312" w:cs="Times New Roman"/>
                <w:kern w:val="0"/>
                <w:sz w:val="20"/>
                <w:szCs w:val="20"/>
                <w:lang w:val="en-US" w:eastAsia="zh-CN"/>
              </w:rPr>
              <w:t>23</w:t>
            </w: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302</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szCs w:val="32"/>
              </w:rPr>
            </w:pPr>
            <w:r>
              <w:rPr>
                <w:rStyle w:val="16"/>
                <w:rFonts w:hint="default" w:ascii="Times New Roman" w:hAnsi="Times New Roman" w:eastAsia="仿宋_GB2312" w:cs="Times New Roman"/>
              </w:rPr>
              <w:t>商品与服务支出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6.21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rPr>
            </w:pPr>
            <w:r>
              <w:rPr>
                <w:rFonts w:hint="default" w:ascii="Times New Roman" w:hAnsi="Times New Roman" w:eastAsia="仿宋_GB2312" w:cs="Times New Roman"/>
                <w:kern w:val="0"/>
                <w:sz w:val="20"/>
                <w:szCs w:val="20"/>
                <w:lang w:val="en-US" w:eastAsia="zh-CN"/>
              </w:rPr>
              <w:t>6.20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302</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08</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rPr>
            </w:pPr>
            <w:r>
              <w:rPr>
                <w:rStyle w:val="16"/>
                <w:rFonts w:hint="default" w:ascii="Times New Roman" w:hAnsi="Times New Roman" w:eastAsia="仿宋_GB2312" w:cs="Times New Roman"/>
              </w:rPr>
              <w:t>取暖费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5.18</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rPr>
              <w:t>5.18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302</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lang w:val="en-US" w:eastAsia="zh-CN"/>
              </w:rPr>
            </w:pPr>
            <w:r>
              <w:rPr>
                <w:rStyle w:val="16"/>
                <w:rFonts w:hint="default" w:ascii="Times New Roman" w:hAnsi="Times New Roman" w:eastAsia="仿宋_GB2312" w:cs="Times New Roman"/>
                <w:lang w:val="en-US" w:eastAsia="zh-CN"/>
              </w:rPr>
              <w:t>16</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rPr>
            </w:pPr>
            <w:r>
              <w:rPr>
                <w:rStyle w:val="16"/>
                <w:rFonts w:hint="default" w:ascii="Times New Roman" w:hAnsi="Times New Roman" w:eastAsia="仿宋_GB2312" w:cs="Times New Roman"/>
                <w:lang w:eastAsia="zh-CN"/>
              </w:rPr>
              <w:t>培训</w:t>
            </w:r>
            <w:r>
              <w:rPr>
                <w:rStyle w:val="16"/>
                <w:rFonts w:hint="default" w:ascii="Times New Roman" w:hAnsi="Times New Roman" w:eastAsia="仿宋_GB2312" w:cs="Times New Roman"/>
              </w:rPr>
              <w:t>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1.00</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rPr>
              <w:t>1.00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302</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lang w:val="en-US" w:eastAsia="zh-CN"/>
              </w:rPr>
            </w:pPr>
            <w:r>
              <w:rPr>
                <w:rStyle w:val="16"/>
                <w:rFonts w:hint="default" w:ascii="Times New Roman" w:hAnsi="Times New Roman" w:eastAsia="仿宋_GB2312" w:cs="Times New Roman"/>
              </w:rPr>
              <w:t>2</w:t>
            </w:r>
            <w:r>
              <w:rPr>
                <w:rStyle w:val="16"/>
                <w:rFonts w:hint="default" w:ascii="Times New Roman" w:hAnsi="Times New Roman" w:eastAsia="仿宋_GB2312" w:cs="Times New Roman"/>
                <w:lang w:val="en-US" w:eastAsia="zh-CN"/>
              </w:rPr>
              <w:t>8</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szCs w:val="32"/>
              </w:rPr>
            </w:pPr>
            <w:r>
              <w:rPr>
                <w:rStyle w:val="16"/>
                <w:rFonts w:hint="default" w:ascii="Times New Roman" w:hAnsi="Times New Roman" w:eastAsia="仿宋_GB2312" w:cs="Times New Roman"/>
                <w:lang w:eastAsia="zh-CN"/>
              </w:rPr>
              <w:t>工会经</w:t>
            </w:r>
            <w:r>
              <w:rPr>
                <w:rStyle w:val="16"/>
                <w:rFonts w:hint="default" w:ascii="Times New Roman" w:hAnsi="Times New Roman" w:eastAsia="仿宋_GB2312" w:cs="Times New Roman"/>
              </w:rPr>
              <w:t>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0.01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0.0</w:t>
            </w:r>
            <w:r>
              <w:rPr>
                <w:rFonts w:hint="default" w:ascii="Times New Roman" w:hAnsi="Times New Roman" w:eastAsia="仿宋_GB2312" w:cs="Times New Roman"/>
                <w:kern w:val="0"/>
                <w:sz w:val="20"/>
                <w:szCs w:val="20"/>
                <w:lang w:val="en-US" w:eastAsia="zh-CN"/>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lang w:val="en-US" w:eastAsia="zh-CN"/>
              </w:rPr>
            </w:pPr>
            <w:r>
              <w:rPr>
                <w:rStyle w:val="16"/>
                <w:rFonts w:hint="default" w:ascii="Times New Roman" w:hAnsi="Times New Roman" w:eastAsia="仿宋_GB2312" w:cs="Times New Roman"/>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lang w:val="en-US" w:eastAsia="zh-CN"/>
              </w:rPr>
            </w:pPr>
            <w:r>
              <w:rPr>
                <w:rStyle w:val="16"/>
                <w:rFonts w:hint="default" w:ascii="Times New Roman" w:hAnsi="Times New Roman" w:eastAsia="仿宋_GB2312" w:cs="Times New Roman"/>
                <w:lang w:val="en-US" w:eastAsia="zh-CN"/>
              </w:rPr>
              <w:t>29</w:t>
            </w:r>
          </w:p>
        </w:tc>
        <w:tc>
          <w:tcPr>
            <w:tcW w:w="2891" w:type="dxa"/>
            <w:tcBorders>
              <w:top w:val="nil"/>
              <w:left w:val="nil"/>
              <w:bottom w:val="single" w:color="auto" w:sz="4" w:space="0"/>
              <w:right w:val="single" w:color="auto" w:sz="4" w:space="0"/>
            </w:tcBorders>
            <w:vAlign w:val="center"/>
          </w:tcPr>
          <w:p>
            <w:pPr>
              <w:widowControl/>
              <w:jc w:val="left"/>
              <w:rPr>
                <w:rStyle w:val="16"/>
                <w:rFonts w:hint="default" w:ascii="Times New Roman" w:hAnsi="Times New Roman" w:eastAsia="仿宋_GB2312" w:cs="Times New Roman"/>
                <w:lang w:eastAsia="zh-CN"/>
              </w:rPr>
            </w:pPr>
            <w:r>
              <w:rPr>
                <w:rStyle w:val="16"/>
                <w:rFonts w:hint="default" w:ascii="Times New Roman" w:hAnsi="Times New Roman" w:eastAsia="仿宋_GB2312" w:cs="Times New Roman"/>
                <w:lang w:eastAsia="zh-CN"/>
              </w:rPr>
              <w:t>福利费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0.01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303</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szCs w:val="32"/>
              </w:rPr>
            </w:pPr>
            <w:r>
              <w:rPr>
                <w:rStyle w:val="16"/>
                <w:rFonts w:hint="default" w:ascii="Times New Roman" w:hAnsi="Times New Roman" w:eastAsia="仿宋_GB2312" w:cs="Times New Roman"/>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0.4</w:t>
            </w:r>
            <w:r>
              <w:rPr>
                <w:rFonts w:hint="default" w:ascii="Times New Roman" w:hAnsi="Times New Roman" w:eastAsia="仿宋_GB2312" w:cs="Times New Roman"/>
                <w:kern w:val="0"/>
                <w:sz w:val="20"/>
                <w:szCs w:val="20"/>
                <w:lang w:val="en-US" w:eastAsia="zh-CN"/>
              </w:rPr>
              <w:t>5</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0.4</w:t>
            </w:r>
            <w:r>
              <w:rPr>
                <w:rFonts w:hint="default" w:ascii="Times New Roman" w:hAnsi="Times New Roman" w:eastAsia="仿宋_GB2312" w:cs="Times New Roman"/>
                <w:kern w:val="0"/>
                <w:sz w:val="20"/>
                <w:szCs w:val="20"/>
                <w:lang w:val="en-US" w:eastAsia="zh-CN"/>
              </w:rPr>
              <w:t>5</w:t>
            </w: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303</w:t>
            </w:r>
          </w:p>
        </w:tc>
        <w:tc>
          <w:tcPr>
            <w:tcW w:w="577" w:type="dxa"/>
            <w:tcBorders>
              <w:top w:val="nil"/>
              <w:left w:val="nil"/>
              <w:bottom w:val="single" w:color="auto" w:sz="4" w:space="0"/>
              <w:right w:val="single" w:color="auto" w:sz="4" w:space="0"/>
            </w:tcBorders>
            <w:vAlign w:val="center"/>
          </w:tcPr>
          <w:p>
            <w:pPr>
              <w:widowControl/>
              <w:jc w:val="center"/>
              <w:rPr>
                <w:rStyle w:val="16"/>
                <w:rFonts w:hint="default" w:ascii="Times New Roman" w:hAnsi="Times New Roman" w:eastAsia="仿宋_GB2312" w:cs="Times New Roman"/>
              </w:rPr>
            </w:pPr>
            <w:r>
              <w:rPr>
                <w:rStyle w:val="16"/>
                <w:rFonts w:hint="default" w:ascii="Times New Roman" w:hAnsi="Times New Roman" w:eastAsia="仿宋_GB2312" w:cs="Times New Roman"/>
              </w:rPr>
              <w:t>02</w:t>
            </w: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sz w:val="18"/>
                <w:szCs w:val="32"/>
              </w:rPr>
            </w:pPr>
            <w:r>
              <w:rPr>
                <w:rStyle w:val="16"/>
                <w:rFonts w:hint="default" w:ascii="Times New Roman" w:hAnsi="Times New Roman" w:eastAsia="仿宋_GB2312" w:cs="Times New Roman"/>
              </w:rPr>
              <w:t>退休费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0.4</w:t>
            </w:r>
            <w:r>
              <w:rPr>
                <w:rFonts w:hint="default" w:ascii="Times New Roman" w:hAnsi="Times New Roman" w:eastAsia="仿宋_GB2312" w:cs="Times New Roman"/>
                <w:kern w:val="0"/>
                <w:sz w:val="20"/>
                <w:szCs w:val="20"/>
                <w:lang w:val="en-US" w:eastAsia="zh-CN"/>
              </w:rPr>
              <w:t>5</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0.4</w:t>
            </w:r>
            <w:r>
              <w:rPr>
                <w:rFonts w:hint="default" w:ascii="Times New Roman" w:hAnsi="Times New Roman" w:eastAsia="仿宋_GB2312" w:cs="Times New Roman"/>
                <w:kern w:val="0"/>
                <w:sz w:val="20"/>
                <w:szCs w:val="20"/>
                <w:lang w:val="en-US" w:eastAsia="zh-CN"/>
              </w:rPr>
              <w:t>5</w:t>
            </w: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Style w:val="16"/>
                <w:rFonts w:hint="default" w:ascii="Times New Roman" w:hAnsi="Times New Roman" w:eastAsia="仿宋_GB2312" w:cs="Times New Roman"/>
              </w:rPr>
            </w:pPr>
          </w:p>
        </w:tc>
        <w:tc>
          <w:tcPr>
            <w:tcW w:w="577" w:type="dxa"/>
            <w:tcBorders>
              <w:top w:val="nil"/>
              <w:left w:val="nil"/>
              <w:bottom w:val="single" w:color="auto" w:sz="4" w:space="0"/>
              <w:right w:val="single" w:color="auto" w:sz="4" w:space="0"/>
            </w:tcBorders>
            <w:vAlign w:val="center"/>
          </w:tcPr>
          <w:p>
            <w:pPr>
              <w:widowControl/>
              <w:jc w:val="left"/>
              <w:rPr>
                <w:rStyle w:val="16"/>
                <w:rFonts w:hint="default" w:ascii="Times New Roman" w:hAnsi="Times New Roman" w:eastAsia="仿宋_GB2312" w:cs="Times New Roman"/>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
                <w:bCs/>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12</w:t>
            </w:r>
            <w:r>
              <w:rPr>
                <w:rFonts w:hint="default" w:ascii="Times New Roman" w:hAnsi="Times New Roman" w:eastAsia="仿宋_GB2312" w:cs="Times New Roman"/>
                <w:kern w:val="0"/>
                <w:sz w:val="20"/>
                <w:szCs w:val="20"/>
                <w:lang w:val="en-US" w:eastAsia="zh-CN"/>
              </w:rPr>
              <w:t>2.61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116.40</w:t>
            </w:r>
          </w:p>
        </w:tc>
        <w:tc>
          <w:tcPr>
            <w:tcW w:w="170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6.21</w:t>
            </w:r>
          </w:p>
        </w:tc>
      </w:tr>
    </w:tbl>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autofit"/>
        <w:tblCellMar>
          <w:top w:w="0" w:type="dxa"/>
          <w:left w:w="108" w:type="dxa"/>
          <w:bottom w:w="0" w:type="dxa"/>
          <w:right w:w="108" w:type="dxa"/>
        </w:tblCellMar>
      </w:tblPr>
      <w:tblGrid>
        <w:gridCol w:w="9"/>
        <w:gridCol w:w="477"/>
        <w:gridCol w:w="417"/>
        <w:gridCol w:w="417"/>
        <w:gridCol w:w="797"/>
        <w:gridCol w:w="1329"/>
        <w:gridCol w:w="724"/>
        <w:gridCol w:w="110"/>
        <w:gridCol w:w="441"/>
        <w:gridCol w:w="616"/>
        <w:gridCol w:w="623"/>
        <w:gridCol w:w="623"/>
        <w:gridCol w:w="404"/>
        <w:gridCol w:w="214"/>
        <w:gridCol w:w="419"/>
        <w:gridCol w:w="618"/>
        <w:gridCol w:w="420"/>
        <w:gridCol w:w="420"/>
        <w:gridCol w:w="387"/>
        <w:gridCol w:w="75"/>
      </w:tblGrid>
      <w:tr>
        <w:tblPrEx>
          <w:tblCellMar>
            <w:top w:w="0" w:type="dxa"/>
            <w:left w:w="108" w:type="dxa"/>
            <w:bottom w:w="0" w:type="dxa"/>
            <w:right w:w="108" w:type="dxa"/>
          </w:tblCellMar>
        </w:tblPrEx>
        <w:trPr>
          <w:gridBefore w:val="1"/>
          <w:gridAfter w:val="1"/>
          <w:wBefore w:w="9" w:type="dxa"/>
          <w:wAfter w:w="75" w:type="dxa"/>
          <w:trHeight w:val="375" w:hRule="atLeast"/>
        </w:trPr>
        <w:tc>
          <w:tcPr>
            <w:tcW w:w="9456" w:type="dxa"/>
            <w:gridSpan w:val="1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9" w:type="dxa"/>
          <w:wAfter w:w="75" w:type="dxa"/>
          <w:trHeight w:val="405" w:hRule="atLeast"/>
        </w:trPr>
        <w:tc>
          <w:tcPr>
            <w:tcW w:w="4271"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kern w:val="0"/>
                <w:sz w:val="24"/>
                <w:lang w:eastAsia="zh-CN"/>
              </w:rPr>
              <w:t>焉耆回族自治县第五幼儿园</w:t>
            </w:r>
          </w:p>
        </w:tc>
        <w:tc>
          <w:tcPr>
            <w:tcW w:w="1057"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50"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8"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20"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79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329"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2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51"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61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2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2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2"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86"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797"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32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2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51"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2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2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2"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9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32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5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9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32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5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9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32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5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9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9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9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9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9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9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9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9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9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29"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2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p>
            <w:pPr>
              <w:widowControl/>
              <w:jc w:val="center"/>
              <w:outlineLvl w:val="1"/>
              <w:rPr>
                <w:rFonts w:hint="default" w:ascii="Times New Roman" w:hAnsi="Times New Roman" w:eastAsia="仿宋_GB2312" w:cs="Times New Roman"/>
                <w:color w:val="auto"/>
                <w:kern w:val="0"/>
                <w:szCs w:val="21"/>
                <w:highlight w:val="none"/>
              </w:rPr>
            </w:pPr>
          </w:p>
        </w:tc>
        <w:tc>
          <w:tcPr>
            <w:tcW w:w="55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pStyle w:val="3"/>
        <w:ind w:left="0" w:leftChars="0" w:firstLine="0" w:firstLineChars="0"/>
        <w:rPr>
          <w:rFonts w:hint="default" w:ascii="Times New Roman" w:hAnsi="Times New Roman" w:eastAsia="仿宋_GB2312" w:cs="Times New Roman"/>
          <w:b/>
          <w:bCs w:val="0"/>
          <w:color w:val="auto"/>
          <w:kern w:val="0"/>
          <w:sz w:val="28"/>
          <w:szCs w:val="32"/>
          <w:highlight w:val="none"/>
          <w:lang w:val="en-US" w:eastAsia="zh-CN" w:bidi="ar-SA"/>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bCs w:val="0"/>
          <w:color w:val="auto"/>
          <w:kern w:val="0"/>
          <w:sz w:val="28"/>
          <w:szCs w:val="32"/>
          <w:highlight w:val="none"/>
          <w:lang w:val="en-US" w:eastAsia="zh-CN" w:bidi="ar-SA"/>
        </w:rPr>
        <w:t>备注：</w:t>
      </w:r>
      <w:r>
        <w:rPr>
          <w:rFonts w:hint="eastAsia" w:ascii="Times New Roman" w:hAnsi="Times New Roman" w:eastAsia="仿宋_GB2312" w:cs="Times New Roman"/>
          <w:b/>
          <w:bCs w:val="0"/>
          <w:color w:val="auto"/>
          <w:kern w:val="0"/>
          <w:sz w:val="28"/>
          <w:szCs w:val="32"/>
          <w:highlight w:val="none"/>
          <w:lang w:val="en-US" w:eastAsia="zh-CN" w:bidi="ar-SA"/>
        </w:rPr>
        <w:t>2025年本单位无</w:t>
      </w:r>
      <w:r>
        <w:rPr>
          <w:rFonts w:hint="default" w:ascii="Times New Roman" w:hAnsi="Times New Roman" w:eastAsia="仿宋_GB2312" w:cs="Times New Roman"/>
          <w:b/>
          <w:bCs w:val="0"/>
          <w:color w:val="auto"/>
          <w:kern w:val="0"/>
          <w:sz w:val="28"/>
          <w:szCs w:val="32"/>
          <w:highlight w:val="none"/>
          <w:lang w:val="en-US" w:eastAsia="zh-CN" w:bidi="ar-SA"/>
        </w:rPr>
        <w:t>一般公共预算项目支出</w:t>
      </w:r>
      <w:r>
        <w:rPr>
          <w:rFonts w:hint="eastAsia" w:ascii="Times New Roman" w:hAnsi="Times New Roman" w:eastAsia="仿宋_GB2312" w:cs="Times New Roman"/>
          <w:b/>
          <w:bCs w:val="0"/>
          <w:color w:val="auto"/>
          <w:kern w:val="0"/>
          <w:sz w:val="28"/>
          <w:szCs w:val="32"/>
          <w:highlight w:val="none"/>
          <w:lang w:val="en-US" w:eastAsia="zh-CN" w:bidi="ar-SA"/>
        </w:rPr>
        <w:t>，</w:t>
      </w:r>
      <w:r>
        <w:rPr>
          <w:rFonts w:hint="eastAsia" w:ascii="仿宋_GB2312" w:hAnsi="仿宋_GB2312" w:eastAsia="仿宋_GB2312" w:cs="仿宋_GB2312"/>
          <w:b/>
          <w:bCs/>
          <w:sz w:val="28"/>
          <w:szCs w:val="28"/>
          <w:lang w:val="en-US" w:eastAsia="zh-CN"/>
        </w:rPr>
        <w:t>此表为空表。</w:t>
      </w:r>
    </w:p>
    <w:p>
      <w:pPr>
        <w:rPr>
          <w:rFonts w:hint="default"/>
          <w:lang w:val="en-US" w:eastAsia="zh-CN"/>
        </w:rPr>
      </w:pPr>
    </w:p>
    <w:p>
      <w:pPr>
        <w:pStyle w:val="3"/>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焉耆回族自治县第五幼儿园</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eastAsia" w:ascii="仿宋_GB2312" w:hAnsi="仿宋_GB2312" w:eastAsia="仿宋_GB2312" w:cs="仿宋_GB2312"/>
          <w:b/>
          <w:bCs/>
          <w:sz w:val="28"/>
          <w:szCs w:val="28"/>
          <w:lang w:val="en-US" w:eastAsia="zh-CN"/>
        </w:rPr>
        <w:t>2025年本单位无政府性基金预算支出，此表为空表。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焉耆回族自治县第五幼儿园</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spacing w:line="280" w:lineRule="exac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eastAsia" w:ascii="仿宋_GB2312" w:hAnsi="仿宋_GB2312" w:eastAsia="仿宋_GB2312" w:cs="仿宋_GB2312"/>
          <w:b/>
          <w:bCs w:val="0"/>
          <w:sz w:val="28"/>
          <w:szCs w:val="28"/>
          <w:lang w:val="en-US" w:eastAsia="zh-CN"/>
        </w:rPr>
        <w:t>2025年本单位无国有资本经营预算支出，此表为空表。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焉耆回族自治县第五幼儿园</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15"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widowControl/>
        <w:spacing w:line="280" w:lineRule="exact"/>
        <w:outlineLvl w:val="1"/>
        <w:rPr>
          <w:rFonts w:hint="default" w:ascii="仿宋_GB2312" w:hAnsi="宋体" w:eastAsia="仿宋_GB2312"/>
          <w:b/>
          <w:kern w:val="0"/>
          <w:sz w:val="28"/>
          <w:szCs w:val="32"/>
        </w:rPr>
      </w:pPr>
    </w:p>
    <w:p>
      <w:pPr>
        <w:widowControl/>
        <w:spacing w:line="280" w:lineRule="exact"/>
        <w:outlineLvl w:val="1"/>
        <w:rPr>
          <w:rFonts w:hint="eastAsia" w:ascii="仿宋_GB2312" w:hAnsi="宋体" w:eastAsia="仿宋_GB2312"/>
          <w:b/>
          <w:kern w:val="0"/>
          <w:sz w:val="28"/>
          <w:szCs w:val="32"/>
          <w:lang w:val="en-US" w:eastAsia="zh-CN"/>
        </w:rPr>
      </w:pPr>
      <w:r>
        <w:rPr>
          <w:rFonts w:hint="default" w:ascii="仿宋_GB2312" w:hAnsi="宋体" w:eastAsia="仿宋_GB2312"/>
          <w:b/>
          <w:kern w:val="0"/>
          <w:sz w:val="28"/>
          <w:szCs w:val="32"/>
        </w:rPr>
        <w:t>备注：</w:t>
      </w:r>
      <w:r>
        <w:rPr>
          <w:rFonts w:hint="eastAsia" w:ascii="仿宋_GB2312" w:hAnsi="宋体" w:eastAsia="仿宋_GB2312"/>
          <w:b/>
          <w:kern w:val="0"/>
          <w:sz w:val="28"/>
          <w:szCs w:val="32"/>
          <w:lang w:val="en-US" w:eastAsia="zh-CN"/>
        </w:rPr>
        <w:t>2025年本单位无财政拨款“三公”经费支出预算，此表为空表。</w:t>
      </w:r>
    </w:p>
    <w:p>
      <w:pPr>
        <w:widowControl/>
        <w:outlineLvl w:val="1"/>
        <w:rPr>
          <w:rFonts w:hint="default" w:ascii="Times New Roman" w:hAnsi="Times New Roman" w:eastAsia="仿宋_GB2312" w:cs="Times New Roman"/>
          <w:b/>
          <w:color w:val="auto"/>
          <w:kern w:val="0"/>
          <w:sz w:val="28"/>
          <w:szCs w:val="32"/>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spacing w:line="600" w:lineRule="exact"/>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焉耆回族自治县第五幼儿园</w:t>
      </w:r>
      <w:r>
        <w:rPr>
          <w:rFonts w:hint="default" w:ascii="Times New Roman" w:hAnsi="Times New Roman" w:eastAsia="仿宋_GB2312" w:cs="Times New Roman"/>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eastAsia" w:ascii="仿宋_GB2312" w:hAnsi="仿宋_GB2312" w:eastAsia="仿宋_GB2312" w:cs="仿宋_GB2312"/>
          <w:b/>
          <w:bCs w:val="0"/>
          <w:sz w:val="28"/>
          <w:szCs w:val="28"/>
          <w:lang w:val="en-US" w:eastAsia="zh-CN"/>
        </w:rPr>
        <w:t>2025年本单位无</w:t>
      </w: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仿宋_GB2312" w:eastAsia="仿宋_GB2312" w:cs="仿宋_GB2312"/>
          <w:b/>
          <w:bCs w:val="0"/>
          <w:sz w:val="28"/>
          <w:szCs w:val="28"/>
          <w:lang w:val="en-US" w:eastAsia="zh-CN"/>
        </w:rPr>
        <w:t>预算，此表为空表。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 xml:space="preserve">第三部分  </w:t>
      </w:r>
      <w:r>
        <w:rPr>
          <w:rFonts w:hint="default" w:ascii="Times New Roman" w:hAnsi="Times New Roman" w:eastAsia="黑体" w:cs="Times New Roman"/>
          <w:kern w:val="0"/>
          <w:sz w:val="32"/>
          <w:szCs w:val="32"/>
        </w:rPr>
        <w:t>202</w:t>
      </w:r>
      <w:r>
        <w:rPr>
          <w:rFonts w:hint="default" w:ascii="Times New Roman" w:hAnsi="Times New Roman" w:eastAsia="黑体" w:cs="Times New Roman"/>
          <w:kern w:val="0"/>
          <w:sz w:val="32"/>
          <w:szCs w:val="32"/>
          <w:lang w:val="en-US" w:eastAsia="zh-CN"/>
        </w:rPr>
        <w:t>5</w:t>
      </w:r>
      <w:r>
        <w:rPr>
          <w:rFonts w:hint="default" w:ascii="Times New Roman" w:hAnsi="Times New Roman" w:eastAsia="黑体" w:cs="Times New Roman"/>
          <w:kern w:val="0"/>
          <w:sz w:val="32"/>
          <w:szCs w:val="32"/>
        </w:rPr>
        <w:t>年</w:t>
      </w:r>
      <w:r>
        <w:rPr>
          <w:rFonts w:hint="eastAsia" w:eastAsia="黑体" w:cs="Times New Roman"/>
          <w:kern w:val="0"/>
          <w:sz w:val="32"/>
          <w:szCs w:val="32"/>
          <w:lang w:eastAsia="zh-CN"/>
        </w:rPr>
        <w:t>单位</w:t>
      </w:r>
      <w:r>
        <w:rPr>
          <w:rFonts w:hint="default" w:ascii="Times New Roman" w:hAnsi="Times New Roman" w:eastAsia="黑体" w:cs="Times New Roman"/>
          <w:kern w:val="0"/>
          <w:sz w:val="32"/>
          <w:szCs w:val="32"/>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一、关于焉耆回族自治县第五幼儿园2025年收支预算情况的总体说明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按照全口径预算的原则，焉耆回族自治县第五幼儿园2025年所有收入和支出均纳入单位预算管理。收支总预算123.</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二、关于焉耆回族自治县第五幼儿园2025年收入预算情况说明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焉耆回族自治县第五幼儿园收入预算123.39万元，其中：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一般公共预算122.61万元，占99.37%，比上年预算减少</w:t>
      </w:r>
      <w:r>
        <w:rPr>
          <w:rFonts w:hint="eastAsia" w:eastAsia="仿宋_GB2312" w:cs="Times New Roman"/>
          <w:color w:val="auto"/>
          <w:kern w:val="0"/>
          <w:sz w:val="32"/>
          <w:szCs w:val="32"/>
          <w:highlight w:val="none"/>
          <w:lang w:val="en-US" w:eastAsia="zh-CN"/>
        </w:rPr>
        <w:t>6.74</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5.21</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人员减少，工资及社保支出减少。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 xml:space="preserve"> %，比上年预算减少</w:t>
      </w:r>
      <w:r>
        <w:rPr>
          <w:rFonts w:hint="eastAsia" w:eastAsia="仿宋_GB2312" w:cs="Times New Roman"/>
          <w:color w:val="auto"/>
          <w:kern w:val="0"/>
          <w:sz w:val="32"/>
          <w:szCs w:val="32"/>
          <w:highlight w:val="none"/>
          <w:lang w:val="en-US" w:eastAsia="zh-CN"/>
        </w:rPr>
        <w:t>21.31</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 xml:space="preserve">%，主要原因是本年度项目预算资金由主管部门负责填报，故项目支出减少。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color w:val="auto"/>
          <w:kern w:val="0"/>
          <w:sz w:val="32"/>
          <w:szCs w:val="32"/>
          <w:highlight w:val="none"/>
          <w:lang w:val="en-US" w:eastAsia="zh-CN"/>
        </w:rPr>
        <w:t>单位资金0.78万元，占0.63%，比上年预算数增加0.78万元，增长100%，主要原因是：2025年其他事业收入增加。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三、关于焉耆回族自治县第五幼儿园2025年支出预算情况说明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焉耆回族自治县第五幼儿园</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23.39</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12</w:t>
      </w:r>
      <w:r>
        <w:rPr>
          <w:rFonts w:hint="eastAsia" w:eastAsia="仿宋_GB2312" w:cs="Times New Roman"/>
          <w:color w:val="auto"/>
          <w:kern w:val="0"/>
          <w:sz w:val="32"/>
          <w:szCs w:val="32"/>
          <w:highlight w:val="none"/>
          <w:lang w:val="en-US" w:eastAsia="zh-CN"/>
        </w:rPr>
        <w:t>3.39</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%，比上年预算减少</w:t>
      </w:r>
      <w:r>
        <w:rPr>
          <w:rFonts w:hint="eastAsia" w:eastAsia="仿宋_GB2312" w:cs="Times New Roman"/>
          <w:color w:val="auto"/>
          <w:kern w:val="0"/>
          <w:sz w:val="32"/>
          <w:szCs w:val="32"/>
          <w:highlight w:val="none"/>
          <w:lang w:val="en-US" w:eastAsia="zh-CN"/>
        </w:rPr>
        <w:t>5.96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val="en-US" w:eastAsia="zh-CN"/>
        </w:rPr>
        <w:t>下降</w:t>
      </w:r>
      <w:r>
        <w:rPr>
          <w:rFonts w:hint="eastAsia" w:eastAsia="仿宋_GB2312" w:cs="Times New Roman"/>
          <w:color w:val="auto"/>
          <w:kern w:val="0"/>
          <w:sz w:val="32"/>
          <w:szCs w:val="32"/>
          <w:highlight w:val="none"/>
          <w:lang w:val="en-US" w:eastAsia="zh-CN"/>
        </w:rPr>
        <w:t>4.61</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kern w:val="0"/>
          <w:sz w:val="32"/>
          <w:szCs w:val="32"/>
          <w:highlight w:val="none"/>
        </w:rPr>
        <w:t>人员</w:t>
      </w:r>
      <w:r>
        <w:rPr>
          <w:rFonts w:hint="eastAsia" w:eastAsia="仿宋_GB2312" w:cs="Times New Roman"/>
          <w:kern w:val="0"/>
          <w:sz w:val="32"/>
          <w:szCs w:val="32"/>
          <w:highlight w:val="none"/>
          <w:lang w:eastAsia="zh-CN"/>
        </w:rPr>
        <w:t>减少</w:t>
      </w:r>
      <w:r>
        <w:rPr>
          <w:rFonts w:hint="default" w:ascii="Times New Roman" w:hAnsi="Times New Roman" w:eastAsia="仿宋_GB2312" w:cs="Times New Roman"/>
          <w:kern w:val="0"/>
          <w:sz w:val="32"/>
          <w:szCs w:val="32"/>
          <w:highlight w:val="none"/>
        </w:rPr>
        <w:t>，故基本工资</w:t>
      </w:r>
      <w:r>
        <w:rPr>
          <w:rFonts w:hint="eastAsia" w:eastAsia="仿宋_GB2312" w:cs="Times New Roman"/>
          <w:kern w:val="0"/>
          <w:sz w:val="32"/>
          <w:szCs w:val="32"/>
          <w:highlight w:val="none"/>
          <w:lang w:eastAsia="zh-CN"/>
        </w:rPr>
        <w:t>减少</w:t>
      </w:r>
      <w:r>
        <w:rPr>
          <w:rFonts w:hint="default" w:ascii="Times New Roman" w:hAnsi="Times New Roman" w:eastAsia="仿宋_GB2312" w:cs="Times New Roman"/>
          <w:kern w:val="0"/>
          <w:sz w:val="32"/>
          <w:szCs w:val="32"/>
          <w:highlight w:val="none"/>
        </w:rPr>
        <w:t>、社保和住房公积金</w:t>
      </w:r>
      <w:r>
        <w:rPr>
          <w:rFonts w:hint="eastAsia" w:eastAsia="仿宋_GB2312" w:cs="Times New Roman"/>
          <w:kern w:val="0"/>
          <w:sz w:val="32"/>
          <w:szCs w:val="32"/>
          <w:highlight w:val="none"/>
          <w:lang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eastAsia" w:eastAsia="仿宋_GB2312" w:cs="Times New Roman"/>
          <w:color w:val="auto"/>
          <w:kern w:val="0"/>
          <w:sz w:val="32"/>
          <w:szCs w:val="32"/>
          <w:highlight w:val="none"/>
          <w:lang w:val="en-US" w:eastAsia="zh-CN"/>
        </w:rPr>
        <w:t>21.31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 xml:space="preserve">本年度项目预算资金由主管部门负责填报，故项目支出减少。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四、关于焉耆回族自治县第五幼儿园2025年财政拨款收支预算情况的总体说明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2025年财政拨款收支总预算122.61万元。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收入预算包括：一般公共预算拨款122.61万元。</w:t>
      </w:r>
    </w:p>
    <w:p>
      <w:pPr>
        <w:widowControl/>
        <w:spacing w:line="560" w:lineRule="exact"/>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一般公共预算支出包括:教育支出</w:t>
      </w:r>
      <w:r>
        <w:rPr>
          <w:rFonts w:hint="eastAsia" w:eastAsia="仿宋_GB2312" w:cs="Times New Roman"/>
          <w:color w:val="auto"/>
          <w:kern w:val="0"/>
          <w:sz w:val="32"/>
          <w:szCs w:val="32"/>
          <w:highlight w:val="none"/>
          <w:lang w:val="en-US" w:eastAsia="zh-CN"/>
        </w:rPr>
        <w:t>122.61</w:t>
      </w:r>
      <w:r>
        <w:rPr>
          <w:rFonts w:hint="default" w:ascii="Times New Roman" w:hAnsi="Times New Roman" w:eastAsia="仿宋_GB2312" w:cs="Times New Roman"/>
          <w:color w:val="auto"/>
          <w:kern w:val="0"/>
          <w:sz w:val="32"/>
          <w:szCs w:val="32"/>
          <w:highlight w:val="none"/>
          <w:lang w:val="en-US" w:eastAsia="zh-CN"/>
        </w:rPr>
        <w:t>万元，</w:t>
      </w:r>
      <w:r>
        <w:rPr>
          <w:rStyle w:val="17"/>
          <w:rFonts w:hint="default" w:ascii="Times New Roman" w:hAnsi="Times New Roman" w:cs="Times New Roman"/>
          <w:szCs w:val="22"/>
        </w:rPr>
        <w:t>主要用于教职工工资福利支出、社保缴费、住房公积金、退休费、其他对个人和家庭的补助支出及公用经费支出。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五、关于焉耆回族自治县第五幼儿园2025年一般公共预算当年拨款情况说明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焉耆回族自治县第五幼儿园2025年一般公共预算拨款合计</w:t>
      </w:r>
      <w:r>
        <w:rPr>
          <w:rFonts w:hint="eastAsia" w:eastAsia="仿宋_GB2312" w:cs="Times New Roman"/>
          <w:color w:val="auto"/>
          <w:kern w:val="0"/>
          <w:sz w:val="32"/>
          <w:szCs w:val="32"/>
          <w:highlight w:val="none"/>
          <w:lang w:val="en-US" w:eastAsia="zh-CN"/>
        </w:rPr>
        <w:t>122.61</w:t>
      </w:r>
      <w:r>
        <w:rPr>
          <w:rFonts w:hint="default" w:ascii="Times New Roman" w:hAnsi="Times New Roman" w:eastAsia="仿宋_GB2312" w:cs="Times New Roman"/>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基本支出122.61万元，比上年预算减少6.74万元，下降5.21%，主要原因是：</w:t>
      </w:r>
      <w:r>
        <w:rPr>
          <w:rFonts w:hint="default" w:ascii="Times New Roman" w:hAnsi="Times New Roman" w:eastAsia="仿宋_GB2312" w:cs="Times New Roman"/>
          <w:kern w:val="0"/>
          <w:sz w:val="32"/>
          <w:szCs w:val="32"/>
          <w:highlight w:val="none"/>
        </w:rPr>
        <w:t>人员</w:t>
      </w:r>
      <w:r>
        <w:rPr>
          <w:rFonts w:hint="eastAsia" w:eastAsia="仿宋_GB2312" w:cs="Times New Roman"/>
          <w:kern w:val="0"/>
          <w:sz w:val="32"/>
          <w:szCs w:val="32"/>
          <w:highlight w:val="none"/>
          <w:lang w:eastAsia="zh-CN"/>
        </w:rPr>
        <w:t>减少，</w:t>
      </w:r>
      <w:r>
        <w:rPr>
          <w:rFonts w:hint="default" w:ascii="Times New Roman" w:hAnsi="Times New Roman" w:eastAsia="仿宋_GB2312" w:cs="Times New Roman"/>
          <w:kern w:val="0"/>
          <w:sz w:val="32"/>
          <w:szCs w:val="32"/>
          <w:highlight w:val="none"/>
        </w:rPr>
        <w:t>故基本工资</w:t>
      </w:r>
      <w:r>
        <w:rPr>
          <w:rFonts w:hint="eastAsia" w:eastAsia="仿宋_GB2312" w:cs="Times New Roman"/>
          <w:kern w:val="0"/>
          <w:sz w:val="32"/>
          <w:szCs w:val="32"/>
          <w:highlight w:val="none"/>
          <w:lang w:eastAsia="zh-CN"/>
        </w:rPr>
        <w:t>减少</w:t>
      </w:r>
      <w:r>
        <w:rPr>
          <w:rFonts w:hint="default" w:ascii="Times New Roman" w:hAnsi="Times New Roman" w:eastAsia="仿宋_GB2312" w:cs="Times New Roman"/>
          <w:kern w:val="0"/>
          <w:sz w:val="32"/>
          <w:szCs w:val="32"/>
          <w:highlight w:val="none"/>
        </w:rPr>
        <w:t>、社保和住房公积金</w:t>
      </w:r>
      <w:r>
        <w:rPr>
          <w:rFonts w:hint="eastAsia" w:eastAsia="仿宋_GB2312" w:cs="Times New Roman"/>
          <w:kern w:val="0"/>
          <w:sz w:val="32"/>
          <w:szCs w:val="32"/>
          <w:highlight w:val="none"/>
          <w:lang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万元，比上年预算减少</w:t>
      </w:r>
      <w:r>
        <w:rPr>
          <w:rFonts w:hint="eastAsia" w:eastAsia="仿宋_GB2312" w:cs="Times New Roman"/>
          <w:color w:val="auto"/>
          <w:kern w:val="0"/>
          <w:sz w:val="32"/>
          <w:szCs w:val="32"/>
          <w:highlight w:val="none"/>
          <w:lang w:val="en-US" w:eastAsia="zh-CN"/>
        </w:rPr>
        <w:t>21.31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kern w:val="0"/>
          <w:sz w:val="32"/>
          <w:szCs w:val="32"/>
        </w:rPr>
        <w:t>本年度项目预算资金由主管部门负责填报，故单位项目资金减少。</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教育支出（类）</w:t>
      </w:r>
      <w:r>
        <w:rPr>
          <w:rFonts w:hint="default" w:ascii="Times New Roman" w:hAnsi="Times New Roman" w:eastAsia="仿宋_GB2312" w:cs="Times New Roman"/>
          <w:color w:val="auto"/>
          <w:kern w:val="0"/>
          <w:sz w:val="32"/>
          <w:szCs w:val="32"/>
          <w:highlight w:val="none"/>
          <w:lang w:val="en-US" w:eastAsia="zh-CN"/>
        </w:rPr>
        <w:t>122.61</w:t>
      </w:r>
      <w:r>
        <w:rPr>
          <w:rFonts w:hint="default" w:ascii="Times New Roman" w:hAnsi="Times New Roman" w:eastAsia="仿宋_GB2312" w:cs="Times New Roman"/>
          <w:color w:val="auto"/>
          <w:sz w:val="32"/>
          <w:szCs w:val="32"/>
          <w:highlight w:val="none"/>
          <w:lang w:val="en-US" w:eastAsia="zh-CN"/>
        </w:rPr>
        <w:t>万元，占100%。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教育支出（类）普通教育（款）学前教育（项）:2025年预算数为122.61万元，比上年预算</w:t>
      </w:r>
      <w:r>
        <w:rPr>
          <w:rFonts w:hint="eastAsia" w:ascii="Times New Roman" w:hAnsi="Times New Roman" w:eastAsia="仿宋_GB2312" w:cs="Times New Roman"/>
          <w:color w:val="auto"/>
          <w:kern w:val="0"/>
          <w:sz w:val="32"/>
          <w:szCs w:val="32"/>
          <w:highlight w:val="none"/>
          <w:lang w:val="en-US" w:eastAsia="zh-CN"/>
        </w:rPr>
        <w:t>减少</w:t>
      </w:r>
      <w:r>
        <w:rPr>
          <w:rFonts w:hint="eastAsia" w:eastAsia="仿宋_GB2312" w:cs="Times New Roman"/>
          <w:color w:val="auto"/>
          <w:kern w:val="0"/>
          <w:sz w:val="32"/>
          <w:szCs w:val="32"/>
          <w:highlight w:val="none"/>
          <w:lang w:val="en-US" w:eastAsia="zh-CN"/>
        </w:rPr>
        <w:t>28.05</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下降18.</w:t>
      </w:r>
      <w:r>
        <w:rPr>
          <w:rFonts w:hint="eastAsia" w:eastAsia="仿宋_GB2312" w:cs="Times New Roman"/>
          <w:color w:val="auto"/>
          <w:kern w:val="0"/>
          <w:sz w:val="32"/>
          <w:szCs w:val="32"/>
          <w:highlight w:val="none"/>
          <w:lang w:val="en-US" w:eastAsia="zh-CN"/>
        </w:rPr>
        <w:t>62</w:t>
      </w:r>
      <w:r>
        <w:rPr>
          <w:rFonts w:hint="default" w:ascii="Times New Roman" w:hAnsi="Times New Roman" w:eastAsia="仿宋_GB2312" w:cs="Times New Roman"/>
          <w:color w:val="auto"/>
          <w:kern w:val="0"/>
          <w:sz w:val="32"/>
          <w:szCs w:val="32"/>
          <w:highlight w:val="none"/>
          <w:lang w:val="en-US" w:eastAsia="zh-CN"/>
        </w:rPr>
        <w:t xml:space="preserve"> %，主要原因是：</w:t>
      </w:r>
      <w:r>
        <w:rPr>
          <w:rFonts w:hint="default" w:ascii="Times New Roman" w:hAnsi="Times New Roman" w:eastAsia="仿宋_GB2312" w:cs="Times New Roman"/>
          <w:kern w:val="0"/>
          <w:sz w:val="32"/>
          <w:szCs w:val="32"/>
          <w:highlight w:val="none"/>
        </w:rPr>
        <w:t>人员</w:t>
      </w:r>
      <w:r>
        <w:rPr>
          <w:rFonts w:hint="eastAsia" w:eastAsia="仿宋_GB2312" w:cs="Times New Roman"/>
          <w:kern w:val="0"/>
          <w:sz w:val="32"/>
          <w:szCs w:val="32"/>
          <w:highlight w:val="none"/>
          <w:lang w:eastAsia="zh-CN"/>
        </w:rPr>
        <w:t>减少</w:t>
      </w:r>
      <w:r>
        <w:rPr>
          <w:rFonts w:hint="default" w:ascii="Times New Roman" w:hAnsi="Times New Roman" w:eastAsia="仿宋_GB2312" w:cs="Times New Roman"/>
          <w:kern w:val="0"/>
          <w:sz w:val="32"/>
          <w:szCs w:val="32"/>
          <w:highlight w:val="none"/>
        </w:rPr>
        <w:t>，故基本工资</w:t>
      </w:r>
      <w:r>
        <w:rPr>
          <w:rFonts w:hint="eastAsia" w:eastAsia="仿宋_GB2312" w:cs="Times New Roman"/>
          <w:kern w:val="0"/>
          <w:sz w:val="32"/>
          <w:szCs w:val="32"/>
          <w:highlight w:val="none"/>
          <w:lang w:eastAsia="zh-CN"/>
        </w:rPr>
        <w:t>减少</w:t>
      </w:r>
      <w:r>
        <w:rPr>
          <w:rFonts w:hint="default" w:ascii="Times New Roman" w:hAnsi="Times New Roman" w:eastAsia="仿宋_GB2312" w:cs="Times New Roman"/>
          <w:kern w:val="0"/>
          <w:sz w:val="32"/>
          <w:szCs w:val="32"/>
          <w:highlight w:val="none"/>
        </w:rPr>
        <w:t>、社保和住房公积金</w:t>
      </w:r>
      <w:r>
        <w:rPr>
          <w:rFonts w:hint="eastAsia" w:eastAsia="仿宋_GB2312" w:cs="Times New Roman"/>
          <w:kern w:val="0"/>
          <w:sz w:val="32"/>
          <w:szCs w:val="32"/>
          <w:highlight w:val="none"/>
          <w:lang w:eastAsia="zh-CN"/>
        </w:rPr>
        <w:t>减少</w:t>
      </w:r>
      <w:r>
        <w:rPr>
          <w:rFonts w:hint="default" w:ascii="Times New Roman" w:hAnsi="Times New Roman" w:eastAsia="仿宋_GB2312" w:cs="Times New Roman"/>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六、关于焉耆回族自治县第五幼儿园2025年一般公共预算基本支出情况说明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焉耆回族自治县第五幼儿园2025年一般公共预算基本支出122.61万元，其中：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w:t>
      </w:r>
      <w:r>
        <w:rPr>
          <w:rFonts w:hint="eastAsia" w:ascii="Times New Roman" w:hAnsi="Times New Roman" w:eastAsia="仿宋_GB2312" w:cs="Times New Roman"/>
          <w:color w:val="auto"/>
          <w:spacing w:val="-6"/>
          <w:kern w:val="0"/>
          <w:sz w:val="32"/>
          <w:szCs w:val="32"/>
          <w:highlight w:val="none"/>
          <w:lang w:val="en-US" w:eastAsia="zh-CN"/>
        </w:rPr>
        <w:t>116.40万元，主要</w:t>
      </w:r>
      <w:r>
        <w:rPr>
          <w:rFonts w:hint="default" w:ascii="Times New Roman" w:hAnsi="Times New Roman" w:eastAsia="仿宋_GB2312" w:cs="Times New Roman"/>
          <w:color w:val="auto"/>
          <w:spacing w:val="-6"/>
          <w:kern w:val="0"/>
          <w:sz w:val="32"/>
          <w:szCs w:val="32"/>
          <w:highlight w:val="none"/>
          <w:lang w:val="en-US" w:eastAsia="zh-CN"/>
        </w:rPr>
        <w:t>包括</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基本工资、津贴补贴、机关事业单位基本养老保险缴费、职业年金缴费、职工基本医疗保险缴费、其他社会保障缴费、住房公积金、退休费。</w:t>
      </w:r>
    </w:p>
    <w:p>
      <w:pPr>
        <w:spacing w:line="600" w:lineRule="exact"/>
        <w:ind w:firstLine="616"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w:t>
      </w:r>
      <w:r>
        <w:rPr>
          <w:rFonts w:hint="eastAsia" w:ascii="Times New Roman" w:hAnsi="Times New Roman" w:eastAsia="仿宋_GB2312" w:cs="Times New Roman"/>
          <w:color w:val="auto"/>
          <w:spacing w:val="-6"/>
          <w:kern w:val="0"/>
          <w:sz w:val="32"/>
          <w:szCs w:val="32"/>
          <w:highlight w:val="none"/>
          <w:lang w:val="en-US" w:eastAsia="zh-CN"/>
        </w:rPr>
        <w:t>6.21万元，主要</w:t>
      </w:r>
      <w:r>
        <w:rPr>
          <w:rFonts w:hint="default" w:ascii="Times New Roman" w:hAnsi="Times New Roman" w:eastAsia="仿宋_GB2312" w:cs="Times New Roman"/>
          <w:color w:val="auto"/>
          <w:spacing w:val="-6"/>
          <w:kern w:val="0"/>
          <w:sz w:val="32"/>
          <w:szCs w:val="32"/>
          <w:highlight w:val="none"/>
          <w:lang w:val="en-US" w:eastAsia="zh-CN"/>
        </w:rPr>
        <w:t>包括</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kern w:val="0"/>
          <w:sz w:val="32"/>
          <w:szCs w:val="32"/>
        </w:rPr>
        <w:t>取暖费、培训费、工会经费、福利费。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七、关于焉耆回族自治县第五幼儿园2025年一般公共预算项目支出情况说明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bCs/>
          <w:kern w:val="0"/>
          <w:sz w:val="32"/>
          <w:szCs w:val="32"/>
        </w:rPr>
      </w:pPr>
      <w:r>
        <w:rPr>
          <w:rFonts w:hint="default" w:ascii="Times New Roman" w:hAnsi="Times New Roman" w:eastAsia="仿宋_GB2312" w:cs="Times New Roman"/>
          <w:color w:val="auto"/>
          <w:kern w:val="0"/>
          <w:sz w:val="32"/>
          <w:szCs w:val="32"/>
          <w:highlight w:val="none"/>
          <w:lang w:val="en-US" w:eastAsia="zh-CN"/>
        </w:rPr>
        <w:t>焉耆回族自治县第五幼儿园2025年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八、关于焉耆回族自治县第五幼儿园2025年政府性基金预算支出情况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焉耆回族自治县第五幼儿园2025年没有使用政府性基金预算拨款安排的支出，政府性基金预算支出情况表为空表。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九、关于焉耆回族自治县第五幼儿园2025年国有资本经营预算拨款情况说明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焉耆回族自治县第五幼儿园202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十、关于焉耆回族自治县第五幼儿园2025年财政拨款“三公”经费预算情况说明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焉耆回族自治县第</w:t>
      </w:r>
      <w:r>
        <w:rPr>
          <w:rFonts w:hint="eastAsia" w:eastAsia="仿宋_GB2312" w:cs="Times New Roman"/>
          <w:color w:val="auto"/>
          <w:kern w:val="0"/>
          <w:sz w:val="32"/>
          <w:szCs w:val="32"/>
          <w:highlight w:val="none"/>
          <w:lang w:val="en-US" w:eastAsia="zh-CN"/>
        </w:rPr>
        <w:t>五</w:t>
      </w:r>
      <w:r>
        <w:rPr>
          <w:rFonts w:hint="eastAsia" w:ascii="Times New Roman" w:hAnsi="Times New Roman" w:eastAsia="仿宋_GB2312" w:cs="Times New Roman"/>
          <w:color w:val="auto"/>
          <w:kern w:val="0"/>
          <w:sz w:val="32"/>
          <w:szCs w:val="32"/>
          <w:highlight w:val="none"/>
          <w:lang w:val="en-US" w:eastAsia="zh-Hans"/>
        </w:rPr>
        <w:t>幼儿园2025年财政拨款</w:t>
      </w:r>
      <w:r>
        <w:rPr>
          <w:rFonts w:hint="eastAsia" w:ascii="Times New Roman" w:hAnsi="Times New Roman" w:eastAsia="仿宋_GB2312" w:cs="Times New Roman"/>
          <w:color w:val="auto"/>
          <w:kern w:val="0"/>
          <w:sz w:val="32"/>
          <w:szCs w:val="32"/>
          <w:highlight w:val="none"/>
          <w:lang w:val="en-US" w:eastAsia="zh-CN"/>
        </w:rPr>
        <w:t>“三公”经费数为</w:t>
      </w:r>
      <w:r>
        <w:rPr>
          <w:rFonts w:hint="default" w:ascii="Times New Roman" w:hAnsi="Times New Roman"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万元，其中：因公出国（境）费0万元，公务用车购置费0万元，公务用车运行费0万元，公务接待费0万元。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2025年</w:t>
      </w:r>
      <w:r>
        <w:rPr>
          <w:rFonts w:hint="eastAsia" w:ascii="Times New Roman" w:hAnsi="Times New Roman" w:eastAsia="仿宋_GB2312" w:cs="Times New Roman"/>
          <w:color w:val="auto"/>
          <w:kern w:val="0"/>
          <w:sz w:val="32"/>
          <w:szCs w:val="32"/>
          <w:highlight w:val="none"/>
          <w:lang w:val="en-US" w:eastAsia="zh-Hans"/>
        </w:rPr>
        <w:t>财政拨款</w:t>
      </w:r>
      <w:r>
        <w:rPr>
          <w:rFonts w:hint="eastAsia" w:ascii="Times New Roman" w:hAnsi="Times New Roman" w:eastAsia="仿宋_GB2312" w:cs="Times New Roman"/>
          <w:color w:val="auto"/>
          <w:kern w:val="0"/>
          <w:sz w:val="32"/>
          <w:szCs w:val="32"/>
          <w:highlight w:val="none"/>
          <w:lang w:val="en-US" w:eastAsia="zh-CN"/>
        </w:rPr>
        <w:t>“三公”经费比上年</w:t>
      </w:r>
      <w:r>
        <w:rPr>
          <w:rFonts w:hint="eastAsia" w:ascii="Times New Roman" w:hAnsi="Times New Roman" w:eastAsia="仿宋_GB2312" w:cs="Times New Roman"/>
          <w:color w:val="auto"/>
          <w:kern w:val="0"/>
          <w:sz w:val="32"/>
          <w:szCs w:val="32"/>
          <w:highlight w:val="none"/>
          <w:lang w:val="en-US" w:eastAsia="zh-Hans"/>
        </w:rPr>
        <w:t>预算</w:t>
      </w:r>
      <w:r>
        <w:rPr>
          <w:rFonts w:hint="eastAsia" w:ascii="Times New Roman" w:hAnsi="Times New Roman" w:eastAsia="仿宋_GB2312" w:cs="Times New Roman"/>
          <w:color w:val="auto"/>
          <w:kern w:val="0"/>
          <w:sz w:val="32"/>
          <w:szCs w:val="32"/>
          <w:highlight w:val="none"/>
          <w:lang w:val="en-US" w:eastAsia="zh-CN"/>
        </w:rPr>
        <w:t>增加0万元，增长0%，其中：因公出国（境）费增加0万元，增长0 %，主要原因是本年度未安排预算；公务用车购置费增加0万元，增长0 %，主要原因是本年度未安排预算；公务用车运行费增加0万元，增长0 %，主要原因是本年度未安排预算 ；公务接待费增加0万元，增长0 %，主要原因是本年度未安排预算。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焉耆回族自治县第五幼儿园2025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spacing w:line="600" w:lineRule="exact"/>
        <w:ind w:firstLine="640" w:firstLineChars="200"/>
        <w:rPr>
          <w:rFonts w:hint="default" w:ascii="Times New Roman" w:hAnsi="Times New Roman" w:cs="Times New Roman"/>
        </w:rPr>
      </w:pPr>
      <w:r>
        <w:rPr>
          <w:rFonts w:hint="eastAsia" w:eastAsia="仿宋_GB2312" w:cs="Times New Roman"/>
          <w:kern w:val="0"/>
          <w:sz w:val="32"/>
          <w:szCs w:val="32"/>
          <w:lang w:eastAsia="zh-CN"/>
        </w:rPr>
        <w:t>焉耆回族自治县第五幼儿园</w:t>
      </w:r>
      <w:r>
        <w:rPr>
          <w:rFonts w:hint="default" w:ascii="Times New Roman" w:hAnsi="Times New Roman" w:eastAsia="仿宋_GB2312" w:cs="Times New Roman"/>
          <w:kern w:val="0"/>
          <w:sz w:val="32"/>
          <w:szCs w:val="32"/>
        </w:rPr>
        <w:t>202</w:t>
      </w:r>
      <w:r>
        <w:rPr>
          <w:rFonts w:hint="eastAsia"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w:t>
      </w:r>
      <w:r>
        <w:rPr>
          <w:rFonts w:hint="eastAsia" w:eastAsia="仿宋_GB2312" w:cs="Times New Roman"/>
          <w:kern w:val="0"/>
          <w:sz w:val="32"/>
          <w:szCs w:val="32"/>
          <w:lang w:eastAsia="zh-CN"/>
        </w:rPr>
        <w:t>没有</w:t>
      </w:r>
      <w:r>
        <w:rPr>
          <w:rFonts w:hint="default" w:ascii="Times New Roman" w:hAnsi="Times New Roman" w:eastAsia="仿宋_GB2312" w:cs="Times New Roman"/>
          <w:kern w:val="0"/>
          <w:sz w:val="32"/>
          <w:szCs w:val="32"/>
        </w:rPr>
        <w:t>上年结转结余预算的支出，结转结余预算支出情况表为空表。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焉耆回族自治县第五幼儿园2025年的事业单位运行经费6.21万元，比上年预算增加</w:t>
      </w:r>
      <w:r>
        <w:rPr>
          <w:rFonts w:hint="eastAsia" w:ascii="Times New Roman" w:hAnsi="Times New Roman" w:eastAsia="仿宋_GB2312" w:cs="Times New Roman"/>
          <w:color w:val="auto"/>
          <w:kern w:val="0"/>
          <w:sz w:val="32"/>
          <w:szCs w:val="32"/>
          <w:highlight w:val="none"/>
          <w:lang w:val="en-US" w:eastAsia="zh-CN"/>
        </w:rPr>
        <w:t>0.49</w:t>
      </w:r>
      <w:r>
        <w:rPr>
          <w:rFonts w:hint="default" w:ascii="Times New Roman" w:hAnsi="Times New Roman" w:eastAsia="仿宋_GB2312" w:cs="Times New Roman"/>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8.57</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ascii="仿宋_GB2312" w:hAnsi="仿宋_GB2312" w:eastAsia="仿宋_GB2312" w:cs="仿宋_GB2312"/>
          <w:color w:val="auto"/>
          <w:kern w:val="0"/>
          <w:sz w:val="32"/>
          <w:szCs w:val="32"/>
          <w:highlight w:val="none"/>
          <w:lang w:val="en-US" w:eastAsia="zh-CN"/>
        </w:rPr>
        <w:t>取暖费收费标准变化，取暖费预算增加。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2025年，焉耆回族自治县第五幼儿园政府采购预算</w:t>
      </w:r>
      <w:r>
        <w:rPr>
          <w:rFonts w:hint="eastAsia" w:ascii="Times New Roman" w:hAnsi="Times New Roman" w:eastAsia="仿宋_GB2312" w:cs="Times New Roman"/>
          <w:color w:val="auto"/>
          <w:kern w:val="0"/>
          <w:sz w:val="32"/>
          <w:szCs w:val="32"/>
          <w:highlight w:val="none"/>
          <w:lang w:val="en-US" w:eastAsia="zh-CN"/>
        </w:rPr>
        <w:t>5.18</w:t>
      </w:r>
      <w:r>
        <w:rPr>
          <w:rFonts w:hint="default" w:ascii="Times New Roman" w:hAnsi="Times New Roman" w:eastAsia="仿宋_GB2312" w:cs="Times New Roman"/>
          <w:color w:val="auto"/>
          <w:kern w:val="0"/>
          <w:sz w:val="32"/>
          <w:szCs w:val="32"/>
          <w:highlight w:val="none"/>
          <w:lang w:val="en-US" w:eastAsia="zh-CN"/>
        </w:rPr>
        <w:t>万元，其中：政府采购货物预算</w:t>
      </w:r>
      <w:r>
        <w:rPr>
          <w:rFonts w:hint="eastAsia" w:ascii="Times New Roman" w:hAnsi="Times New Roman" w:eastAsia="仿宋_GB2312" w:cs="Times New Roman"/>
          <w:color w:val="auto"/>
          <w:kern w:val="0"/>
          <w:sz w:val="32"/>
          <w:szCs w:val="32"/>
          <w:highlight w:val="none"/>
          <w:lang w:val="en-US" w:eastAsia="zh-CN"/>
        </w:rPr>
        <w:t>5.18</w:t>
      </w:r>
      <w:r>
        <w:rPr>
          <w:rFonts w:hint="default" w:ascii="Times New Roman" w:hAnsi="Times New Roman" w:eastAsia="仿宋_GB2312" w:cs="Times New Roman"/>
          <w:color w:val="auto"/>
          <w:kern w:val="0"/>
          <w:sz w:val="32"/>
          <w:szCs w:val="32"/>
          <w:highlight w:val="none"/>
          <w:lang w:val="en-US" w:eastAsia="zh-CN"/>
        </w:rPr>
        <w:t>万元，政府采购工程预算</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万元，政府采购服务预算</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2025年，焉耆回族自治县第五幼儿园面向中小企业预留政府采购项目预算金额</w:t>
      </w:r>
      <w:r>
        <w:rPr>
          <w:rFonts w:hint="eastAsia" w:eastAsia="仿宋_GB2312" w:cs="Times New Roman"/>
          <w:color w:val="auto"/>
          <w:kern w:val="0"/>
          <w:sz w:val="32"/>
          <w:szCs w:val="32"/>
          <w:highlight w:val="none"/>
          <w:lang w:val="en-US" w:eastAsia="zh-CN"/>
        </w:rPr>
        <w:t>5.18</w:t>
      </w:r>
      <w:r>
        <w:rPr>
          <w:rFonts w:hint="default" w:ascii="Times New Roman" w:hAnsi="Times New Roman" w:eastAsia="仿宋_GB2312" w:cs="Times New Roman"/>
          <w:color w:val="auto"/>
          <w:kern w:val="0"/>
          <w:sz w:val="32"/>
          <w:szCs w:val="32"/>
          <w:highlight w:val="none"/>
          <w:lang w:val="en-US" w:eastAsia="zh-CN"/>
        </w:rPr>
        <w:t>万元，小微企业预留政府采购项目预算金额</w:t>
      </w:r>
      <w:r>
        <w:rPr>
          <w:rFonts w:hint="eastAsia" w:ascii="Times New Roman" w:hAnsi="Times New Roman" w:eastAsia="仿宋_GB2312" w:cs="Times New Roman"/>
          <w:color w:val="auto"/>
          <w:kern w:val="0"/>
          <w:sz w:val="32"/>
          <w:szCs w:val="32"/>
          <w:highlight w:val="none"/>
          <w:lang w:val="en-US" w:eastAsia="zh-CN"/>
        </w:rPr>
        <w:t>5.18</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截至2024年底，焉耆回族自治县第五幼儿园及下属各预算单位占用使用国有资产总体情况为：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w:t>
      </w:r>
      <w:r>
        <w:rPr>
          <w:rFonts w:hint="default" w:ascii="Times New Roman" w:hAnsi="Times New Roman" w:eastAsia="仿宋_GB2312" w:cs="Times New Roman"/>
          <w:kern w:val="0"/>
          <w:sz w:val="32"/>
          <w:szCs w:val="32"/>
        </w:rPr>
        <w:t>25.48</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w:t>
      </w:r>
      <w:r>
        <w:rPr>
          <w:rFonts w:hint="default" w:ascii="Times New Roman" w:hAnsi="Times New Roman" w:eastAsia="仿宋_GB2312" w:cs="Times New Roman"/>
          <w:kern w:val="0"/>
          <w:sz w:val="32"/>
          <w:szCs w:val="32"/>
        </w:rPr>
        <w:t>39.40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台</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单位价值100万元以上大型设备</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安排购置50万元以上大型设备</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台，单位价值100万元以上大型设备</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本单位</w:t>
      </w:r>
      <w:r>
        <w:rPr>
          <w:rFonts w:hint="eastAsia" w:ascii="Times New Roman" w:hAnsi="Times New Roman" w:eastAsia="仿宋_GB2312" w:cs="Times New Roman"/>
          <w:color w:val="auto"/>
          <w:kern w:val="0"/>
          <w:sz w:val="32"/>
          <w:szCs w:val="32"/>
          <w:highlight w:val="none"/>
        </w:rPr>
        <w:t>预算绩效管理</w:t>
      </w:r>
      <w:r>
        <w:rPr>
          <w:rFonts w:hint="eastAsia" w:ascii="Times New Roman" w:hAnsi="Times New Roman" w:eastAsia="仿宋_GB2312" w:cs="Times New Roman"/>
          <w:color w:val="auto"/>
          <w:kern w:val="0"/>
          <w:sz w:val="32"/>
          <w:szCs w:val="32"/>
          <w:highlight w:val="none"/>
          <w:lang w:val="en-US" w:eastAsia="zh-CN"/>
        </w:rPr>
        <w:t>整体预算绩效目标1个，涉及预算金额123.39万元；当年预算安排项目共0个，其中:</w:t>
      </w:r>
      <w:r>
        <w:rPr>
          <w:rFonts w:hint="eastAsia" w:ascii="Times New Roman" w:hAnsi="Times New Roman" w:eastAsia="仿宋_GB2312" w:cs="Times New Roman"/>
          <w:color w:val="auto"/>
          <w:kern w:val="0"/>
          <w:sz w:val="32"/>
          <w:szCs w:val="32"/>
          <w:highlight w:val="none"/>
          <w:lang w:val="en-US" w:eastAsia="zh-Hans"/>
        </w:rPr>
        <w:t>财政拨款</w:t>
      </w:r>
      <w:r>
        <w:rPr>
          <w:rFonts w:hint="eastAsia" w:ascii="Times New Roman" w:hAnsi="Times New Roman" w:eastAsia="仿宋_GB2312" w:cs="Times New Roman"/>
          <w:color w:val="auto"/>
          <w:kern w:val="0"/>
          <w:sz w:val="32"/>
          <w:szCs w:val="32"/>
          <w:highlight w:val="none"/>
        </w:rPr>
        <w:t>项目</w:t>
      </w:r>
      <w:r>
        <w:rPr>
          <w:rFonts w:hint="eastAsia" w:ascii="Times New Roman" w:hAnsi="Times New Roman" w:eastAsia="仿宋_GB2312" w:cs="Times New Roman"/>
          <w:color w:val="auto"/>
          <w:kern w:val="0"/>
          <w:sz w:val="32"/>
          <w:szCs w:val="32"/>
          <w:highlight w:val="none"/>
          <w:lang w:val="en-US" w:eastAsia="zh-CN"/>
        </w:rPr>
        <w:t>涉及预算金额0万元；</w:t>
      </w:r>
      <w:r>
        <w:rPr>
          <w:rFonts w:hint="eastAsia" w:ascii="Times New Roman" w:hAnsi="Times New Roman" w:eastAsia="仿宋_GB2312" w:cs="Times New Roman"/>
          <w:color w:val="auto"/>
          <w:kern w:val="0"/>
          <w:sz w:val="32"/>
          <w:szCs w:val="32"/>
          <w:highlight w:val="none"/>
          <w:lang w:val="en-US" w:eastAsia="zh-Hans"/>
        </w:rPr>
        <w:t>非财政拨款项目</w:t>
      </w:r>
      <w:r>
        <w:rPr>
          <w:rFonts w:hint="eastAsia" w:ascii="Times New Roman" w:hAnsi="Times New Roman" w:eastAsia="仿宋_GB2312" w:cs="Times New Roman"/>
          <w:color w:val="auto"/>
          <w:kern w:val="0"/>
          <w:sz w:val="32"/>
          <w:szCs w:val="32"/>
          <w:highlight w:val="none"/>
        </w:rPr>
        <w:t>涉及预算金额</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rPr>
        <w:t>万元。</w:t>
      </w:r>
      <w:r>
        <w:rPr>
          <w:rFonts w:hint="eastAsia" w:ascii="Times New Roman" w:hAnsi="Times New Roman" w:eastAsia="仿宋_GB2312" w:cs="Times New Roman"/>
          <w:color w:val="auto"/>
          <w:kern w:val="0"/>
          <w:sz w:val="32"/>
          <w:szCs w:val="32"/>
          <w:highlight w:val="none"/>
          <w:lang w:val="en-US" w:eastAsia="zh-CN"/>
        </w:rPr>
        <w:t>具体情况见下表</w:t>
      </w:r>
      <w:r>
        <w:rPr>
          <w:rFonts w:hint="eastAsia" w:ascii="Times New Roman" w:hAnsi="Times New Roman" w:eastAsia="仿宋_GB2312" w:cs="Times New Roman"/>
          <w:color w:val="auto"/>
          <w:kern w:val="0"/>
          <w:sz w:val="32"/>
          <w:szCs w:val="32"/>
          <w:highlight w:val="none"/>
        </w:rPr>
        <w:t>（按项目分别填报）</w:t>
      </w:r>
      <w:r>
        <w:rPr>
          <w:rFonts w:hint="eastAsia" w:ascii="Times New Roman" w:hAnsi="Times New Roman" w:eastAsia="仿宋_GB2312" w:cs="Times New Roman"/>
          <w:color w:val="auto"/>
          <w:kern w:val="0"/>
          <w:sz w:val="32"/>
          <w:szCs w:val="32"/>
          <w:highlight w:val="none"/>
          <w:lang w:val="en-US" w:eastAsia="zh-CN"/>
        </w:rPr>
        <w:t>：</w:t>
      </w:r>
    </w:p>
    <w:p>
      <w:pPr>
        <w:ind w:firstLine="640" w:firstLineChars="200"/>
        <w:rPr>
          <w:rFonts w:hint="default" w:ascii="Times New Roman" w:hAnsi="Times New Roman" w:eastAsia="仿宋_GB2312" w:cs="Times New Roman"/>
          <w:color w:val="auto"/>
          <w:kern w:val="0"/>
          <w:sz w:val="32"/>
          <w:szCs w:val="32"/>
          <w:highlight w:val="none"/>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tbl>
      <w:tblPr>
        <w:tblStyle w:val="10"/>
        <w:tblpPr w:leftFromText="180" w:rightFromText="180" w:vertAnchor="text" w:horzAnchor="page" w:tblpX="1727" w:tblpY="740"/>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956"/>
        <w:gridCol w:w="1360"/>
        <w:gridCol w:w="2107"/>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ind w:firstLine="3213" w:firstLineChars="1000"/>
              <w:jc w:val="both"/>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color w:val="000000"/>
                <w:sz w:val="20"/>
                <w:szCs w:val="20"/>
              </w:rPr>
              <w:t>焉耆</w:t>
            </w:r>
            <w:r>
              <w:rPr>
                <w:rFonts w:hint="eastAsia" w:cs="Times New Roman"/>
                <w:color w:val="000000"/>
                <w:sz w:val="20"/>
                <w:szCs w:val="20"/>
                <w:lang w:eastAsia="zh-CN"/>
              </w:rPr>
              <w:t>回族自治</w:t>
            </w:r>
            <w:r>
              <w:rPr>
                <w:rFonts w:hint="default" w:ascii="Times New Roman" w:hAnsi="Times New Roman" w:cs="Times New Roman"/>
                <w:color w:val="000000"/>
                <w:sz w:val="20"/>
                <w:szCs w:val="20"/>
              </w:rPr>
              <w:t>县第五幼儿园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331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宋体" w:cs="Times New Roman"/>
                <w:i w:val="0"/>
                <w:iCs w:val="0"/>
                <w:color w:val="000000"/>
                <w:sz w:val="20"/>
                <w:szCs w:val="20"/>
                <w:highlight w:val="none"/>
                <w:u w:val="none"/>
                <w:lang w:eastAsia="zh-CN"/>
              </w:rPr>
            </w:pPr>
            <w:r>
              <w:rPr>
                <w:rFonts w:hint="eastAsia" w:ascii="Times New Roman" w:hAnsi="Times New Roman" w:cs="Times New Roman"/>
                <w:i w:val="0"/>
                <w:iCs w:val="0"/>
                <w:color w:val="000000"/>
                <w:sz w:val="20"/>
                <w:szCs w:val="20"/>
                <w:highlight w:val="none"/>
                <w:u w:val="none"/>
                <w:lang w:eastAsia="zh-CN"/>
              </w:rPr>
              <w:t>孟雅</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19039822258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color w:val="000000"/>
                <w:sz w:val="20"/>
                <w:szCs w:val="20"/>
              </w:rPr>
              <w:t>全面贯彻执行党和国家的教育方针，按照保育与教育相结合的原则，遵循幼儿身心发展特点和规律，实施德、智、体、美、劳等全面发展的教育，促进幼儿身心和谐发展；为家长提供科学育儿宣传、指导；幼儿人数152人，适龄幼儿入学率98%，共有班级数量10个。制订并实施教育教学大纲、完成幼儿园“育人、服务”两大任务。落实立德树人根本任务，以年度工作思路和工作重点为抓手，以和谐、创新、发展为主题，以师资队伍建设与校园文化内涵建设为重点，创新思路，优化环境，打造特色，精心为教师搭建创新发展的平台、为幼儿创设安全舒适的成长环境，不断提升办园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33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5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33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s="Times New Roman"/>
                <w:i w:val="0"/>
                <w:iCs w:val="0"/>
                <w:color w:val="000000"/>
                <w:sz w:val="20"/>
                <w:szCs w:val="20"/>
                <w:highlight w:val="none"/>
                <w:u w:val="none"/>
                <w:lang w:val="en-US" w:eastAsia="zh-CN"/>
              </w:rPr>
            </w:pPr>
            <w:r>
              <w:rPr>
                <w:rFonts w:hint="eastAsia" w:cs="Times New Roman"/>
                <w:i w:val="0"/>
                <w:iCs w:val="0"/>
                <w:color w:val="000000"/>
                <w:kern w:val="0"/>
                <w:sz w:val="20"/>
                <w:szCs w:val="20"/>
                <w:highlight w:val="none"/>
                <w:u w:val="none"/>
                <w:lang w:val="en-US" w:eastAsia="zh-CN" w:bidi="ar"/>
              </w:rPr>
              <w:t>年度预算（万元）</w:t>
            </w:r>
          </w:p>
        </w:tc>
        <w:tc>
          <w:tcPr>
            <w:tcW w:w="353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123.39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上级安排</w:t>
            </w:r>
          </w:p>
        </w:tc>
        <w:tc>
          <w:tcPr>
            <w:tcW w:w="353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9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53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122.61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53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2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rPr>
              <w:t>履职效能</w:t>
            </w:r>
          </w:p>
        </w:tc>
        <w:tc>
          <w:tcPr>
            <w:tcW w:w="1367" w:type="dxa"/>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数量指标</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学前教育幼儿人数</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152</w:t>
            </w:r>
            <w:r>
              <w:rPr>
                <w:rFonts w:hint="default" w:ascii="Times New Roman" w:hAnsi="Times New Roman" w:cs="Times New Roman"/>
                <w:color w:val="000000"/>
                <w:sz w:val="20"/>
                <w:szCs w:val="20"/>
              </w:rPr>
              <w:t>人</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2"/>
                <w:sz w:val="20"/>
                <w:szCs w:val="20"/>
                <w:lang w:val="en-US" w:eastAsia="zh-CN" w:bidi="ar-SA"/>
              </w:rPr>
            </w:pPr>
          </w:p>
        </w:tc>
        <w:tc>
          <w:tcPr>
            <w:tcW w:w="1367"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color w:val="000000"/>
                <w:kern w:val="2"/>
                <w:sz w:val="20"/>
                <w:szCs w:val="20"/>
                <w:lang w:val="en-US" w:eastAsia="zh-CN" w:bidi="ar-SA"/>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学前教育适龄幼儿入学率</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val="en-US" w:eastAsia="zh-CN"/>
              </w:rPr>
            </w:pPr>
            <w:r>
              <w:rPr>
                <w:rFonts w:hint="eastAsia" w:cs="Times New Roman"/>
                <w:color w:val="000000"/>
                <w:sz w:val="20"/>
                <w:szCs w:val="20"/>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2"/>
                <w:sz w:val="20"/>
                <w:szCs w:val="20"/>
                <w:lang w:val="en-US" w:eastAsia="zh-CN" w:bidi="ar-SA"/>
              </w:rPr>
            </w:pPr>
          </w:p>
        </w:tc>
        <w:tc>
          <w:tcPr>
            <w:tcW w:w="1367"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color w:val="000000"/>
                <w:kern w:val="2"/>
                <w:sz w:val="20"/>
                <w:szCs w:val="20"/>
                <w:lang w:val="en-US" w:eastAsia="zh-CN" w:bidi="ar-SA"/>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免除学前教育幼儿保教费人数</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152人</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eastAsia" w:cs="Times New Roman"/>
                <w:color w:val="000000"/>
                <w:sz w:val="20"/>
                <w:szCs w:val="2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122"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2"/>
                <w:sz w:val="20"/>
                <w:szCs w:val="20"/>
                <w:lang w:val="en-US" w:eastAsia="zh-CN" w:bidi="ar-SA"/>
              </w:rPr>
            </w:pPr>
          </w:p>
        </w:tc>
        <w:tc>
          <w:tcPr>
            <w:tcW w:w="1367"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2"/>
                <w:sz w:val="20"/>
                <w:szCs w:val="20"/>
                <w:lang w:val="en-US" w:eastAsia="zh-CN" w:bidi="ar-SA"/>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幼儿园开班数量</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10个</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25</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黑体"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本单位无其他说明的事项</w:t>
      </w:r>
      <w:r>
        <w:rPr>
          <w:rFonts w:hint="eastAsia" w:ascii="Times New Roman" w:hAnsi="Times New Roman" w:eastAsia="仿宋_GB2312" w:cs="Times New Roman"/>
          <w:kern w:val="0"/>
          <w:sz w:val="32"/>
          <w:szCs w:val="32"/>
          <w:highlight w:val="none"/>
          <w:lang w:val="en-US" w:eastAsia="zh-CN"/>
        </w:rPr>
        <w:t>。</w:t>
      </w:r>
    </w:p>
    <w:p>
      <w:pPr>
        <w:rPr>
          <w:rFonts w:hint="default" w:ascii="Times New Roman" w:hAnsi="Times New Roman" w:eastAsia="黑体" w:cs="Times New Roman"/>
          <w:kern w:val="0"/>
          <w:sz w:val="32"/>
          <w:szCs w:val="32"/>
          <w:highlight w:val="none"/>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w:t>
      </w:r>
      <w:bookmarkStart w:id="0" w:name="_GoBack"/>
      <w:bookmarkEnd w:id="0"/>
      <w:r>
        <w:rPr>
          <w:rFonts w:hint="default" w:ascii="Times New Roman" w:hAnsi="Times New Roman" w:eastAsia="仿宋_GB2312" w:cs="Times New Roman"/>
          <w:color w:val="auto"/>
          <w:sz w:val="32"/>
          <w:szCs w:val="32"/>
          <w:highlight w:val="none"/>
        </w:rPr>
        <w:t>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焉耆回族自治县第五幼儿园</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00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rKDLnAQAA9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RNn5wjm1A68siaMX86JhA76s4qR&#10;+iSOhmFwcBrcPG0v90PV82P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fOsoMucBAAD0&#10;AwAADgAAAAAAAAABACAAAAAfAQAAZHJzL2Uyb0RvYy54bWxQSwUGAAAAAAYABgBZAQAAeA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000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SJMrnAQAA9AMAAA4AAABkcnMvZTJvRG9jLnhtbK1TTYvbMBC9F/of&#10;hO6NnVC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lnzrxw1PDnvqTfM9Jyl/3pIlZU9hQPMO2Q&#10;wiy21+DyP8lg/eDp9eap6hOTlFyuV+t1SXZLOps3hFO8fB4B01cVHMtBzYGaNngpLg+YxtK5JN/m&#10;w95YS3lRWf9HgjBzpsiMR445Sv2xn4gfQ3MluRDGOcAo94bufBCYDgKo8cSTnkZ6pEXb0NU8TBFn&#10;bYBf/8rneuoHnXLW0SDV3NO74cx+89SnPHNzAHNwnAPhJX1Y88TZOYI5tQOvrAnjl3MioYP+rGKk&#10;PomjYRgcnAY3T9vr/VD18l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BhIkyucBAAD0&#10;AwAADgAAAAAAAAABACAAAAAfAQAAZHJzL2Uyb0RvYy54bWxQSwUGAAAAAAYABgBZAQAAe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3E1B37"/>
    <w:rsid w:val="008E38CE"/>
    <w:rsid w:val="009C0E55"/>
    <w:rsid w:val="01410869"/>
    <w:rsid w:val="01F36CDB"/>
    <w:rsid w:val="0232091B"/>
    <w:rsid w:val="02601561"/>
    <w:rsid w:val="02746DAA"/>
    <w:rsid w:val="02C80F81"/>
    <w:rsid w:val="034629AC"/>
    <w:rsid w:val="03654056"/>
    <w:rsid w:val="038B38D0"/>
    <w:rsid w:val="03B3157B"/>
    <w:rsid w:val="043A12BD"/>
    <w:rsid w:val="05197A50"/>
    <w:rsid w:val="05BE0F24"/>
    <w:rsid w:val="05EC5B44"/>
    <w:rsid w:val="063C61D0"/>
    <w:rsid w:val="065E63EA"/>
    <w:rsid w:val="06765813"/>
    <w:rsid w:val="0697719C"/>
    <w:rsid w:val="07097B1B"/>
    <w:rsid w:val="07315372"/>
    <w:rsid w:val="078811F1"/>
    <w:rsid w:val="07CE6EE0"/>
    <w:rsid w:val="082D7079"/>
    <w:rsid w:val="092062DE"/>
    <w:rsid w:val="09A33FFD"/>
    <w:rsid w:val="09B900A6"/>
    <w:rsid w:val="0A1767D8"/>
    <w:rsid w:val="0AD2216C"/>
    <w:rsid w:val="0B9A5132"/>
    <w:rsid w:val="0C4E11DA"/>
    <w:rsid w:val="0C507E25"/>
    <w:rsid w:val="0C82078F"/>
    <w:rsid w:val="0CC329CF"/>
    <w:rsid w:val="0D2534DA"/>
    <w:rsid w:val="0D3A5F77"/>
    <w:rsid w:val="0E0E11D3"/>
    <w:rsid w:val="0E877776"/>
    <w:rsid w:val="0E974F03"/>
    <w:rsid w:val="0EDB706C"/>
    <w:rsid w:val="0F3F13A6"/>
    <w:rsid w:val="0FE21471"/>
    <w:rsid w:val="103841F2"/>
    <w:rsid w:val="1080152E"/>
    <w:rsid w:val="10C970A1"/>
    <w:rsid w:val="10DD746A"/>
    <w:rsid w:val="12F06AEA"/>
    <w:rsid w:val="12FE07F9"/>
    <w:rsid w:val="14BD6089"/>
    <w:rsid w:val="154F1811"/>
    <w:rsid w:val="155971F0"/>
    <w:rsid w:val="164775FF"/>
    <w:rsid w:val="170246FC"/>
    <w:rsid w:val="172671DB"/>
    <w:rsid w:val="18E54B54"/>
    <w:rsid w:val="19014D14"/>
    <w:rsid w:val="194C3981"/>
    <w:rsid w:val="19D22FFC"/>
    <w:rsid w:val="1A51783A"/>
    <w:rsid w:val="1C7B1297"/>
    <w:rsid w:val="1E7723FE"/>
    <w:rsid w:val="1E8F0EEF"/>
    <w:rsid w:val="1F0E0A1E"/>
    <w:rsid w:val="20BA2E11"/>
    <w:rsid w:val="20FE6D3D"/>
    <w:rsid w:val="222C6ADD"/>
    <w:rsid w:val="232A2D76"/>
    <w:rsid w:val="241C7836"/>
    <w:rsid w:val="24B13CB1"/>
    <w:rsid w:val="295818ED"/>
    <w:rsid w:val="298979E3"/>
    <w:rsid w:val="2A5A7008"/>
    <w:rsid w:val="2A6B6BBC"/>
    <w:rsid w:val="2B284734"/>
    <w:rsid w:val="2B57392D"/>
    <w:rsid w:val="2B6C37B3"/>
    <w:rsid w:val="2B843E6B"/>
    <w:rsid w:val="2C586551"/>
    <w:rsid w:val="2C9C2A21"/>
    <w:rsid w:val="2CC23B54"/>
    <w:rsid w:val="2D1F16CA"/>
    <w:rsid w:val="2EBF0514"/>
    <w:rsid w:val="2FD52DDE"/>
    <w:rsid w:val="30826DCC"/>
    <w:rsid w:val="30F43EA7"/>
    <w:rsid w:val="32046D5C"/>
    <w:rsid w:val="32AF0F78"/>
    <w:rsid w:val="343353CD"/>
    <w:rsid w:val="34375AA0"/>
    <w:rsid w:val="349B4CD7"/>
    <w:rsid w:val="35031205"/>
    <w:rsid w:val="350F63B1"/>
    <w:rsid w:val="35C955C7"/>
    <w:rsid w:val="363A1491"/>
    <w:rsid w:val="37EA70F4"/>
    <w:rsid w:val="385D55B0"/>
    <w:rsid w:val="389A584A"/>
    <w:rsid w:val="390A15ED"/>
    <w:rsid w:val="394F334E"/>
    <w:rsid w:val="39570A5F"/>
    <w:rsid w:val="39C2599E"/>
    <w:rsid w:val="3C06100B"/>
    <w:rsid w:val="3C68071F"/>
    <w:rsid w:val="3C694F1D"/>
    <w:rsid w:val="3CA81EA8"/>
    <w:rsid w:val="3CD43C0E"/>
    <w:rsid w:val="3DB2682D"/>
    <w:rsid w:val="3DDA5F31"/>
    <w:rsid w:val="3EA74DD6"/>
    <w:rsid w:val="3ED01C29"/>
    <w:rsid w:val="3F3B01CF"/>
    <w:rsid w:val="3F9324C4"/>
    <w:rsid w:val="3F9C3CB6"/>
    <w:rsid w:val="3FF90CF0"/>
    <w:rsid w:val="40B21594"/>
    <w:rsid w:val="410A1659"/>
    <w:rsid w:val="41800416"/>
    <w:rsid w:val="43C72A1A"/>
    <w:rsid w:val="44AC1BC2"/>
    <w:rsid w:val="44F1694A"/>
    <w:rsid w:val="46913FAC"/>
    <w:rsid w:val="469D771C"/>
    <w:rsid w:val="47356444"/>
    <w:rsid w:val="476E4B30"/>
    <w:rsid w:val="480E4559"/>
    <w:rsid w:val="4885037A"/>
    <w:rsid w:val="48D21B2F"/>
    <w:rsid w:val="48F05B7B"/>
    <w:rsid w:val="48FA2BA1"/>
    <w:rsid w:val="48FE11ED"/>
    <w:rsid w:val="4A0766F7"/>
    <w:rsid w:val="4A8A79A6"/>
    <w:rsid w:val="4B0D0B27"/>
    <w:rsid w:val="4B55078B"/>
    <w:rsid w:val="4B655B72"/>
    <w:rsid w:val="4B95426D"/>
    <w:rsid w:val="4B9D1CF4"/>
    <w:rsid w:val="4D0A7C11"/>
    <w:rsid w:val="4D6452FC"/>
    <w:rsid w:val="4E3B525A"/>
    <w:rsid w:val="4E63460D"/>
    <w:rsid w:val="4ECD753D"/>
    <w:rsid w:val="4F317C54"/>
    <w:rsid w:val="4F9C0FB5"/>
    <w:rsid w:val="504456E4"/>
    <w:rsid w:val="50716258"/>
    <w:rsid w:val="52602005"/>
    <w:rsid w:val="52697938"/>
    <w:rsid w:val="52802C8B"/>
    <w:rsid w:val="52A66531"/>
    <w:rsid w:val="53507E24"/>
    <w:rsid w:val="53FF2FD0"/>
    <w:rsid w:val="561D5EE9"/>
    <w:rsid w:val="56CA58C8"/>
    <w:rsid w:val="56E963D3"/>
    <w:rsid w:val="572A62AC"/>
    <w:rsid w:val="576435E2"/>
    <w:rsid w:val="582D2BC4"/>
    <w:rsid w:val="58684797"/>
    <w:rsid w:val="591F18E5"/>
    <w:rsid w:val="59B85AEA"/>
    <w:rsid w:val="5AFC2FA9"/>
    <w:rsid w:val="5C364BDE"/>
    <w:rsid w:val="5CE53541"/>
    <w:rsid w:val="5D5F5E18"/>
    <w:rsid w:val="5DA10F50"/>
    <w:rsid w:val="5DA978E2"/>
    <w:rsid w:val="5DFF0A4D"/>
    <w:rsid w:val="5E015DDD"/>
    <w:rsid w:val="5E025CC5"/>
    <w:rsid w:val="5F32025F"/>
    <w:rsid w:val="5FC559AE"/>
    <w:rsid w:val="5FD73203"/>
    <w:rsid w:val="600C5BB1"/>
    <w:rsid w:val="603B209A"/>
    <w:rsid w:val="61D22242"/>
    <w:rsid w:val="61D7032E"/>
    <w:rsid w:val="62213150"/>
    <w:rsid w:val="634319B1"/>
    <w:rsid w:val="640F24B6"/>
    <w:rsid w:val="653F19E5"/>
    <w:rsid w:val="674B4BC3"/>
    <w:rsid w:val="67B91226"/>
    <w:rsid w:val="68472D7B"/>
    <w:rsid w:val="6A087199"/>
    <w:rsid w:val="6A893194"/>
    <w:rsid w:val="6B0C16AE"/>
    <w:rsid w:val="6CD2625D"/>
    <w:rsid w:val="6D1C3661"/>
    <w:rsid w:val="6D25022C"/>
    <w:rsid w:val="6DB07D78"/>
    <w:rsid w:val="6E8E411E"/>
    <w:rsid w:val="6EB610D4"/>
    <w:rsid w:val="6ED36F78"/>
    <w:rsid w:val="70737ADF"/>
    <w:rsid w:val="71517687"/>
    <w:rsid w:val="7159175A"/>
    <w:rsid w:val="71B1011E"/>
    <w:rsid w:val="71CE70B2"/>
    <w:rsid w:val="725126B5"/>
    <w:rsid w:val="72716DF8"/>
    <w:rsid w:val="7396493B"/>
    <w:rsid w:val="73C5230A"/>
    <w:rsid w:val="74407A36"/>
    <w:rsid w:val="747703FE"/>
    <w:rsid w:val="74DA4B42"/>
    <w:rsid w:val="76C35480"/>
    <w:rsid w:val="7909715A"/>
    <w:rsid w:val="799A4AC1"/>
    <w:rsid w:val="79B56F86"/>
    <w:rsid w:val="7A025680"/>
    <w:rsid w:val="7AAE67B0"/>
    <w:rsid w:val="7B447FC8"/>
    <w:rsid w:val="7CC01379"/>
    <w:rsid w:val="7D3B02E3"/>
    <w:rsid w:val="7D8431FB"/>
    <w:rsid w:val="7E1D2265"/>
    <w:rsid w:val="7E490DBB"/>
    <w:rsid w:val="7EF625C9"/>
    <w:rsid w:val="7EFC0969"/>
    <w:rsid w:val="7F35022E"/>
    <w:rsid w:val="7F5D57F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表格文字"/>
    <w:basedOn w:val="12"/>
    <w:qFormat/>
    <w:uiPriority w:val="0"/>
    <w:rPr>
      <w:rFonts w:ascii="Calibri" w:hAnsi="Calibri" w:eastAsia="仿宋_GB2312"/>
      <w:sz w:val="18"/>
    </w:rPr>
  </w:style>
  <w:style w:type="character" w:customStyle="1" w:styleId="17">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ea9ed-6fc7-4819-b0bd-bdd88cd96929}">
  <ds:schemaRefs/>
</ds:datastoreItem>
</file>

<file path=customXml/itemProps3.xml><?xml version="1.0" encoding="utf-8"?>
<ds:datastoreItem xmlns:ds="http://schemas.openxmlformats.org/officeDocument/2006/customXml" ds:itemID="{645a32f7-85e7-427a-b2d5-cd6a6aabae80}">
  <ds:schemaRefs/>
</ds:datastoreItem>
</file>

<file path=customXml/itemProps4.xml><?xml version="1.0" encoding="utf-8"?>
<ds:datastoreItem xmlns:ds="http://schemas.openxmlformats.org/officeDocument/2006/customXml" ds:itemID="{a2008b5e-1ce2-4473-a8d6-0da6929e0235}">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2025-03-27T07:53:00Z</cp:lastPrinted>
  <dcterms:modified xsi:type="dcterms:W3CDTF">2025-04-23T05:05:24Z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AC198080ED744ACBAF5BCDAF8D8CE927</vt:lpwstr>
  </property>
</Properties>
</file>