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pPr>
      <w:r>
        <w:rPr>
          <w:rFonts w:hint="eastAsia" w:ascii="方正小标宋_GBK" w:hAnsi="宋体" w:eastAsia="方正小标宋_GBK"/>
          <w:kern w:val="0"/>
          <w:sz w:val="44"/>
          <w:szCs w:val="44"/>
        </w:rPr>
        <w:t>新疆维吾尔自治区巴音郭楞蒙古自治州</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焉耆回族自治县第二幼儿园</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2025年单位预算公开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sectPr>
          <w:footerReference r:id="rId3" w:type="default"/>
          <w:pgSz w:w="11906" w:h="16838"/>
          <w:pgMar w:top="2098" w:right="1418" w:bottom="1928" w:left="1588" w:header="851" w:footer="992" w:gutter="0"/>
          <w:pgNumType w:start="1"/>
          <w:cols w:space="720" w:num="1"/>
          <w:docGrid w:linePitch="312" w:charSpace="0"/>
        </w:sectPr>
      </w:pPr>
    </w:p>
    <w:p>
      <w:pPr>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ascii="仿宋_GB2312" w:hAnsi="仿宋_GB2312" w:eastAsia="仿宋_GB2312" w:cs="仿宋_GB2312"/>
          <w:b/>
          <w:kern w:val="0"/>
          <w:sz w:val="32"/>
          <w:szCs w:val="32"/>
        </w:rPr>
      </w:pP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2025年单位概况</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二、机构设置及人员情况</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2025年单位预算公开表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一、单位收支总体情况表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二、单位收入总体情况表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三、单位支出总体情况表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七、一般公共预算项目支出情况表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十、财政拨款“三公”经费支出情况表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十一、上年结转结余情况明细表</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2025年单位预算情况说明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一、关于焉耆回族自治县第二幼儿园2025年收支预算情况的总体说明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二、关于焉耆回族自治县第二幼儿园2025年收入预算情况说明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三、关于焉耆回族自治县第二幼儿园2025年支出预算情况说明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四、关于焉耆回族自治县第二幼儿园2025年财政拨款收支预算情况的总体说明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五、关于焉耆回族自治县第二幼儿园2025年一般公共预算当年拨款情况说明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六、关于焉耆回族自治县第二幼儿园2025年一般公共预算基本支出情况说明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七、关于焉耆回族自治县第二幼儿园2025年一般公共预算项目支出情况说明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八、关于焉耆回族自治县第二幼儿园2025年政府性基金预算拨款情况说明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九、关于焉耆回族自治县第二幼儿园2025年国有资本经营预算拨款情况说明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十、关于焉耆回族自治县第二幼儿园2025年财政拨款“三公”经费预算情况说明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十一、关于焉耆回族自治县第二幼儿园2025年上年结转结余预算情况说明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十二、其他重要事项的情况说明</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rPr>
          <w:rFonts w:ascii="仿宋_GB2312" w:hAnsi="仿宋_GB2312" w:eastAsia="仿宋_GB2312" w:cs="仿宋_GB2312"/>
          <w:b/>
          <w:kern w:val="0"/>
          <w:sz w:val="32"/>
          <w:szCs w:val="32"/>
        </w:rPr>
      </w:pPr>
      <w:r>
        <w:br w:type="page"/>
      </w: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2025年单位概况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1.我单位认真贯彻执行党和国家有关幼儿教育的方针、政策以 及教育法规、规章，坚持正确的办园方向。执行上级的指示和决议;贯彻执行《幼儿教育纲要》和《幼儿园工作规程》，深化改革,强化管理，使各项工作程序化，规范化,制度化，不断提高保教水平。 </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2.制定并严格执行幼儿园安全、卫生、保健制度，培养幼儿良 好的习惯，预防安全事故发生。 </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3.观察、分析并记录幼儿发展情况，关注幼儿的兴趣和需要及 个体差异。从实际出发，实施素质教育,为幼儿发展打下良好基础。 </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4.培育健康活泼、独立自信、探究合作、习惯良好、具有爱心 的幼儿，张扬孩子的个性，促进每个孩子全面和谐发展。 </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5.与时俱进，勤于学习，善于学习，树立现代教育理念，不断 学习和汲取新信息、新知识,不断创新教育方法，积极参与教研活动,促进教师自我发展。 </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6.创设与保教要求相适应的环境，科学合理地安排幼儿一日活 动，保证幼儿充足的游戏活动、户外活动、自主活动时间。 </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7.与家长经常保持联系,了解幼儿家庭教育情况，商讨符合幼儿 特点的教育措施，协同完成教育任务。</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lang w:eastAsia="zh-CN"/>
        </w:rPr>
        <w:t>焉耆回族自治县第二幼儿园</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6</w:t>
      </w:r>
      <w:r>
        <w:rPr>
          <w:rFonts w:hint="eastAsia" w:ascii="仿宋_GB2312" w:hAnsi="黑体" w:eastAsia="仿宋_GB2312" w:cs="宋体"/>
          <w:bCs/>
          <w:kern w:val="0"/>
          <w:sz w:val="32"/>
          <w:szCs w:val="32"/>
        </w:rPr>
        <w:t>个处室，分别是：园长室、副园长室、保教室、党政办、财务室、后勤办。</w:t>
      </w:r>
    </w:p>
    <w:p>
      <w:pPr>
        <w:widowControl/>
        <w:spacing w:line="54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lang w:eastAsia="zh-CN"/>
        </w:rPr>
        <w:t>焉耆回族自治县第二幼儿园</w:t>
      </w:r>
      <w:r>
        <w:rPr>
          <w:rFonts w:hint="eastAsia" w:ascii="仿宋_GB2312" w:hAnsi="黑体" w:eastAsia="仿宋_GB2312" w:cs="宋体"/>
          <w:bCs/>
          <w:kern w:val="0"/>
          <w:sz w:val="32"/>
          <w:szCs w:val="32"/>
        </w:rPr>
        <w:t>编制数21，实有人数42人，其中：在职24人，减少2人；退休18人，减少1人；离休0人，增加0人。</w:t>
      </w:r>
    </w:p>
    <w:p>
      <w:pPr>
        <w:widowControl/>
        <w:spacing w:line="440" w:lineRule="exact"/>
        <w:jc w:val="center"/>
        <w:outlineLvl w:val="1"/>
        <w:rPr>
          <w:rFonts w:hint="default" w:ascii="Times New Roman" w:hAnsi="Times New Roman" w:eastAsia="黑体" w:cs="Times New Roman"/>
          <w:kern w:val="0"/>
          <w:sz w:val="32"/>
          <w:szCs w:val="32"/>
        </w:rPr>
      </w:pPr>
      <w:r>
        <w:br w:type="page"/>
      </w:r>
      <w:r>
        <w:rPr>
          <w:rFonts w:hint="default" w:ascii="Times New Roman" w:hAnsi="Times New Roman" w:eastAsia="黑体" w:cs="Times New Roman"/>
          <w:kern w:val="0"/>
          <w:sz w:val="32"/>
          <w:szCs w:val="32"/>
        </w:rPr>
        <w:t>第二部分 2025年单位预算公开表</w:t>
      </w:r>
    </w:p>
    <w:p>
      <w:pPr>
        <w:widowControl/>
        <w:spacing w:line="240" w:lineRule="exact"/>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表1</w:t>
      </w:r>
    </w:p>
    <w:p>
      <w:pPr>
        <w:widowControl/>
        <w:spacing w:line="36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单位收支总体情况表</w:t>
      </w:r>
    </w:p>
    <w:p>
      <w:pPr>
        <w:widowControl/>
        <w:spacing w:line="280" w:lineRule="exact"/>
        <w:jc w:val="center"/>
        <w:outlineLvl w:val="1"/>
        <w:rPr>
          <w:rFonts w:hint="default" w:ascii="Times New Roman" w:hAnsi="Times New Roman" w:eastAsia="仿宋_GB2312" w:cs="Times New Roman"/>
          <w:b/>
          <w:kern w:val="0"/>
          <w:sz w:val="32"/>
          <w:szCs w:val="32"/>
        </w:rPr>
      </w:pPr>
    </w:p>
    <w:p>
      <w:pPr>
        <w:widowControl/>
        <w:spacing w:line="280" w:lineRule="exac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编制单位：焉耆回族自治县第二幼儿园                      单位：万元</w:t>
      </w:r>
    </w:p>
    <w:tbl>
      <w:tblPr>
        <w:tblStyle w:val="10"/>
        <w:tblW w:w="8662" w:type="dxa"/>
        <w:tblInd w:w="93" w:type="dxa"/>
        <w:tblLayout w:type="fixed"/>
        <w:tblCellMar>
          <w:top w:w="0" w:type="dxa"/>
          <w:left w:w="108" w:type="dxa"/>
          <w:bottom w:w="0" w:type="dxa"/>
          <w:right w:w="108" w:type="dxa"/>
        </w:tblCellMar>
      </w:tblPr>
      <w:tblGrid>
        <w:gridCol w:w="2800"/>
        <w:gridCol w:w="1276"/>
        <w:gridCol w:w="2885"/>
        <w:gridCol w:w="1701"/>
      </w:tblGrid>
      <w:tr>
        <w:tblPrEx>
          <w:tblCellMar>
            <w:top w:w="0" w:type="dxa"/>
            <w:left w:w="108" w:type="dxa"/>
            <w:bottom w:w="0" w:type="dxa"/>
            <w:right w:w="108" w:type="dxa"/>
          </w:tblCellMar>
        </w:tblPrEx>
        <w:trPr>
          <w:trHeight w:val="360" w:hRule="atLeast"/>
        </w:trPr>
        <w:tc>
          <w:tcPr>
            <w:tcW w:w="4076"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收     入</w:t>
            </w:r>
          </w:p>
        </w:tc>
        <w:tc>
          <w:tcPr>
            <w:tcW w:w="4586"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     出</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b/>
                <w:kern w:val="0"/>
                <w:sz w:val="20"/>
                <w:szCs w:val="20"/>
              </w:rPr>
              <w:t>项     目</w:t>
            </w:r>
          </w:p>
        </w:tc>
        <w:tc>
          <w:tcPr>
            <w:tcW w:w="127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预算数</w:t>
            </w:r>
          </w:p>
        </w:tc>
        <w:tc>
          <w:tcPr>
            <w:tcW w:w="288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预算数</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一、本年收入</w:t>
            </w:r>
          </w:p>
        </w:tc>
        <w:tc>
          <w:tcPr>
            <w:tcW w:w="12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368.66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1.一般公共预算拨款</w:t>
            </w:r>
          </w:p>
        </w:tc>
        <w:tc>
          <w:tcPr>
            <w:tcW w:w="12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其中：一般财力</w:t>
            </w:r>
          </w:p>
        </w:tc>
        <w:tc>
          <w:tcPr>
            <w:tcW w:w="12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75"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上级一般公共预算安排转移支付</w:t>
            </w:r>
          </w:p>
        </w:tc>
        <w:tc>
          <w:tcPr>
            <w:tcW w:w="12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2.政府性基金预算拨款</w:t>
            </w:r>
            <w:r>
              <w:rPr>
                <w:rFonts w:hint="default" w:ascii="Times New Roman" w:hAnsi="Times New Roman" w:eastAsia="仿宋_GB2312" w:cs="Times New Roman"/>
                <w:kern w:val="0"/>
                <w:sz w:val="18"/>
                <w:szCs w:val="18"/>
              </w:rPr>
              <w:tab/>
            </w:r>
          </w:p>
        </w:tc>
        <w:tc>
          <w:tcPr>
            <w:tcW w:w="12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368.66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其中：政府性基金收入</w:t>
            </w:r>
          </w:p>
        </w:tc>
        <w:tc>
          <w:tcPr>
            <w:tcW w:w="12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上级政府性基金安排转移支付</w:t>
            </w:r>
          </w:p>
        </w:tc>
        <w:tc>
          <w:tcPr>
            <w:tcW w:w="127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3.国有资本经营预算拨款</w:t>
            </w:r>
          </w:p>
        </w:tc>
        <w:tc>
          <w:tcPr>
            <w:tcW w:w="12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5"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其中：国有资本经营收入</w:t>
            </w:r>
          </w:p>
        </w:tc>
        <w:tc>
          <w:tcPr>
            <w:tcW w:w="1276"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97"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上级国有资本经营预算安排转移支付</w:t>
            </w:r>
          </w:p>
        </w:tc>
        <w:tc>
          <w:tcPr>
            <w:tcW w:w="1276"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 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4.财政专户核拨</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5.单位资金</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1.42</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其中：事业收入</w:t>
            </w:r>
          </w:p>
        </w:tc>
        <w:tc>
          <w:tcPr>
            <w:tcW w:w="12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上级补助收入</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附属单位上缴收入</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280"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事业单位经营收入</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其他收入</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1.42</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二、上年结转结余</w:t>
            </w:r>
          </w:p>
        </w:tc>
        <w:tc>
          <w:tcPr>
            <w:tcW w:w="127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1.财政拨款结转</w:t>
            </w:r>
          </w:p>
        </w:tc>
        <w:tc>
          <w:tcPr>
            <w:tcW w:w="127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其中：一般公共预算拨款</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政府性基金预算拨款</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国有资本经营预算拨款</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2.非财政拨款结余</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 灾害防治及应急管理支出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其中：财政专户核拨</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单位资金</w:t>
            </w:r>
          </w:p>
        </w:tc>
        <w:tc>
          <w:tcPr>
            <w:tcW w:w="1276"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96"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127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5"/>
                <w:szCs w:val="15"/>
              </w:rPr>
            </w:pPr>
            <w:r>
              <w:rPr>
                <w:rFonts w:hint="default" w:ascii="Times New Roman" w:hAnsi="Times New Roman" w:eastAsia="仿宋_GB2312" w:cs="Times New Roman"/>
                <w:kern w:val="0"/>
                <w:sz w:val="18"/>
                <w:szCs w:val="18"/>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27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27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27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85"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27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2800"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127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885"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default" w:ascii="Times New Roman" w:hAnsi="Times New Roman" w:eastAsia="仿宋_GB2312" w:cs="Times New Roman"/>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65" w:hRule="atLeast"/>
        </w:trPr>
        <w:tc>
          <w:tcPr>
            <w:tcW w:w="2800" w:type="dxa"/>
            <w:tcBorders>
              <w:top w:val="nil"/>
              <w:left w:val="single" w:color="auto" w:sz="4" w:space="0"/>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收  入  总  计</w:t>
            </w:r>
          </w:p>
        </w:tc>
        <w:tc>
          <w:tcPr>
            <w:tcW w:w="1276"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18"/>
                <w:szCs w:val="18"/>
              </w:rPr>
              <w:t>368.66</w:t>
            </w:r>
          </w:p>
        </w:tc>
        <w:tc>
          <w:tcPr>
            <w:tcW w:w="2885" w:type="dxa"/>
            <w:tcBorders>
              <w:top w:val="nil"/>
              <w:left w:val="nil"/>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368.66　</w:t>
            </w: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表2</w:t>
      </w:r>
    </w:p>
    <w:p>
      <w:pPr>
        <w:widowControl/>
        <w:spacing w:line="44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单位收入总体情况表</w:t>
      </w:r>
    </w:p>
    <w:p>
      <w:pPr>
        <w:widowControl/>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编制单位：焉耆回族自治县第二幼儿园                        单位：万元</w:t>
      </w:r>
    </w:p>
    <w:tbl>
      <w:tblPr>
        <w:tblStyle w:val="10"/>
        <w:tblW w:w="9660" w:type="dxa"/>
        <w:tblInd w:w="-450" w:type="dxa"/>
        <w:tblLayout w:type="fixed"/>
        <w:tblCellMar>
          <w:top w:w="0" w:type="dxa"/>
          <w:left w:w="108" w:type="dxa"/>
          <w:bottom w:w="0" w:type="dxa"/>
          <w:right w:w="108" w:type="dxa"/>
        </w:tblCellMar>
      </w:tblPr>
      <w:tblGrid>
        <w:gridCol w:w="594"/>
        <w:gridCol w:w="420"/>
        <w:gridCol w:w="434"/>
        <w:gridCol w:w="653"/>
        <w:gridCol w:w="847"/>
        <w:gridCol w:w="829"/>
        <w:gridCol w:w="903"/>
        <w:gridCol w:w="747"/>
        <w:gridCol w:w="413"/>
        <w:gridCol w:w="667"/>
        <w:gridCol w:w="440"/>
        <w:gridCol w:w="653"/>
        <w:gridCol w:w="560"/>
        <w:gridCol w:w="630"/>
        <w:gridCol w:w="363"/>
        <w:gridCol w:w="507"/>
      </w:tblGrid>
      <w:tr>
        <w:tblPrEx>
          <w:tblCellMar>
            <w:top w:w="0" w:type="dxa"/>
            <w:left w:w="108" w:type="dxa"/>
            <w:bottom w:w="0" w:type="dxa"/>
            <w:right w:w="108" w:type="dxa"/>
          </w:tblCellMar>
        </w:tblPrEx>
        <w:trPr>
          <w:trHeight w:val="697" w:hRule="atLeast"/>
        </w:trPr>
        <w:tc>
          <w:tcPr>
            <w:tcW w:w="14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4"/>
              </w:rPr>
              <w:t>功能分类科目编码</w:t>
            </w:r>
          </w:p>
        </w:tc>
        <w:tc>
          <w:tcPr>
            <w:tcW w:w="65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功能分类科目名称</w:t>
            </w:r>
          </w:p>
        </w:tc>
        <w:tc>
          <w:tcPr>
            <w:tcW w:w="84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总  计</w:t>
            </w:r>
          </w:p>
        </w:tc>
        <w:tc>
          <w:tcPr>
            <w:tcW w:w="4652"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4"/>
              </w:rPr>
              <w:t>财  政  拨  款  (  补  助  )</w:t>
            </w:r>
          </w:p>
        </w:tc>
        <w:tc>
          <w:tcPr>
            <w:tcW w:w="5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财政专户（教育收费）</w:t>
            </w:r>
          </w:p>
        </w:tc>
        <w:tc>
          <w:tcPr>
            <w:tcW w:w="63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单位资金</w:t>
            </w:r>
          </w:p>
        </w:tc>
        <w:tc>
          <w:tcPr>
            <w:tcW w:w="36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财政拨款结转</w:t>
            </w:r>
          </w:p>
        </w:tc>
        <w:tc>
          <w:tcPr>
            <w:tcW w:w="50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非财政拨款结转结余</w:t>
            </w:r>
          </w:p>
        </w:tc>
      </w:tr>
      <w:tr>
        <w:tblPrEx>
          <w:tblCellMar>
            <w:top w:w="0" w:type="dxa"/>
            <w:left w:w="108" w:type="dxa"/>
            <w:bottom w:w="0" w:type="dxa"/>
            <w:right w:w="108" w:type="dxa"/>
          </w:tblCellMar>
        </w:tblPrEx>
        <w:trPr>
          <w:trHeight w:val="2394" w:hRule="atLeast"/>
        </w:trPr>
        <w:tc>
          <w:tcPr>
            <w:tcW w:w="594" w:type="dxa"/>
            <w:tcBorders>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类</w:t>
            </w:r>
          </w:p>
        </w:tc>
        <w:tc>
          <w:tcPr>
            <w:tcW w:w="420" w:type="dxa"/>
            <w:tcBorders>
              <w:left w:val="nil"/>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款</w:t>
            </w:r>
          </w:p>
        </w:tc>
        <w:tc>
          <w:tcPr>
            <w:tcW w:w="434" w:type="dxa"/>
            <w:tcBorders>
              <w:left w:val="nil"/>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项</w:t>
            </w:r>
          </w:p>
        </w:tc>
        <w:tc>
          <w:tcPr>
            <w:tcW w:w="653"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847"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829"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财政拨款(补助)小计</w:t>
            </w:r>
          </w:p>
        </w:tc>
        <w:tc>
          <w:tcPr>
            <w:tcW w:w="903"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一般公共预算</w:t>
            </w:r>
          </w:p>
        </w:tc>
        <w:tc>
          <w:tcPr>
            <w:tcW w:w="747"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上级一般公共预算安排的转移支付</w:t>
            </w:r>
          </w:p>
        </w:tc>
        <w:tc>
          <w:tcPr>
            <w:tcW w:w="413"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政府性基金预算</w:t>
            </w:r>
          </w:p>
        </w:tc>
        <w:tc>
          <w:tcPr>
            <w:tcW w:w="667"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上级政府性基金安排的转移支付</w:t>
            </w:r>
          </w:p>
        </w:tc>
        <w:tc>
          <w:tcPr>
            <w:tcW w:w="44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国有资本经营预算</w:t>
            </w:r>
          </w:p>
        </w:tc>
        <w:tc>
          <w:tcPr>
            <w:tcW w:w="653"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上级国有资本经营预算安排的转移支付</w:t>
            </w:r>
          </w:p>
        </w:tc>
        <w:tc>
          <w:tcPr>
            <w:tcW w:w="560"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630"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363"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507"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tabs>
                <w:tab w:val="center" w:pos="100"/>
                <w:tab w:val="right" w:pos="521"/>
              </w:tabs>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205</w:t>
            </w:r>
          </w:p>
        </w:tc>
        <w:tc>
          <w:tcPr>
            <w:tcW w:w="420"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c>
          <w:tcPr>
            <w:tcW w:w="4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教育支出</w:t>
            </w:r>
          </w:p>
        </w:tc>
        <w:tc>
          <w:tcPr>
            <w:tcW w:w="847" w:type="dxa"/>
            <w:tcBorders>
              <w:top w:val="nil"/>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368.66　</w:t>
            </w:r>
          </w:p>
        </w:tc>
        <w:tc>
          <w:tcPr>
            <w:tcW w:w="829" w:type="dxa"/>
            <w:tcBorders>
              <w:top w:val="nil"/>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367.24</w:t>
            </w:r>
          </w:p>
        </w:tc>
        <w:tc>
          <w:tcPr>
            <w:tcW w:w="903" w:type="dxa"/>
            <w:tcBorders>
              <w:top w:val="nil"/>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367.24　</w:t>
            </w:r>
          </w:p>
        </w:tc>
        <w:tc>
          <w:tcPr>
            <w:tcW w:w="747" w:type="dxa"/>
            <w:tcBorders>
              <w:top w:val="nil"/>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1.42</w:t>
            </w:r>
          </w:p>
        </w:tc>
        <w:tc>
          <w:tcPr>
            <w:tcW w:w="36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　</w:t>
            </w:r>
          </w:p>
        </w:tc>
        <w:tc>
          <w:tcPr>
            <w:tcW w:w="4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　</w:t>
            </w:r>
          </w:p>
        </w:tc>
        <w:tc>
          <w:tcPr>
            <w:tcW w:w="43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普通教育　</w:t>
            </w:r>
          </w:p>
        </w:tc>
        <w:tc>
          <w:tcPr>
            <w:tcW w:w="84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368.66　</w:t>
            </w:r>
          </w:p>
        </w:tc>
        <w:tc>
          <w:tcPr>
            <w:tcW w:w="829"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367.24</w:t>
            </w:r>
          </w:p>
        </w:tc>
        <w:tc>
          <w:tcPr>
            <w:tcW w:w="90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367.24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1.42</w:t>
            </w:r>
          </w:p>
        </w:tc>
        <w:tc>
          <w:tcPr>
            <w:tcW w:w="363"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　</w:t>
            </w:r>
          </w:p>
        </w:tc>
        <w:tc>
          <w:tcPr>
            <w:tcW w:w="4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　</w:t>
            </w:r>
          </w:p>
        </w:tc>
        <w:tc>
          <w:tcPr>
            <w:tcW w:w="43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学前教育</w:t>
            </w:r>
          </w:p>
        </w:tc>
        <w:tc>
          <w:tcPr>
            <w:tcW w:w="84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368.66　</w:t>
            </w:r>
          </w:p>
        </w:tc>
        <w:tc>
          <w:tcPr>
            <w:tcW w:w="829"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367.24</w:t>
            </w:r>
          </w:p>
        </w:tc>
        <w:tc>
          <w:tcPr>
            <w:tcW w:w="90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367.24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1.42</w:t>
            </w:r>
          </w:p>
        </w:tc>
        <w:tc>
          <w:tcPr>
            <w:tcW w:w="363"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3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2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63"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3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2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63"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3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2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63"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3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2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63"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3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2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63"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3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合  计</w:t>
            </w:r>
            <w:r>
              <w:rPr>
                <w:rFonts w:hint="default" w:ascii="Times New Roman" w:hAnsi="Times New Roman" w:eastAsia="仿宋_GB2312" w:cs="Times New Roman"/>
                <w:sz w:val="20"/>
                <w:szCs w:val="20"/>
              </w:rPr>
              <w:t>　</w:t>
            </w:r>
          </w:p>
        </w:tc>
        <w:tc>
          <w:tcPr>
            <w:tcW w:w="8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368.66　</w:t>
            </w:r>
          </w:p>
        </w:tc>
        <w:tc>
          <w:tcPr>
            <w:tcW w:w="82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367.24　</w:t>
            </w:r>
          </w:p>
        </w:tc>
        <w:tc>
          <w:tcPr>
            <w:tcW w:w="9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367.24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5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6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3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1.42</w:t>
            </w:r>
          </w:p>
        </w:tc>
        <w:tc>
          <w:tcPr>
            <w:tcW w:w="363"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表3</w:t>
      </w:r>
    </w:p>
    <w:p>
      <w:pPr>
        <w:widowControl/>
        <w:spacing w:line="36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单位支出总体情况表</w:t>
      </w:r>
    </w:p>
    <w:p>
      <w:pPr>
        <w:widowControl/>
        <w:spacing w:line="280" w:lineRule="exact"/>
        <w:jc w:val="center"/>
        <w:outlineLvl w:val="1"/>
        <w:rPr>
          <w:rFonts w:hint="default" w:ascii="Times New Roman" w:hAnsi="Times New Roman" w:eastAsia="仿宋_GB2312" w:cs="Times New Roman"/>
          <w:b/>
          <w:kern w:val="0"/>
          <w:sz w:val="32"/>
          <w:szCs w:val="32"/>
        </w:rPr>
      </w:pPr>
    </w:p>
    <w:p>
      <w:pPr>
        <w:widowControl/>
        <w:spacing w:line="28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编制单位：焉耆回族自治县第二幼儿园                     单位：万元</w:t>
      </w:r>
    </w:p>
    <w:tbl>
      <w:tblPr>
        <w:tblStyle w:val="10"/>
        <w:tblW w:w="9420" w:type="dxa"/>
        <w:tblInd w:w="-240" w:type="dxa"/>
        <w:tblLayout w:type="fixed"/>
        <w:tblCellMar>
          <w:top w:w="0" w:type="dxa"/>
          <w:left w:w="108" w:type="dxa"/>
          <w:bottom w:w="0" w:type="dxa"/>
          <w:right w:w="108" w:type="dxa"/>
        </w:tblCellMar>
      </w:tblPr>
      <w:tblGrid>
        <w:gridCol w:w="516"/>
        <w:gridCol w:w="417"/>
        <w:gridCol w:w="417"/>
        <w:gridCol w:w="2548"/>
        <w:gridCol w:w="1826"/>
        <w:gridCol w:w="1826"/>
        <w:gridCol w:w="1870"/>
      </w:tblGrid>
      <w:tr>
        <w:tblPrEx>
          <w:tblCellMar>
            <w:top w:w="0" w:type="dxa"/>
            <w:left w:w="108" w:type="dxa"/>
            <w:bottom w:w="0" w:type="dxa"/>
            <w:right w:w="108" w:type="dxa"/>
          </w:tblCellMar>
        </w:tblPrEx>
        <w:trPr>
          <w:trHeight w:val="328" w:hRule="atLeast"/>
        </w:trPr>
        <w:tc>
          <w:tcPr>
            <w:tcW w:w="3898"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522"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54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82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82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87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2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2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7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66" w:hRule="atLeast"/>
        </w:trPr>
        <w:tc>
          <w:tcPr>
            <w:tcW w:w="516" w:type="dxa"/>
            <w:tcBorders>
              <w:top w:val="nil"/>
              <w:left w:val="single" w:color="auto" w:sz="4" w:space="0"/>
              <w:bottom w:val="single" w:color="auto" w:sz="4" w:space="0"/>
              <w:right w:val="single" w:color="auto" w:sz="4" w:space="0"/>
            </w:tcBorders>
            <w:vAlign w:val="center"/>
          </w:tcPr>
          <w:p>
            <w:pPr>
              <w:tabs>
                <w:tab w:val="center" w:pos="100"/>
                <w:tab w:val="right" w:pos="521"/>
              </w:tabs>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205</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54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教育支出</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368.66</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368.66　</w:t>
            </w:r>
          </w:p>
        </w:tc>
        <w:tc>
          <w:tcPr>
            <w:tcW w:w="187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54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普通教育　</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368.66</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368.66　</w:t>
            </w:r>
          </w:p>
        </w:tc>
        <w:tc>
          <w:tcPr>
            <w:tcW w:w="187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458" w:hRule="atLeast"/>
        </w:trPr>
        <w:tc>
          <w:tcPr>
            <w:tcW w:w="51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254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学前教育</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368.66</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368.66　</w:t>
            </w:r>
          </w:p>
        </w:tc>
        <w:tc>
          <w:tcPr>
            <w:tcW w:w="187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rPr>
            </w:pPr>
          </w:p>
          <w:p>
            <w:pPr>
              <w:pStyle w:val="2"/>
              <w:rPr>
                <w:rFonts w:hint="default" w:ascii="Times New Roman" w:hAnsi="Times New Roman" w:cs="Times New Roman"/>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17"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17"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2548"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26"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26"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70"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254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2"/>
                <w:szCs w:val="22"/>
              </w:rPr>
            </w:pPr>
            <w:r>
              <w:rPr>
                <w:rFonts w:hint="default" w:ascii="Times New Roman" w:hAnsi="Times New Roman" w:eastAsia="仿宋_GB2312" w:cs="Times New Roman"/>
                <w:b/>
                <w:bCs/>
                <w:kern w:val="0"/>
                <w:sz w:val="20"/>
                <w:szCs w:val="20"/>
              </w:rPr>
              <w:t>合  计</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368.66</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368.66</w:t>
            </w:r>
          </w:p>
        </w:tc>
        <w:tc>
          <w:tcPr>
            <w:tcW w:w="187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bl>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表4</w:t>
      </w:r>
    </w:p>
    <w:p>
      <w:pPr>
        <w:widowControl/>
        <w:spacing w:beforeLines="50" w:line="28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财政拨款收支预算总体情况表</w:t>
      </w:r>
    </w:p>
    <w:p>
      <w:pPr>
        <w:widowControl/>
        <w:spacing w:beforeLines="50" w:line="280" w:lineRule="exac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编制单位：焉耆回族自治县第二幼儿园                    单位：万元</w:t>
      </w:r>
    </w:p>
    <w:tbl>
      <w:tblPr>
        <w:tblStyle w:val="10"/>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28"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31"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国有资本经营预算</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30"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 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资源勘探工业信息等支出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900" w:type="dxa"/>
            <w:tcBorders>
              <w:top w:val="nil"/>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 灾害防治及应急管理支出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230 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900"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18"/>
                <w:szCs w:val="18"/>
              </w:rPr>
              <w:t>367.24</w:t>
            </w:r>
            <w:r>
              <w:rPr>
                <w:rFonts w:hint="default" w:ascii="Times New Roman" w:hAnsi="Times New Roman" w:eastAsia="仿宋_GB2312" w:cs="Times New Roman"/>
                <w:b/>
                <w:bCs/>
                <w:kern w:val="0"/>
                <w:sz w:val="20"/>
                <w:szCs w:val="20"/>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bl>
    <w:p>
      <w:pPr>
        <w:widowControl/>
        <w:spacing w:line="320" w:lineRule="exact"/>
        <w:outlineLvl w:val="1"/>
        <w:rPr>
          <w:rFonts w:hint="default" w:ascii="Times New Roman" w:hAnsi="Times New Roman" w:eastAsia="仿宋_GB2312" w:cs="Times New Roman"/>
          <w:b/>
          <w:kern w:val="0"/>
          <w:sz w:val="28"/>
          <w:szCs w:val="32"/>
          <w:highlight w:val="yellow"/>
        </w:rPr>
      </w:pPr>
    </w:p>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表5</w:t>
      </w:r>
    </w:p>
    <w:tbl>
      <w:tblPr>
        <w:tblStyle w:val="10"/>
        <w:tblW w:w="9214" w:type="dxa"/>
        <w:tblInd w:w="-34" w:type="dxa"/>
        <w:tblLayout w:type="fixed"/>
        <w:tblCellMar>
          <w:top w:w="0" w:type="dxa"/>
          <w:left w:w="108" w:type="dxa"/>
          <w:bottom w:w="0" w:type="dxa"/>
          <w:right w:w="108" w:type="dxa"/>
        </w:tblCellMar>
      </w:tblPr>
      <w:tblGrid>
        <w:gridCol w:w="516"/>
        <w:gridCol w:w="499"/>
        <w:gridCol w:w="502"/>
        <w:gridCol w:w="2493"/>
        <w:gridCol w:w="657"/>
        <w:gridCol w:w="1020"/>
        <w:gridCol w:w="216"/>
        <w:gridCol w:w="1618"/>
        <w:gridCol w:w="1693"/>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4667" w:type="dxa"/>
            <w:gridSpan w:val="5"/>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编制单位：焉耆回族自治县第二幼儿园 </w:t>
            </w:r>
          </w:p>
        </w:tc>
        <w:tc>
          <w:tcPr>
            <w:tcW w:w="1236" w:type="dxa"/>
            <w:gridSpan w:val="2"/>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tc>
        <w:tc>
          <w:tcPr>
            <w:tcW w:w="3311" w:type="dxa"/>
            <w:gridSpan w:val="2"/>
            <w:tcBorders>
              <w:top w:val="nil"/>
              <w:left w:val="nil"/>
              <w:bottom w:val="nil"/>
              <w:right w:val="nil"/>
            </w:tcBorders>
            <w:vAlign w:val="center"/>
          </w:tcPr>
          <w:p>
            <w:pPr>
              <w:widowControl/>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单位：万元</w:t>
            </w:r>
          </w:p>
        </w:tc>
      </w:tr>
      <w:tr>
        <w:tblPrEx>
          <w:tblCellMar>
            <w:top w:w="0" w:type="dxa"/>
            <w:left w:w="108" w:type="dxa"/>
            <w:bottom w:w="0" w:type="dxa"/>
            <w:right w:w="108" w:type="dxa"/>
          </w:tblCellMar>
        </w:tblPrEx>
        <w:trPr>
          <w:trHeight w:val="405" w:hRule="atLeast"/>
        </w:trPr>
        <w:tc>
          <w:tcPr>
            <w:tcW w:w="401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204" w:type="dxa"/>
            <w:gridSpan w:val="5"/>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493"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6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83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693"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5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493"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6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83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693"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tabs>
                <w:tab w:val="center" w:pos="100"/>
                <w:tab w:val="right" w:pos="521"/>
              </w:tabs>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ab/>
            </w:r>
            <w:r>
              <w:rPr>
                <w:rFonts w:hint="default" w:ascii="Times New Roman" w:hAnsi="Times New Roman" w:eastAsia="仿宋_GB2312" w:cs="Times New Roman"/>
                <w:sz w:val="20"/>
                <w:szCs w:val="20"/>
              </w:rPr>
              <w:t>205</w:t>
            </w:r>
          </w:p>
        </w:tc>
        <w:tc>
          <w:tcPr>
            <w:tcW w:w="4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教育支出</w:t>
            </w:r>
          </w:p>
        </w:tc>
        <w:tc>
          <w:tcPr>
            <w:tcW w:w="1677"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bidi="ar-SA"/>
              </w:rPr>
            </w:pPr>
            <w:r>
              <w:rPr>
                <w:rFonts w:hint="default" w:ascii="Times New Roman" w:hAnsi="Times New Roman" w:eastAsia="仿宋_GB2312" w:cs="Times New Roman"/>
                <w:kern w:val="0"/>
                <w:sz w:val="18"/>
                <w:szCs w:val="18"/>
              </w:rPr>
              <w:t>　367.24</w:t>
            </w:r>
          </w:p>
        </w:tc>
        <w:tc>
          <w:tcPr>
            <w:tcW w:w="183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bidi="ar-SA"/>
              </w:rPr>
            </w:pPr>
            <w:r>
              <w:rPr>
                <w:rFonts w:hint="default" w:ascii="Times New Roman" w:hAnsi="Times New Roman" w:eastAsia="仿宋_GB2312" w:cs="Times New Roman"/>
                <w:kern w:val="0"/>
                <w:sz w:val="18"/>
                <w:szCs w:val="18"/>
              </w:rPr>
              <w:t>367.24　</w:t>
            </w:r>
          </w:p>
        </w:tc>
        <w:tc>
          <w:tcPr>
            <w:tcW w:w="16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　</w:t>
            </w:r>
          </w:p>
        </w:tc>
        <w:tc>
          <w:tcPr>
            <w:tcW w:w="4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　</w:t>
            </w:r>
          </w:p>
        </w:tc>
        <w:tc>
          <w:tcPr>
            <w:tcW w:w="5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普通教育　</w:t>
            </w:r>
          </w:p>
        </w:tc>
        <w:tc>
          <w:tcPr>
            <w:tcW w:w="1677"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bidi="ar-SA"/>
              </w:rPr>
            </w:pPr>
            <w:r>
              <w:rPr>
                <w:rFonts w:hint="default" w:ascii="Times New Roman" w:hAnsi="Times New Roman" w:eastAsia="仿宋_GB2312" w:cs="Times New Roman"/>
                <w:kern w:val="0"/>
                <w:sz w:val="18"/>
                <w:szCs w:val="18"/>
              </w:rPr>
              <w:t>　367.24</w:t>
            </w:r>
          </w:p>
        </w:tc>
        <w:tc>
          <w:tcPr>
            <w:tcW w:w="183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bidi="ar-SA"/>
              </w:rPr>
            </w:pPr>
            <w:r>
              <w:rPr>
                <w:rFonts w:hint="default" w:ascii="Times New Roman" w:hAnsi="Times New Roman" w:eastAsia="仿宋_GB2312" w:cs="Times New Roman"/>
                <w:kern w:val="0"/>
                <w:sz w:val="18"/>
                <w:szCs w:val="18"/>
              </w:rPr>
              <w:t>367.24　</w:t>
            </w:r>
          </w:p>
        </w:tc>
        <w:tc>
          <w:tcPr>
            <w:tcW w:w="16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　</w:t>
            </w:r>
          </w:p>
        </w:tc>
        <w:tc>
          <w:tcPr>
            <w:tcW w:w="4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　</w:t>
            </w:r>
          </w:p>
        </w:tc>
        <w:tc>
          <w:tcPr>
            <w:tcW w:w="5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24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学前教育</w:t>
            </w:r>
          </w:p>
        </w:tc>
        <w:tc>
          <w:tcPr>
            <w:tcW w:w="1677"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bidi="ar-SA"/>
              </w:rPr>
            </w:pPr>
            <w:r>
              <w:rPr>
                <w:rFonts w:hint="default" w:ascii="Times New Roman" w:hAnsi="Times New Roman" w:eastAsia="仿宋_GB2312" w:cs="Times New Roman"/>
                <w:kern w:val="0"/>
                <w:sz w:val="18"/>
                <w:szCs w:val="18"/>
              </w:rPr>
              <w:t>　367.24</w:t>
            </w:r>
          </w:p>
        </w:tc>
        <w:tc>
          <w:tcPr>
            <w:tcW w:w="183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bidi="ar-SA"/>
              </w:rPr>
            </w:pPr>
            <w:r>
              <w:rPr>
                <w:rFonts w:hint="default" w:ascii="Times New Roman" w:hAnsi="Times New Roman" w:eastAsia="仿宋_GB2312" w:cs="Times New Roman"/>
                <w:kern w:val="0"/>
                <w:sz w:val="18"/>
                <w:szCs w:val="18"/>
              </w:rPr>
              <w:t>367.24</w:t>
            </w:r>
          </w:p>
        </w:tc>
        <w:tc>
          <w:tcPr>
            <w:tcW w:w="16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9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9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r>
              <w:rPr>
                <w:rFonts w:hint="default" w:ascii="Times New Roman" w:hAnsi="Times New Roman" w:eastAsia="仿宋_GB2312" w:cs="Times New Roman"/>
                <w:b/>
                <w:bCs/>
                <w:kern w:val="0"/>
                <w:sz w:val="20"/>
                <w:szCs w:val="20"/>
              </w:rPr>
              <w:t>合  计</w:t>
            </w:r>
          </w:p>
        </w:tc>
        <w:tc>
          <w:tcPr>
            <w:tcW w:w="1677"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rPr>
              <w:t>367.24</w:t>
            </w:r>
          </w:p>
        </w:tc>
        <w:tc>
          <w:tcPr>
            <w:tcW w:w="183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367.24</w:t>
            </w:r>
          </w:p>
        </w:tc>
        <w:tc>
          <w:tcPr>
            <w:tcW w:w="169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rPr>
            </w:pPr>
          </w:p>
        </w:tc>
      </w:tr>
    </w:tbl>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编制单位：焉耆回族自治县第二幼儿园 </w:t>
            </w:r>
          </w:p>
        </w:tc>
        <w:tc>
          <w:tcPr>
            <w:tcW w:w="995" w:type="dxa"/>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p>
        </w:tc>
        <w:tc>
          <w:tcPr>
            <w:tcW w:w="1682" w:type="dxa"/>
            <w:gridSpan w:val="2"/>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348.39</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348.39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01</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113.91</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113.91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132.84</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132.84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08</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36.98</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36.98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09</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职业年金经费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18.49</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18.49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10</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职工基本医疗保险经费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16.78</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16.78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12</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1.65</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13</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27.74</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27.74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商品与服务支出</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15.09</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15.09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08</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取暖费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12.76</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12.76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16</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培训费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2.25</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2.25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28</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0.04</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sz w:val="18"/>
                <w:szCs w:val="18"/>
              </w:rPr>
            </w:pPr>
            <w:r>
              <w:rPr>
                <w:rStyle w:val="16"/>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29</w:t>
            </w:r>
          </w:p>
        </w:tc>
        <w:tc>
          <w:tcPr>
            <w:tcW w:w="2891"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sz w:val="18"/>
                <w:szCs w:val="18"/>
              </w:rPr>
            </w:pPr>
            <w:r>
              <w:rPr>
                <w:rStyle w:val="16"/>
                <w:rFonts w:hint="default" w:ascii="Times New Roman" w:hAnsi="Times New Roman" w:eastAsia="仿宋_GB2312" w:cs="Times New Roman"/>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0.04</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3.76</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3.76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Style w:val="16"/>
                <w:rFonts w:hint="default" w:ascii="Times New Roman" w:hAnsi="Times New Roman" w:eastAsia="仿宋_GB2312" w:cs="Times New Roman"/>
                <w:sz w:val="18"/>
                <w:szCs w:val="18"/>
              </w:rPr>
              <w:t>退休费</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3.76</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3.76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r>
              <w:rPr>
                <w:rFonts w:hint="default" w:ascii="Times New Roman" w:hAnsi="Times New Roman" w:eastAsia="仿宋_GB2312" w:cs="Times New Roman"/>
                <w:b/>
                <w:bCs/>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367.24</w:t>
            </w:r>
          </w:p>
        </w:tc>
        <w:tc>
          <w:tcPr>
            <w:tcW w:w="1701"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352.15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15.09</w:t>
            </w:r>
          </w:p>
        </w:tc>
      </w:tr>
    </w:tbl>
    <w:p>
      <w:pPr>
        <w:widowControl/>
        <w:jc w:val="left"/>
        <w:textAlignment w:val="bottom"/>
        <w:rPr>
          <w:rFonts w:hint="default" w:ascii="Times New Roman" w:hAnsi="Times New Roman" w:cs="Times New Roman"/>
          <w:kern w:val="0"/>
          <w:sz w:val="20"/>
          <w:szCs w:val="20"/>
          <w:highlight w:val="yellow"/>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表7</w:t>
      </w:r>
    </w:p>
    <w:tbl>
      <w:tblPr>
        <w:tblStyle w:val="10"/>
        <w:tblW w:w="9540" w:type="dxa"/>
        <w:tblInd w:w="-360" w:type="dxa"/>
        <w:tblLayout w:type="fixed"/>
        <w:tblCellMar>
          <w:top w:w="0" w:type="dxa"/>
          <w:left w:w="108" w:type="dxa"/>
          <w:bottom w:w="0" w:type="dxa"/>
          <w:right w:w="108" w:type="dxa"/>
        </w:tblCellMar>
      </w:tblPr>
      <w:tblGrid>
        <w:gridCol w:w="8"/>
        <w:gridCol w:w="523"/>
        <w:gridCol w:w="440"/>
        <w:gridCol w:w="440"/>
        <w:gridCol w:w="668"/>
        <w:gridCol w:w="1400"/>
        <w:gridCol w:w="732"/>
        <w:gridCol w:w="110"/>
        <w:gridCol w:w="451"/>
        <w:gridCol w:w="639"/>
        <w:gridCol w:w="530"/>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编制单位：焉耆回族自治县第二幼儿园 </w:t>
            </w:r>
          </w:p>
        </w:tc>
        <w:tc>
          <w:tcPr>
            <w:tcW w:w="1090" w:type="dxa"/>
            <w:gridSpan w:val="2"/>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p>
        </w:tc>
        <w:tc>
          <w:tcPr>
            <w:tcW w:w="1573" w:type="dxa"/>
            <w:gridSpan w:val="3"/>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tc>
        <w:tc>
          <w:tcPr>
            <w:tcW w:w="2479" w:type="dxa"/>
            <w:gridSpan w:val="6"/>
            <w:tcBorders>
              <w:top w:val="nil"/>
              <w:left w:val="nil"/>
              <w:bottom w:val="nil"/>
              <w:right w:val="nil"/>
            </w:tcBorders>
            <w:vAlign w:val="center"/>
          </w:tcPr>
          <w:p>
            <w:pPr>
              <w:widowControl/>
              <w:ind w:firstLine="960" w:firstLineChars="4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1" w:type="dxa"/>
            <w:gridSpan w:val="4"/>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 目 编 码</w:t>
            </w:r>
          </w:p>
        </w:tc>
        <w:tc>
          <w:tcPr>
            <w:tcW w:w="668"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科目</w:t>
            </w:r>
          </w:p>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名称</w:t>
            </w:r>
          </w:p>
        </w:tc>
        <w:tc>
          <w:tcPr>
            <w:tcW w:w="1400" w:type="dxa"/>
            <w:vMerge w:val="restart"/>
            <w:vAlign w:val="center"/>
          </w:tcPr>
          <w:p>
            <w:pPr>
              <w:jc w:val="center"/>
              <w:rPr>
                <w:rFonts w:hint="default" w:ascii="Times New Roman" w:hAnsi="Times New Roman" w:cs="Times New Roman"/>
                <w:sz w:val="20"/>
                <w:szCs w:val="20"/>
              </w:rPr>
            </w:pPr>
            <w:r>
              <w:rPr>
                <w:rFonts w:hint="default" w:ascii="Times New Roman" w:hAnsi="Times New Roman" w:eastAsia="仿宋_GB2312" w:cs="Times New Roman"/>
                <w:b/>
                <w:kern w:val="0"/>
                <w:sz w:val="20"/>
                <w:szCs w:val="20"/>
              </w:rPr>
              <w:t>项目名称</w:t>
            </w:r>
          </w:p>
        </w:tc>
        <w:tc>
          <w:tcPr>
            <w:tcW w:w="732"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项目支出合计</w:t>
            </w:r>
          </w:p>
        </w:tc>
        <w:tc>
          <w:tcPr>
            <w:tcW w:w="561" w:type="dxa"/>
            <w:gridSpan w:val="2"/>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工资福利支出</w:t>
            </w:r>
          </w:p>
        </w:tc>
        <w:tc>
          <w:tcPr>
            <w:tcW w:w="63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商品和服务支出</w:t>
            </w:r>
          </w:p>
        </w:tc>
        <w:tc>
          <w:tcPr>
            <w:tcW w:w="53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对个人和家庭的补助</w:t>
            </w:r>
          </w:p>
        </w:tc>
        <w:tc>
          <w:tcPr>
            <w:tcW w:w="63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债务利息及费用支出</w:t>
            </w:r>
          </w:p>
        </w:tc>
        <w:tc>
          <w:tcPr>
            <w:tcW w:w="618" w:type="dxa"/>
            <w:gridSpan w:val="2"/>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资本性支出（基本建设）</w:t>
            </w:r>
          </w:p>
        </w:tc>
        <w:tc>
          <w:tcPr>
            <w:tcW w:w="41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w:t>
            </w:r>
          </w:p>
        </w:tc>
        <w:tc>
          <w:tcPr>
            <w:tcW w:w="618"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对企业补助（基本建设）</w:t>
            </w:r>
          </w:p>
        </w:tc>
        <w:tc>
          <w:tcPr>
            <w:tcW w:w="42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w:t>
            </w:r>
          </w:p>
        </w:tc>
        <w:tc>
          <w:tcPr>
            <w:tcW w:w="42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对社会保障基金补助</w:t>
            </w:r>
          </w:p>
        </w:tc>
        <w:tc>
          <w:tcPr>
            <w:tcW w:w="465" w:type="dxa"/>
            <w:gridSpan w:val="2"/>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1" w:type="dxa"/>
            <w:gridSpan w:val="2"/>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类</w:t>
            </w:r>
          </w:p>
        </w:tc>
        <w:tc>
          <w:tcPr>
            <w:tcW w:w="440"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款</w:t>
            </w:r>
          </w:p>
        </w:tc>
        <w:tc>
          <w:tcPr>
            <w:tcW w:w="440"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w:t>
            </w:r>
          </w:p>
        </w:tc>
        <w:tc>
          <w:tcPr>
            <w:tcW w:w="668" w:type="dxa"/>
            <w:vMerge w:val="continue"/>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p>
        </w:tc>
        <w:tc>
          <w:tcPr>
            <w:tcW w:w="140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732"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61" w:type="dxa"/>
            <w:gridSpan w:val="2"/>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3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3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3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18" w:type="dxa"/>
            <w:gridSpan w:val="2"/>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1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18"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2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2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65" w:type="dxa"/>
            <w:gridSpan w:val="2"/>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p>
        </w:tc>
        <w:tc>
          <w:tcPr>
            <w:tcW w:w="440" w:type="dxa"/>
          </w:tcPr>
          <w:p>
            <w:pPr>
              <w:widowControl/>
              <w:jc w:val="left"/>
              <w:outlineLvl w:val="1"/>
              <w:rPr>
                <w:rFonts w:hint="default" w:ascii="Times New Roman" w:hAnsi="Times New Roman" w:eastAsia="仿宋_GB2312" w:cs="Times New Roman"/>
                <w:kern w:val="0"/>
                <w:sz w:val="32"/>
                <w:szCs w:val="32"/>
              </w:rPr>
            </w:pPr>
          </w:p>
        </w:tc>
        <w:tc>
          <w:tcPr>
            <w:tcW w:w="440" w:type="dxa"/>
          </w:tcPr>
          <w:p>
            <w:pPr>
              <w:widowControl/>
              <w:jc w:val="left"/>
              <w:outlineLvl w:val="1"/>
              <w:rPr>
                <w:rFonts w:hint="default" w:ascii="Times New Roman" w:hAnsi="Times New Roman" w:eastAsia="仿宋_GB2312" w:cs="Times New Roman"/>
                <w:kern w:val="0"/>
                <w:sz w:val="32"/>
                <w:szCs w:val="32"/>
              </w:rPr>
            </w:pPr>
          </w:p>
        </w:tc>
        <w:tc>
          <w:tcPr>
            <w:tcW w:w="668" w:type="dxa"/>
          </w:tcPr>
          <w:p>
            <w:pPr>
              <w:widowControl/>
              <w:jc w:val="left"/>
              <w:outlineLvl w:val="1"/>
              <w:rPr>
                <w:rFonts w:hint="default" w:ascii="Times New Roman" w:hAnsi="Times New Roman" w:eastAsia="仿宋_GB2312" w:cs="Times New Roman"/>
                <w:kern w:val="0"/>
                <w:sz w:val="32"/>
                <w:szCs w:val="32"/>
              </w:rPr>
            </w:pPr>
          </w:p>
        </w:tc>
        <w:tc>
          <w:tcPr>
            <w:tcW w:w="1400" w:type="dxa"/>
          </w:tcPr>
          <w:p>
            <w:pPr>
              <w:widowControl/>
              <w:jc w:val="left"/>
              <w:outlineLvl w:val="1"/>
              <w:rPr>
                <w:rFonts w:hint="default" w:ascii="Times New Roman" w:hAnsi="Times New Roman" w:eastAsia="仿宋_GB2312" w:cs="Times New Roman"/>
                <w:kern w:val="0"/>
                <w:sz w:val="32"/>
                <w:szCs w:val="32"/>
              </w:rPr>
            </w:pPr>
          </w:p>
        </w:tc>
        <w:tc>
          <w:tcPr>
            <w:tcW w:w="732" w:type="dxa"/>
          </w:tcPr>
          <w:p>
            <w:pPr>
              <w:widowControl/>
              <w:jc w:val="left"/>
              <w:outlineLvl w:val="1"/>
              <w:rPr>
                <w:rFonts w:hint="default" w:ascii="Times New Roman" w:hAnsi="Times New Roman" w:eastAsia="仿宋_GB2312" w:cs="Times New Roman"/>
                <w:kern w:val="0"/>
                <w:sz w:val="32"/>
                <w:szCs w:val="32"/>
              </w:rPr>
            </w:pPr>
          </w:p>
        </w:tc>
        <w:tc>
          <w:tcPr>
            <w:tcW w:w="561" w:type="dxa"/>
            <w:gridSpan w:val="2"/>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530" w:type="dxa"/>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618" w:type="dxa"/>
            <w:gridSpan w:val="2"/>
          </w:tcPr>
          <w:p>
            <w:pPr>
              <w:widowControl/>
              <w:jc w:val="left"/>
              <w:outlineLvl w:val="1"/>
              <w:rPr>
                <w:rFonts w:hint="default" w:ascii="Times New Roman" w:hAnsi="Times New Roman" w:eastAsia="仿宋_GB2312" w:cs="Times New Roman"/>
                <w:kern w:val="0"/>
                <w:sz w:val="32"/>
                <w:szCs w:val="32"/>
              </w:rPr>
            </w:pPr>
          </w:p>
        </w:tc>
        <w:tc>
          <w:tcPr>
            <w:tcW w:w="419" w:type="dxa"/>
          </w:tcPr>
          <w:p>
            <w:pPr>
              <w:widowControl/>
              <w:jc w:val="left"/>
              <w:outlineLvl w:val="1"/>
              <w:rPr>
                <w:rFonts w:hint="default" w:ascii="Times New Roman" w:hAnsi="Times New Roman" w:eastAsia="仿宋_GB2312" w:cs="Times New Roman"/>
                <w:kern w:val="0"/>
                <w:sz w:val="32"/>
                <w:szCs w:val="32"/>
              </w:rPr>
            </w:pPr>
          </w:p>
        </w:tc>
        <w:tc>
          <w:tcPr>
            <w:tcW w:w="618"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65" w:type="dxa"/>
            <w:gridSpan w:val="2"/>
          </w:tcPr>
          <w:p>
            <w:pPr>
              <w:widowControl/>
              <w:jc w:val="left"/>
              <w:outlineLvl w:val="1"/>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p>
        </w:tc>
        <w:tc>
          <w:tcPr>
            <w:tcW w:w="440" w:type="dxa"/>
          </w:tcPr>
          <w:p>
            <w:pPr>
              <w:widowControl/>
              <w:jc w:val="left"/>
              <w:outlineLvl w:val="1"/>
              <w:rPr>
                <w:rFonts w:hint="default" w:ascii="Times New Roman" w:hAnsi="Times New Roman" w:eastAsia="仿宋_GB2312" w:cs="Times New Roman"/>
                <w:kern w:val="0"/>
                <w:sz w:val="32"/>
                <w:szCs w:val="32"/>
              </w:rPr>
            </w:pPr>
          </w:p>
        </w:tc>
        <w:tc>
          <w:tcPr>
            <w:tcW w:w="440" w:type="dxa"/>
          </w:tcPr>
          <w:p>
            <w:pPr>
              <w:widowControl/>
              <w:jc w:val="left"/>
              <w:outlineLvl w:val="1"/>
              <w:rPr>
                <w:rFonts w:hint="default" w:ascii="Times New Roman" w:hAnsi="Times New Roman" w:eastAsia="仿宋_GB2312" w:cs="Times New Roman"/>
                <w:kern w:val="0"/>
                <w:sz w:val="32"/>
                <w:szCs w:val="32"/>
              </w:rPr>
            </w:pPr>
          </w:p>
        </w:tc>
        <w:tc>
          <w:tcPr>
            <w:tcW w:w="668" w:type="dxa"/>
          </w:tcPr>
          <w:p>
            <w:pPr>
              <w:widowControl/>
              <w:jc w:val="left"/>
              <w:outlineLvl w:val="1"/>
              <w:rPr>
                <w:rFonts w:hint="default" w:ascii="Times New Roman" w:hAnsi="Times New Roman" w:eastAsia="仿宋_GB2312" w:cs="Times New Roman"/>
                <w:kern w:val="0"/>
                <w:sz w:val="32"/>
                <w:szCs w:val="32"/>
              </w:rPr>
            </w:pPr>
          </w:p>
        </w:tc>
        <w:tc>
          <w:tcPr>
            <w:tcW w:w="1400" w:type="dxa"/>
          </w:tcPr>
          <w:p>
            <w:pPr>
              <w:widowControl/>
              <w:jc w:val="left"/>
              <w:outlineLvl w:val="1"/>
              <w:rPr>
                <w:rFonts w:hint="default" w:ascii="Times New Roman" w:hAnsi="Times New Roman" w:eastAsia="仿宋_GB2312" w:cs="Times New Roman"/>
                <w:kern w:val="0"/>
                <w:sz w:val="32"/>
                <w:szCs w:val="32"/>
              </w:rPr>
            </w:pPr>
          </w:p>
        </w:tc>
        <w:tc>
          <w:tcPr>
            <w:tcW w:w="732" w:type="dxa"/>
          </w:tcPr>
          <w:p>
            <w:pPr>
              <w:widowControl/>
              <w:jc w:val="left"/>
              <w:outlineLvl w:val="1"/>
              <w:rPr>
                <w:rFonts w:hint="default" w:ascii="Times New Roman" w:hAnsi="Times New Roman" w:eastAsia="仿宋_GB2312" w:cs="Times New Roman"/>
                <w:kern w:val="0"/>
                <w:sz w:val="32"/>
                <w:szCs w:val="32"/>
              </w:rPr>
            </w:pPr>
          </w:p>
        </w:tc>
        <w:tc>
          <w:tcPr>
            <w:tcW w:w="561" w:type="dxa"/>
            <w:gridSpan w:val="2"/>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530" w:type="dxa"/>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618" w:type="dxa"/>
            <w:gridSpan w:val="2"/>
          </w:tcPr>
          <w:p>
            <w:pPr>
              <w:widowControl/>
              <w:jc w:val="left"/>
              <w:outlineLvl w:val="1"/>
              <w:rPr>
                <w:rFonts w:hint="default" w:ascii="Times New Roman" w:hAnsi="Times New Roman" w:eastAsia="仿宋_GB2312" w:cs="Times New Roman"/>
                <w:kern w:val="0"/>
                <w:sz w:val="32"/>
                <w:szCs w:val="32"/>
              </w:rPr>
            </w:pPr>
          </w:p>
        </w:tc>
        <w:tc>
          <w:tcPr>
            <w:tcW w:w="419" w:type="dxa"/>
          </w:tcPr>
          <w:p>
            <w:pPr>
              <w:widowControl/>
              <w:jc w:val="left"/>
              <w:outlineLvl w:val="1"/>
              <w:rPr>
                <w:rFonts w:hint="default" w:ascii="Times New Roman" w:hAnsi="Times New Roman" w:eastAsia="仿宋_GB2312" w:cs="Times New Roman"/>
                <w:kern w:val="0"/>
                <w:sz w:val="32"/>
                <w:szCs w:val="32"/>
              </w:rPr>
            </w:pPr>
          </w:p>
        </w:tc>
        <w:tc>
          <w:tcPr>
            <w:tcW w:w="618"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65" w:type="dxa"/>
            <w:gridSpan w:val="2"/>
          </w:tcPr>
          <w:p>
            <w:pPr>
              <w:widowControl/>
              <w:jc w:val="left"/>
              <w:outlineLvl w:val="1"/>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p>
        </w:tc>
        <w:tc>
          <w:tcPr>
            <w:tcW w:w="440" w:type="dxa"/>
          </w:tcPr>
          <w:p>
            <w:pPr>
              <w:widowControl/>
              <w:jc w:val="left"/>
              <w:outlineLvl w:val="1"/>
              <w:rPr>
                <w:rFonts w:hint="default" w:ascii="Times New Roman" w:hAnsi="Times New Roman" w:eastAsia="仿宋_GB2312" w:cs="Times New Roman"/>
                <w:kern w:val="0"/>
                <w:sz w:val="32"/>
                <w:szCs w:val="32"/>
              </w:rPr>
            </w:pPr>
          </w:p>
        </w:tc>
        <w:tc>
          <w:tcPr>
            <w:tcW w:w="440" w:type="dxa"/>
          </w:tcPr>
          <w:p>
            <w:pPr>
              <w:widowControl/>
              <w:jc w:val="left"/>
              <w:outlineLvl w:val="1"/>
              <w:rPr>
                <w:rFonts w:hint="default" w:ascii="Times New Roman" w:hAnsi="Times New Roman" w:eastAsia="仿宋_GB2312" w:cs="Times New Roman"/>
                <w:kern w:val="0"/>
                <w:sz w:val="32"/>
                <w:szCs w:val="32"/>
              </w:rPr>
            </w:pPr>
          </w:p>
        </w:tc>
        <w:tc>
          <w:tcPr>
            <w:tcW w:w="668" w:type="dxa"/>
          </w:tcPr>
          <w:p>
            <w:pPr>
              <w:widowControl/>
              <w:jc w:val="left"/>
              <w:outlineLvl w:val="1"/>
              <w:rPr>
                <w:rFonts w:hint="default" w:ascii="Times New Roman" w:hAnsi="Times New Roman" w:eastAsia="仿宋_GB2312" w:cs="Times New Roman"/>
                <w:kern w:val="0"/>
                <w:sz w:val="32"/>
                <w:szCs w:val="32"/>
              </w:rPr>
            </w:pPr>
          </w:p>
        </w:tc>
        <w:tc>
          <w:tcPr>
            <w:tcW w:w="1400" w:type="dxa"/>
          </w:tcPr>
          <w:p>
            <w:pPr>
              <w:widowControl/>
              <w:jc w:val="left"/>
              <w:outlineLvl w:val="1"/>
              <w:rPr>
                <w:rFonts w:hint="default" w:ascii="Times New Roman" w:hAnsi="Times New Roman" w:eastAsia="仿宋_GB2312" w:cs="Times New Roman"/>
                <w:kern w:val="0"/>
                <w:sz w:val="32"/>
                <w:szCs w:val="32"/>
              </w:rPr>
            </w:pPr>
          </w:p>
        </w:tc>
        <w:tc>
          <w:tcPr>
            <w:tcW w:w="732" w:type="dxa"/>
          </w:tcPr>
          <w:p>
            <w:pPr>
              <w:widowControl/>
              <w:jc w:val="left"/>
              <w:outlineLvl w:val="1"/>
              <w:rPr>
                <w:rFonts w:hint="default" w:ascii="Times New Roman" w:hAnsi="Times New Roman" w:eastAsia="仿宋_GB2312" w:cs="Times New Roman"/>
                <w:kern w:val="0"/>
                <w:sz w:val="32"/>
                <w:szCs w:val="32"/>
              </w:rPr>
            </w:pPr>
          </w:p>
        </w:tc>
        <w:tc>
          <w:tcPr>
            <w:tcW w:w="561" w:type="dxa"/>
            <w:gridSpan w:val="2"/>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530" w:type="dxa"/>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618" w:type="dxa"/>
            <w:gridSpan w:val="2"/>
          </w:tcPr>
          <w:p>
            <w:pPr>
              <w:widowControl/>
              <w:jc w:val="left"/>
              <w:outlineLvl w:val="1"/>
              <w:rPr>
                <w:rFonts w:hint="default" w:ascii="Times New Roman" w:hAnsi="Times New Roman" w:eastAsia="仿宋_GB2312" w:cs="Times New Roman"/>
                <w:kern w:val="0"/>
                <w:sz w:val="32"/>
                <w:szCs w:val="32"/>
              </w:rPr>
            </w:pPr>
          </w:p>
        </w:tc>
        <w:tc>
          <w:tcPr>
            <w:tcW w:w="419" w:type="dxa"/>
          </w:tcPr>
          <w:p>
            <w:pPr>
              <w:widowControl/>
              <w:jc w:val="left"/>
              <w:outlineLvl w:val="1"/>
              <w:rPr>
                <w:rFonts w:hint="default" w:ascii="Times New Roman" w:hAnsi="Times New Roman" w:eastAsia="仿宋_GB2312" w:cs="Times New Roman"/>
                <w:kern w:val="0"/>
                <w:sz w:val="32"/>
                <w:szCs w:val="32"/>
              </w:rPr>
            </w:pPr>
          </w:p>
        </w:tc>
        <w:tc>
          <w:tcPr>
            <w:tcW w:w="618"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65" w:type="dxa"/>
            <w:gridSpan w:val="2"/>
          </w:tcPr>
          <w:p>
            <w:pPr>
              <w:widowControl/>
              <w:jc w:val="left"/>
              <w:outlineLvl w:val="1"/>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4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6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vAlign w:val="center"/>
          </w:tcPr>
          <w:p>
            <w:pPr>
              <w:widowControl/>
              <w:jc w:val="center"/>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20"/>
                <w:szCs w:val="20"/>
              </w:rPr>
              <w:t>合 计</w:t>
            </w:r>
          </w:p>
        </w:tc>
        <w:tc>
          <w:tcPr>
            <w:tcW w:w="732" w:type="dxa"/>
            <w:vAlign w:val="center"/>
          </w:tcPr>
          <w:p>
            <w:pPr>
              <w:widowControl/>
              <w:jc w:val="both"/>
              <w:outlineLvl w:val="1"/>
              <w:rPr>
                <w:rFonts w:hint="default" w:ascii="Times New Roman" w:hAnsi="Times New Roman" w:eastAsia="仿宋_GB2312" w:cs="Times New Roman"/>
                <w:kern w:val="0"/>
                <w:sz w:val="20"/>
                <w:szCs w:val="20"/>
                <w:lang w:val="en-US" w:eastAsia="zh-CN"/>
              </w:rPr>
            </w:pPr>
          </w:p>
          <w:p>
            <w:pPr>
              <w:widowControl/>
              <w:jc w:val="both"/>
              <w:outlineLvl w:val="1"/>
              <w:rPr>
                <w:rFonts w:hint="default" w:ascii="Times New Roman" w:hAnsi="Times New Roman" w:eastAsia="仿宋_GB2312" w:cs="Times New Roman"/>
                <w:kern w:val="0"/>
                <w:szCs w:val="21"/>
              </w:rPr>
            </w:pPr>
          </w:p>
        </w:tc>
        <w:tc>
          <w:tcPr>
            <w:tcW w:w="561"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20"/>
                <w:szCs w:val="20"/>
                <w:lang w:val="en-US" w:eastAsia="zh-CN"/>
              </w:rPr>
            </w:pPr>
          </w:p>
          <w:p>
            <w:pPr>
              <w:widowControl/>
              <w:jc w:val="left"/>
              <w:outlineLvl w:val="1"/>
              <w:rPr>
                <w:rFonts w:hint="default" w:ascii="Times New Roman" w:hAnsi="Times New Roman" w:eastAsia="仿宋_GB2312" w:cs="Times New Roman"/>
                <w:kern w:val="0"/>
                <w:sz w:val="32"/>
                <w:szCs w:val="32"/>
              </w:rPr>
            </w:pP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bl>
    <w:p>
      <w:pPr>
        <w:widowControl/>
        <w:jc w:val="left"/>
        <w:textAlignment w:val="bottom"/>
        <w:rPr>
          <w:rFonts w:ascii="宋体" w:hAnsi="宋体" w:cs="宋体"/>
          <w:kern w:val="0"/>
          <w:sz w:val="20"/>
          <w:szCs w:val="20"/>
        </w:rPr>
      </w:pPr>
    </w:p>
    <w:p>
      <w:pPr>
        <w:widowControl/>
        <w:spacing w:line="280" w:lineRule="exact"/>
        <w:outlineLvl w:val="1"/>
        <w:rPr>
          <w:rFonts w:eastAsia="仿宋_GB2312"/>
          <w:b/>
          <w:kern w:val="0"/>
          <w:sz w:val="28"/>
          <w:szCs w:val="32"/>
        </w:rPr>
      </w:pPr>
      <w:r>
        <w:rPr>
          <w:rFonts w:eastAsia="仿宋_GB2312"/>
          <w:b/>
          <w:kern w:val="0"/>
          <w:sz w:val="28"/>
          <w:szCs w:val="32"/>
        </w:rPr>
        <w:t>备注：202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本单位</w:t>
      </w:r>
      <w:r>
        <w:rPr>
          <w:rFonts w:hint="eastAsia" w:eastAsia="仿宋_GB2312"/>
          <w:b/>
          <w:kern w:val="0"/>
          <w:sz w:val="28"/>
          <w:szCs w:val="32"/>
          <w:lang w:eastAsia="zh-CN"/>
        </w:rPr>
        <w:t>无一般公共预算项目支出</w:t>
      </w:r>
      <w:r>
        <w:rPr>
          <w:rFonts w:eastAsia="仿宋_GB2312"/>
          <w:b/>
          <w:kern w:val="0"/>
          <w:sz w:val="28"/>
          <w:szCs w:val="32"/>
        </w:rPr>
        <w:t>，此表为空表。</w:t>
      </w:r>
    </w:p>
    <w:p>
      <w:pPr>
        <w:pStyle w:val="2"/>
      </w:pPr>
    </w:p>
    <w:p>
      <w:pPr>
        <w:pStyle w:val="2"/>
      </w:pPr>
    </w:p>
    <w:p/>
    <w:p>
      <w:pPr>
        <w:widowControl/>
        <w:jc w:val="left"/>
        <w:textAlignment w:val="bottom"/>
        <w:rPr>
          <w:rFonts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8</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编制单位：焉耆回族自治县第二幼儿园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eastAsia="仿宋_GB2312"/>
          <w:b/>
          <w:kern w:val="0"/>
          <w:sz w:val="28"/>
          <w:szCs w:val="32"/>
        </w:rPr>
      </w:pPr>
      <w:r>
        <w:rPr>
          <w:rFonts w:eastAsia="仿宋_GB2312"/>
          <w:b/>
          <w:kern w:val="0"/>
          <w:sz w:val="28"/>
          <w:szCs w:val="32"/>
        </w:rPr>
        <w:t>备注：202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本单位</w:t>
      </w:r>
      <w:r>
        <w:rPr>
          <w:rFonts w:hint="eastAsia" w:eastAsia="仿宋_GB2312"/>
          <w:b/>
          <w:kern w:val="0"/>
          <w:sz w:val="28"/>
          <w:szCs w:val="32"/>
          <w:lang w:eastAsia="zh-CN"/>
        </w:rPr>
        <w:t>无</w:t>
      </w:r>
      <w:r>
        <w:rPr>
          <w:rFonts w:eastAsia="仿宋_GB2312"/>
          <w:b/>
          <w:kern w:val="0"/>
          <w:sz w:val="28"/>
          <w:szCs w:val="32"/>
        </w:rPr>
        <w:t>政府性基金预算支出，此表为空表。</w:t>
      </w:r>
    </w:p>
    <w:p>
      <w:pPr>
        <w:widowControl/>
        <w:jc w:val="left"/>
        <w:textAlignment w:val="bottom"/>
        <w:rPr>
          <w:kern w:val="0"/>
          <w:sz w:val="20"/>
          <w:szCs w:val="20"/>
        </w:rPr>
      </w:pPr>
    </w:p>
    <w:p>
      <w:pPr>
        <w:widowControl/>
        <w:spacing w:line="320" w:lineRule="exact"/>
        <w:outlineLvl w:val="1"/>
        <w:rPr>
          <w:rFonts w:ascii="宋体" w:hAnsi="宋体" w:cs="宋体"/>
          <w:kern w:val="0"/>
          <w:sz w:val="20"/>
          <w:szCs w:val="20"/>
          <w:highlight w:val="yellow"/>
        </w:rPr>
      </w:pPr>
    </w:p>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p>
    <w:p>
      <w:pPr>
        <w:pStyle w:val="3"/>
        <w:ind w:firstLine="422"/>
      </w:pPr>
    </w:p>
    <w:p>
      <w:pPr>
        <w:widowControl/>
        <w:jc w:val="left"/>
        <w:textAlignment w:val="bottom"/>
        <w:rPr>
          <w:rFonts w:ascii="仿宋_GB2312" w:hAnsi="宋体" w:eastAsia="仿宋_GB2312"/>
          <w:b/>
          <w:kern w:val="0"/>
          <w:sz w:val="28"/>
          <w:szCs w:val="32"/>
        </w:rPr>
      </w:pPr>
      <w:r>
        <w:rPr>
          <w:rFonts w:hint="eastAsia" w:ascii="宋体" w:hAnsi="宋体" w:cs="宋体"/>
          <w:kern w:val="0"/>
          <w:sz w:val="20"/>
          <w:szCs w:val="20"/>
        </w:rPr>
        <w:t>表9</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编制单位：焉耆回族自治县第二幼儿园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国有资本经营预算支出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eastAsia="仿宋_GB2312"/>
          <w:b/>
          <w:kern w:val="0"/>
          <w:sz w:val="28"/>
          <w:szCs w:val="32"/>
        </w:rPr>
      </w:pPr>
      <w:r>
        <w:rPr>
          <w:rFonts w:hint="eastAsia" w:eastAsia="仿宋_GB2312"/>
          <w:b/>
          <w:kern w:val="0"/>
          <w:sz w:val="28"/>
          <w:szCs w:val="32"/>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本单位</w:t>
      </w:r>
      <w:r>
        <w:rPr>
          <w:rFonts w:hint="eastAsia" w:eastAsia="仿宋_GB2312"/>
          <w:b/>
          <w:kern w:val="0"/>
          <w:sz w:val="28"/>
          <w:szCs w:val="32"/>
          <w:lang w:eastAsia="zh-CN"/>
        </w:rPr>
        <w:t>无</w:t>
      </w:r>
      <w:r>
        <w:rPr>
          <w:rFonts w:eastAsia="仿宋_GB2312"/>
          <w:b/>
          <w:kern w:val="0"/>
          <w:sz w:val="28"/>
          <w:szCs w:val="32"/>
        </w:rPr>
        <w:t>国有资本经营预算支出，此表为空表。</w:t>
      </w:r>
    </w:p>
    <w:p>
      <w:pPr>
        <w:widowControl/>
        <w:spacing w:line="280" w:lineRule="exact"/>
        <w:outlineLvl w:val="1"/>
        <w:rPr>
          <w:rFonts w:eastAsia="仿宋_GB2312"/>
          <w:kern w:val="0"/>
          <w:sz w:val="32"/>
          <w:szCs w:val="32"/>
        </w:rPr>
      </w:pPr>
    </w:p>
    <w:p>
      <w:pPr>
        <w:widowControl/>
        <w:spacing w:line="320" w:lineRule="exact"/>
        <w:outlineLvl w:val="1"/>
        <w:rPr>
          <w:rFonts w:ascii="仿宋_GB2312" w:hAnsi="宋体" w:eastAsia="仿宋_GB2312"/>
          <w:b/>
          <w:kern w:val="0"/>
          <w:sz w:val="28"/>
          <w:szCs w:val="32"/>
        </w:rPr>
      </w:pPr>
    </w:p>
    <w:p/>
    <w:p>
      <w:pPr>
        <w:pStyle w:val="3"/>
        <w:ind w:firstLine="422"/>
      </w:pPr>
    </w:p>
    <w:p/>
    <w:p>
      <w:pPr>
        <w:pStyle w:val="3"/>
        <w:ind w:firstLine="422"/>
      </w:pPr>
    </w:p>
    <w:p>
      <w:pPr>
        <w:widowControl/>
        <w:jc w:val="left"/>
        <w:textAlignment w:val="bottom"/>
        <w:rPr>
          <w:rFonts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10</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财政拨款“三公”经费支出情况表</w:t>
      </w:r>
    </w:p>
    <w:p>
      <w:pPr>
        <w:widowControl/>
        <w:jc w:val="center"/>
        <w:rPr>
          <w:rFonts w:ascii="仿宋_GB2312" w:hAnsi="宋体" w:eastAsia="仿宋_GB2312"/>
          <w:kern w:val="0"/>
          <w:sz w:val="24"/>
        </w:rPr>
      </w:pPr>
      <w:r>
        <w:rPr>
          <w:rFonts w:hint="eastAsia" w:ascii="仿宋_GB2312" w:hAnsi="宋体" w:eastAsia="仿宋_GB2312"/>
          <w:kern w:val="0"/>
          <w:sz w:val="24"/>
        </w:rPr>
        <w:t>编制单位：焉耆回族自治县第二幼儿园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“三公”经费支出内容</w:t>
            </w:r>
          </w:p>
        </w:tc>
        <w:tc>
          <w:tcPr>
            <w:tcW w:w="1156" w:type="dxa"/>
            <w:vMerge w:val="restart"/>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合计</w:t>
            </w:r>
          </w:p>
        </w:tc>
        <w:tc>
          <w:tcPr>
            <w:tcW w:w="4279" w:type="dxa"/>
            <w:gridSpan w:val="3"/>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tcPr>
          <w:p>
            <w:pPr>
              <w:widowControl/>
              <w:outlineLvl w:val="1"/>
              <w:rPr>
                <w:rFonts w:ascii="仿宋_GB2312" w:hAnsi="宋体" w:eastAsia="仿宋_GB2312"/>
                <w:b/>
                <w:kern w:val="0"/>
                <w:sz w:val="28"/>
                <w:szCs w:val="32"/>
              </w:rPr>
            </w:pPr>
          </w:p>
        </w:tc>
        <w:tc>
          <w:tcPr>
            <w:tcW w:w="1156" w:type="dxa"/>
            <w:vMerge w:val="continue"/>
          </w:tcPr>
          <w:p>
            <w:pPr>
              <w:widowControl/>
              <w:outlineLvl w:val="1"/>
              <w:rPr>
                <w:rFonts w:ascii="仿宋_GB2312" w:hAnsi="宋体" w:eastAsia="仿宋_GB2312"/>
                <w:b/>
                <w:kern w:val="0"/>
                <w:sz w:val="28"/>
                <w:szCs w:val="32"/>
              </w:rPr>
            </w:pPr>
          </w:p>
        </w:tc>
        <w:tc>
          <w:tcPr>
            <w:tcW w:w="1247"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一般公共预算</w:t>
            </w:r>
          </w:p>
        </w:tc>
        <w:tc>
          <w:tcPr>
            <w:tcW w:w="1504"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政府性基金</w:t>
            </w:r>
          </w:p>
        </w:tc>
        <w:tc>
          <w:tcPr>
            <w:tcW w:w="1528"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合计</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因公出国（境）费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公务接待费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公务用车购置及运行费</w:t>
            </w:r>
          </w:p>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（小计）</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ind w:firstLine="281" w:firstLineChars="100"/>
              <w:outlineLvl w:val="1"/>
              <w:rPr>
                <w:rFonts w:ascii="仿宋_GB2312" w:hAnsi="宋体" w:eastAsia="仿宋_GB2312"/>
                <w:b/>
                <w:kern w:val="0"/>
                <w:sz w:val="28"/>
                <w:szCs w:val="32"/>
              </w:rPr>
            </w:pPr>
            <w:r>
              <w:rPr>
                <w:rFonts w:hint="eastAsia" w:ascii="仿宋_GB2312" w:hAnsi="宋体" w:eastAsia="仿宋_GB2312"/>
                <w:b/>
                <w:kern w:val="0"/>
                <w:sz w:val="28"/>
                <w:szCs w:val="32"/>
              </w:rPr>
              <w:t>其中：公务用车购置费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 xml:space="preserve">     </w:t>
            </w:r>
            <w:r>
              <w:rPr>
                <w:rFonts w:ascii="仿宋_GB2312" w:hAnsi="宋体" w:eastAsia="仿宋_GB2312"/>
                <w:b/>
                <w:kern w:val="0"/>
                <w:sz w:val="28"/>
                <w:szCs w:val="32"/>
              </w:rPr>
              <w:t xml:space="preserve">  </w:t>
            </w:r>
            <w:r>
              <w:rPr>
                <w:rFonts w:hint="eastAsia" w:ascii="仿宋_GB2312" w:hAnsi="宋体" w:eastAsia="仿宋_GB2312"/>
                <w:b/>
                <w:kern w:val="0"/>
                <w:sz w:val="28"/>
                <w:szCs w:val="32"/>
              </w:rPr>
              <w:t xml:space="preserve"> 公务用车运行费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outlineLvl w:val="1"/>
              <w:rPr>
                <w:rFonts w:ascii="仿宋_GB2312" w:hAnsi="宋体" w:eastAsia="仿宋_GB2312"/>
                <w:b/>
                <w:kern w:val="0"/>
                <w:sz w:val="28"/>
                <w:szCs w:val="32"/>
              </w:rPr>
            </w:pP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bl>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eastAsia="仿宋_GB2312"/>
          <w:b/>
          <w:kern w:val="0"/>
          <w:sz w:val="28"/>
          <w:szCs w:val="32"/>
        </w:rPr>
      </w:pPr>
      <w:r>
        <w:rPr>
          <w:rFonts w:hint="eastAsia" w:ascii="仿宋_GB2312" w:hAnsi="宋体" w:eastAsia="仿宋_GB2312"/>
          <w:b/>
          <w:kern w:val="0"/>
          <w:sz w:val="28"/>
          <w:szCs w:val="32"/>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w:t>
      </w:r>
      <w:r>
        <w:rPr>
          <w:rFonts w:hint="eastAsia" w:ascii="仿宋_GB2312" w:hAnsi="宋体" w:eastAsia="仿宋_GB2312"/>
          <w:b/>
          <w:kern w:val="0"/>
          <w:sz w:val="28"/>
          <w:szCs w:val="32"/>
        </w:rPr>
        <w:t>本单位</w:t>
      </w:r>
      <w:r>
        <w:rPr>
          <w:rFonts w:hint="eastAsia" w:ascii="仿宋_GB2312" w:hAnsi="宋体" w:eastAsia="仿宋_GB2312"/>
          <w:b/>
          <w:kern w:val="0"/>
          <w:sz w:val="28"/>
          <w:szCs w:val="32"/>
          <w:lang w:eastAsia="zh-CN"/>
        </w:rPr>
        <w:t>无</w:t>
      </w:r>
      <w:r>
        <w:rPr>
          <w:rFonts w:eastAsia="仿宋_GB2312"/>
          <w:b/>
          <w:kern w:val="0"/>
          <w:sz w:val="28"/>
          <w:szCs w:val="32"/>
        </w:rPr>
        <w:t>财政拨款“三公”经费支出，此表为空表。</w:t>
      </w:r>
    </w:p>
    <w:p>
      <w:pPr>
        <w:widowControl/>
        <w:spacing w:line="320" w:lineRule="exact"/>
        <w:outlineLvl w:val="1"/>
        <w:rPr>
          <w:rFonts w:ascii="仿宋_GB2312" w:hAnsi="宋体" w:eastAsia="仿宋_GB2312"/>
          <w:b/>
          <w:kern w:val="0"/>
          <w:sz w:val="28"/>
          <w:szCs w:val="32"/>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highlight w:val="yellow"/>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widowControl/>
        <w:jc w:val="left"/>
        <w:textAlignment w:val="bottom"/>
        <w:rPr>
          <w:rFonts w:ascii="仿宋" w:hAnsi="仿宋" w:eastAsia="仿宋" w:cs="仿宋_GB2312"/>
          <w:bCs/>
          <w:kern w:val="0"/>
          <w:sz w:val="28"/>
          <w:szCs w:val="28"/>
        </w:rPr>
      </w:pPr>
      <w:r>
        <w:rPr>
          <w:rFonts w:hint="eastAsia" w:ascii="宋体" w:hAnsi="宋体" w:cs="宋体"/>
          <w:kern w:val="0"/>
          <w:sz w:val="20"/>
          <w:szCs w:val="20"/>
        </w:rPr>
        <w:t>表</w:t>
      </w:r>
      <w:r>
        <w:rPr>
          <w:rFonts w:ascii="宋体" w:hAnsi="宋体" w:cs="宋体"/>
          <w:kern w:val="0"/>
          <w:sz w:val="20"/>
          <w:szCs w:val="20"/>
        </w:rPr>
        <w:t>1</w:t>
      </w:r>
      <w:r>
        <w:rPr>
          <w:rFonts w:hint="eastAsia" w:ascii="宋体" w:hAnsi="宋体" w:cs="宋体"/>
          <w:kern w:val="0"/>
          <w:sz w:val="20"/>
          <w:szCs w:val="20"/>
        </w:rPr>
        <w:t>1</w:t>
      </w:r>
    </w:p>
    <w:p>
      <w:pPr>
        <w:spacing w:line="600" w:lineRule="exact"/>
        <w:ind w:firstLine="2891" w:firstLineChars="900"/>
        <w:rPr>
          <w:rFonts w:ascii="仿宋_GB2312" w:hAnsi="宋体" w:eastAsia="仿宋_GB2312"/>
          <w:b/>
          <w:kern w:val="0"/>
          <w:sz w:val="32"/>
          <w:szCs w:val="32"/>
        </w:rPr>
      </w:pPr>
      <w:r>
        <w:rPr>
          <w:rFonts w:hint="eastAsia" w:ascii="仿宋_GB2312" w:hAnsi="宋体" w:eastAsia="仿宋_GB2312"/>
          <w:b/>
          <w:kern w:val="0"/>
          <w:sz w:val="32"/>
          <w:szCs w:val="32"/>
        </w:rPr>
        <w:t>上年结转结余情况明细表</w:t>
      </w:r>
    </w:p>
    <w:p>
      <w:pPr>
        <w:widowControl/>
        <w:rPr>
          <w:rFonts w:ascii="仿宋_GB2312" w:hAnsi="宋体" w:eastAsia="仿宋_GB2312"/>
          <w:b/>
          <w:kern w:val="0"/>
          <w:sz w:val="32"/>
          <w:szCs w:val="32"/>
        </w:rPr>
      </w:pPr>
      <w:r>
        <w:rPr>
          <w:rFonts w:hint="eastAsia" w:ascii="仿宋_GB2312" w:hAnsi="宋体" w:eastAsia="仿宋_GB2312"/>
          <w:kern w:val="0"/>
          <w:sz w:val="24"/>
        </w:rPr>
        <w:t>编制单位：焉耆回族自治县第二幼儿园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w:t>
            </w:r>
          </w:p>
        </w:tc>
        <w:tc>
          <w:tcPr>
            <w:tcW w:w="850"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3869"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财政拨款</w:t>
            </w:r>
          </w:p>
        </w:tc>
        <w:tc>
          <w:tcPr>
            <w:tcW w:w="3612"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vAlign w:val="center"/>
          </w:tcPr>
          <w:p>
            <w:pPr>
              <w:widowControl/>
              <w:spacing w:line="280" w:lineRule="exact"/>
              <w:jc w:val="center"/>
              <w:rPr>
                <w:rFonts w:ascii="仿宋_GB2312" w:hAnsi="宋体" w:eastAsia="仿宋_GB2312" w:cs="宋体"/>
                <w:b/>
                <w:bCs/>
                <w:kern w:val="0"/>
                <w:sz w:val="20"/>
                <w:szCs w:val="20"/>
              </w:rPr>
            </w:pPr>
          </w:p>
        </w:tc>
        <w:tc>
          <w:tcPr>
            <w:tcW w:w="850" w:type="dxa"/>
            <w:vMerge w:val="continue"/>
            <w:vAlign w:val="center"/>
          </w:tcPr>
          <w:p>
            <w:pPr>
              <w:spacing w:line="600" w:lineRule="exact"/>
              <w:jc w:val="center"/>
              <w:rPr>
                <w:rFonts w:ascii="仿宋" w:hAnsi="仿宋" w:eastAsia="仿宋" w:cs="仿宋_GB2312"/>
                <w:bCs/>
                <w:kern w:val="0"/>
                <w:sz w:val="28"/>
                <w:szCs w:val="28"/>
              </w:rPr>
            </w:pPr>
          </w:p>
        </w:tc>
        <w:tc>
          <w:tcPr>
            <w:tcW w:w="1054"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c>
          <w:tcPr>
            <w:tcW w:w="797"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vAlign w:val="center"/>
          </w:tcPr>
          <w:p>
            <w:pPr>
              <w:spacing w:line="600" w:lineRule="exact"/>
              <w:jc w:val="center"/>
              <w:rPr>
                <w:rFonts w:ascii="仿宋" w:hAnsi="仿宋" w:eastAsia="仿宋" w:cs="仿宋_GB2312"/>
                <w:bCs/>
                <w:kern w:val="0"/>
                <w:sz w:val="28"/>
                <w:szCs w:val="28"/>
              </w:rPr>
            </w:pPr>
          </w:p>
        </w:tc>
        <w:tc>
          <w:tcPr>
            <w:tcW w:w="850" w:type="dxa"/>
            <w:vMerge w:val="continue"/>
            <w:vAlign w:val="center"/>
          </w:tcPr>
          <w:p>
            <w:pPr>
              <w:spacing w:line="600" w:lineRule="exact"/>
              <w:jc w:val="center"/>
              <w:rPr>
                <w:rFonts w:ascii="仿宋" w:hAnsi="仿宋" w:eastAsia="仿宋" w:cs="仿宋_GB2312"/>
                <w:bCs/>
                <w:kern w:val="0"/>
                <w:sz w:val="28"/>
                <w:szCs w:val="28"/>
              </w:rPr>
            </w:pPr>
          </w:p>
        </w:tc>
        <w:tc>
          <w:tcPr>
            <w:tcW w:w="1054" w:type="dxa"/>
            <w:vMerge w:val="continue"/>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714"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spacing w:line="600" w:lineRule="exact"/>
              <w:jc w:val="center"/>
              <w:rPr>
                <w:rFonts w:ascii="仿宋" w:hAnsi="仿宋" w:eastAsia="仿宋" w:cs="仿宋_GB2312"/>
                <w:bCs/>
                <w:kern w:val="0"/>
                <w:sz w:val="28"/>
                <w:szCs w:val="28"/>
              </w:rPr>
            </w:pPr>
          </w:p>
        </w:tc>
        <w:tc>
          <w:tcPr>
            <w:tcW w:w="797" w:type="dxa"/>
            <w:vMerge w:val="continue"/>
            <w:vAlign w:val="center"/>
          </w:tcPr>
          <w:p>
            <w:pPr>
              <w:spacing w:line="600" w:lineRule="exact"/>
              <w:jc w:val="center"/>
              <w:rPr>
                <w:rFonts w:ascii="仿宋" w:hAnsi="仿宋" w:eastAsia="仿宋" w:cs="仿宋_GB2312"/>
                <w:bCs/>
                <w:kern w:val="0"/>
                <w:sz w:val="28"/>
                <w:szCs w:val="28"/>
              </w:rPr>
            </w:pPr>
          </w:p>
        </w:tc>
        <w:tc>
          <w:tcPr>
            <w:tcW w:w="723"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881"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vAlign w:val="center"/>
          </w:tcPr>
          <w:p>
            <w:pPr>
              <w:spacing w:line="600" w:lineRule="exact"/>
              <w:jc w:val="center"/>
              <w:rPr>
                <w:rFonts w:ascii="仿宋" w:hAnsi="仿宋" w:eastAsia="仿宋" w:cs="仿宋_GB2312"/>
                <w:bCs/>
                <w:kern w:val="0"/>
                <w:sz w:val="28"/>
                <w:szCs w:val="28"/>
                <w:highlight w:val="yellow"/>
              </w:rPr>
            </w:pPr>
          </w:p>
        </w:tc>
        <w:tc>
          <w:tcPr>
            <w:tcW w:w="850" w:type="dxa"/>
            <w:vAlign w:val="center"/>
          </w:tcPr>
          <w:p>
            <w:pPr>
              <w:spacing w:line="600" w:lineRule="exact"/>
              <w:jc w:val="center"/>
              <w:rPr>
                <w:rFonts w:ascii="仿宋" w:hAnsi="仿宋" w:eastAsia="仿宋" w:cs="仿宋_GB2312"/>
                <w:bCs/>
                <w:kern w:val="0"/>
                <w:sz w:val="28"/>
                <w:szCs w:val="28"/>
                <w:highlight w:val="yellow"/>
              </w:rPr>
            </w:pPr>
            <w:r>
              <w:rPr>
                <w:rFonts w:hint="eastAsia" w:ascii="仿宋_GB2312" w:hAnsi="宋体" w:eastAsia="仿宋_GB2312" w:cs="宋体"/>
                <w:b/>
                <w:bCs/>
                <w:kern w:val="0"/>
                <w:sz w:val="20"/>
                <w:szCs w:val="20"/>
              </w:rPr>
              <w:t>总计</w:t>
            </w:r>
          </w:p>
        </w:tc>
        <w:tc>
          <w:tcPr>
            <w:tcW w:w="1054" w:type="dxa"/>
            <w:vAlign w:val="center"/>
          </w:tcPr>
          <w:p>
            <w:pPr>
              <w:spacing w:line="600" w:lineRule="exact"/>
              <w:jc w:val="center"/>
              <w:rPr>
                <w:rFonts w:ascii="仿宋" w:hAnsi="仿宋" w:eastAsia="仿宋" w:cs="仿宋_GB2312"/>
                <w:bCs/>
                <w:kern w:val="0"/>
                <w:sz w:val="28"/>
                <w:szCs w:val="28"/>
                <w:highlight w:val="yellow"/>
              </w:rPr>
            </w:pPr>
          </w:p>
        </w:tc>
        <w:tc>
          <w:tcPr>
            <w:tcW w:w="890" w:type="dxa"/>
            <w:vAlign w:val="center"/>
          </w:tcPr>
          <w:p>
            <w:pPr>
              <w:widowControl/>
              <w:spacing w:line="280" w:lineRule="exact"/>
              <w:jc w:val="center"/>
              <w:rPr>
                <w:rFonts w:ascii="仿宋_GB2312" w:hAnsi="宋体" w:eastAsia="仿宋_GB2312" w:cs="宋体"/>
                <w:b/>
                <w:bCs/>
                <w:kern w:val="0"/>
                <w:sz w:val="20"/>
                <w:szCs w:val="20"/>
                <w:highlight w:val="yellow"/>
              </w:rPr>
            </w:pPr>
          </w:p>
        </w:tc>
        <w:tc>
          <w:tcPr>
            <w:tcW w:w="714" w:type="dxa"/>
            <w:vAlign w:val="center"/>
          </w:tcPr>
          <w:p>
            <w:pPr>
              <w:widowControl/>
              <w:spacing w:line="280" w:lineRule="exact"/>
              <w:jc w:val="center"/>
              <w:rPr>
                <w:rFonts w:ascii="仿宋_GB2312" w:hAnsi="宋体" w:eastAsia="仿宋_GB2312" w:cs="宋体"/>
                <w:b/>
                <w:bCs/>
                <w:kern w:val="0"/>
                <w:sz w:val="20"/>
                <w:szCs w:val="20"/>
                <w:highlight w:val="yellow"/>
              </w:rPr>
            </w:pPr>
          </w:p>
        </w:tc>
        <w:tc>
          <w:tcPr>
            <w:tcW w:w="1211" w:type="dxa"/>
            <w:vAlign w:val="center"/>
          </w:tcPr>
          <w:p>
            <w:pPr>
              <w:spacing w:line="600" w:lineRule="exact"/>
              <w:jc w:val="center"/>
              <w:rPr>
                <w:rFonts w:ascii="仿宋" w:hAnsi="仿宋" w:eastAsia="仿宋" w:cs="仿宋_GB2312"/>
                <w:bCs/>
                <w:kern w:val="0"/>
                <w:sz w:val="28"/>
                <w:szCs w:val="28"/>
                <w:highlight w:val="yellow"/>
              </w:rPr>
            </w:pPr>
          </w:p>
        </w:tc>
        <w:tc>
          <w:tcPr>
            <w:tcW w:w="797" w:type="dxa"/>
            <w:vAlign w:val="center"/>
          </w:tcPr>
          <w:p>
            <w:pPr>
              <w:spacing w:line="600" w:lineRule="exact"/>
              <w:jc w:val="center"/>
              <w:rPr>
                <w:rFonts w:ascii="仿宋" w:hAnsi="仿宋" w:eastAsia="仿宋" w:cs="仿宋_GB2312"/>
                <w:bCs/>
                <w:kern w:val="0"/>
                <w:sz w:val="28"/>
                <w:szCs w:val="28"/>
                <w:highlight w:val="yellow"/>
              </w:rPr>
            </w:pPr>
          </w:p>
        </w:tc>
        <w:tc>
          <w:tcPr>
            <w:tcW w:w="723" w:type="dxa"/>
            <w:vAlign w:val="center"/>
          </w:tcPr>
          <w:p>
            <w:pPr>
              <w:spacing w:line="600" w:lineRule="exact"/>
              <w:jc w:val="center"/>
              <w:rPr>
                <w:rFonts w:ascii="仿宋" w:hAnsi="仿宋" w:eastAsia="仿宋" w:cs="仿宋_GB2312"/>
                <w:bCs/>
                <w:kern w:val="0"/>
                <w:sz w:val="28"/>
                <w:szCs w:val="28"/>
                <w:highlight w:val="yellow"/>
              </w:rPr>
            </w:pPr>
          </w:p>
        </w:tc>
        <w:tc>
          <w:tcPr>
            <w:tcW w:w="881" w:type="dxa"/>
            <w:vAlign w:val="center"/>
          </w:tcPr>
          <w:p>
            <w:pPr>
              <w:spacing w:line="600" w:lineRule="exact"/>
              <w:jc w:val="center"/>
              <w:rPr>
                <w:rFonts w:ascii="仿宋" w:hAnsi="仿宋" w:eastAsia="仿宋" w:cs="仿宋_GB2312"/>
                <w:bCs/>
                <w:kern w:val="0"/>
                <w:sz w:val="28"/>
                <w:szCs w:val="28"/>
                <w:highlight w:val="yellow"/>
              </w:rPr>
            </w:pPr>
          </w:p>
        </w:tc>
        <w:tc>
          <w:tcPr>
            <w:tcW w:w="1211" w:type="dxa"/>
            <w:vAlign w:val="center"/>
          </w:tcPr>
          <w:p>
            <w:pPr>
              <w:spacing w:line="600" w:lineRule="exact"/>
              <w:jc w:val="center"/>
              <w:rPr>
                <w:rFonts w:ascii="仿宋" w:hAnsi="仿宋" w:eastAsia="仿宋" w:cs="仿宋_GB2312"/>
                <w:bCs/>
                <w:kern w:val="0"/>
                <w:sz w:val="28"/>
                <w:szCs w:val="28"/>
                <w:highlight w:val="yellow"/>
              </w:rPr>
            </w:pP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本单位</w:t>
      </w:r>
      <w:r>
        <w:rPr>
          <w:rFonts w:eastAsia="仿宋_GB2312"/>
          <w:b/>
          <w:kern w:val="0"/>
          <w:sz w:val="28"/>
          <w:szCs w:val="32"/>
        </w:rPr>
        <w:t>无上年结转结余情况，此表为空表。</w:t>
      </w:r>
    </w:p>
    <w:p>
      <w:pPr>
        <w:widowControl/>
        <w:spacing w:line="280" w:lineRule="exact"/>
        <w:jc w:val="left"/>
        <w:outlineLvl w:val="1"/>
        <w:rPr>
          <w:rFonts w:ascii="仿宋_GB2312" w:hAnsi="宋体" w:eastAsia="仿宋_GB2312"/>
          <w:kern w:val="0"/>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第三部分  2025年单位预算情况说明</w:t>
      </w:r>
    </w:p>
    <w:p>
      <w:pPr>
        <w:spacing w:line="60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一、关于焉耆回族自治县第二幼儿园2025年收支预算情况的总体说明</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按照全口径预算的原则，焉耆回族自治县第二幼儿园2025年所有收入和支出均纳入单位预算管理。收支总预算368.66万元。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收入预算包括:一般公共预算、单位资金。</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二、关于焉耆回族自治县第二幼儿园2025年收入预算情况说明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焉耆回族自治县第二幼儿园收入预算</w:t>
      </w:r>
      <w:r>
        <w:rPr>
          <w:rFonts w:hint="eastAsia" w:ascii="Times New Roman" w:hAnsi="Times New Roman" w:eastAsia="仿宋_GB2312" w:cs="Times New Roman"/>
          <w:kern w:val="0"/>
          <w:sz w:val="32"/>
          <w:szCs w:val="32"/>
        </w:rPr>
        <w:t>368.66</w:t>
      </w:r>
      <w:r>
        <w:rPr>
          <w:rFonts w:hint="eastAsia" w:ascii="仿宋_GB2312" w:hAnsi="宋体" w:eastAsia="仿宋_GB2312" w:cs="宋体"/>
          <w:kern w:val="0"/>
          <w:sz w:val="32"/>
          <w:szCs w:val="32"/>
        </w:rPr>
        <w:t>万元，其中：</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一般公共预算367.24万元，占99.61%，比上年预算减少55.68万元，下降13.17%，主要原因：人员减少，故基本工资减少、社保和住房公积金减少。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kern w:val="0"/>
          <w:sz w:val="32"/>
          <w:szCs w:val="32"/>
        </w:rPr>
      </w:pPr>
      <w:r>
        <w:rPr>
          <w:rFonts w:hint="eastAsia" w:ascii="Times New Roman" w:hAnsi="Times New Roman" w:eastAsia="仿宋_GB2312" w:cs="Times New Roman"/>
          <w:kern w:val="0"/>
          <w:sz w:val="32"/>
          <w:szCs w:val="32"/>
          <w:lang w:val="en-US" w:eastAsia="zh-Hans"/>
        </w:rPr>
        <w:t>上级</w:t>
      </w:r>
      <w:r>
        <w:rPr>
          <w:rFonts w:hint="eastAsia" w:ascii="Times New Roman" w:hAnsi="Times New Roman" w:eastAsia="仿宋_GB2312" w:cs="Times New Roman"/>
          <w:kern w:val="0"/>
          <w:sz w:val="32"/>
          <w:szCs w:val="32"/>
        </w:rPr>
        <w:t>一般公共预算</w:t>
      </w:r>
      <w:r>
        <w:rPr>
          <w:rFonts w:hint="eastAsia" w:ascii="Times New Roman" w:hAnsi="Times New Roman" w:eastAsia="仿宋_GB2312" w:cs="Times New Roman"/>
          <w:kern w:val="0"/>
          <w:sz w:val="32"/>
          <w:szCs w:val="32"/>
          <w:lang w:val="en-US" w:eastAsia="zh-Hans"/>
        </w:rPr>
        <w:t>安排的转移支付资金</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%，比上年预算减少</w:t>
      </w:r>
      <w:r>
        <w:rPr>
          <w:rFonts w:hint="eastAsia" w:ascii="Times New Roman" w:hAnsi="Times New Roman" w:eastAsia="仿宋_GB2312" w:cs="Times New Roman"/>
          <w:kern w:val="0"/>
          <w:sz w:val="32"/>
          <w:szCs w:val="32"/>
          <w:lang w:val="en-US" w:eastAsia="zh-CN"/>
        </w:rPr>
        <w:t>31.18</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下降</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 xml:space="preserve">主要原因是本年度项目预算资金由主管部门负责填报，故项目支出减少； </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Hans"/>
        </w:rPr>
      </w:pPr>
      <w:r>
        <w:rPr>
          <w:rFonts w:hint="eastAsia" w:ascii="Times New Roman" w:hAnsi="Times New Roman" w:eastAsia="仿宋_GB2312" w:cs="Times New Roman"/>
          <w:kern w:val="0"/>
          <w:sz w:val="32"/>
          <w:szCs w:val="32"/>
          <w:lang w:val="en-US" w:eastAsia="zh-Hans"/>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Hans"/>
        </w:rPr>
      </w:pPr>
      <w:r>
        <w:rPr>
          <w:rFonts w:hint="eastAsia" w:ascii="Times New Roman" w:hAnsi="Times New Roman" w:eastAsia="仿宋_GB2312" w:cs="Times New Roman"/>
          <w:kern w:val="0"/>
          <w:sz w:val="32"/>
          <w:szCs w:val="32"/>
          <w:lang w:val="en-US" w:eastAsia="zh-Hans"/>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Hans"/>
        </w:rPr>
      </w:pPr>
      <w:r>
        <w:rPr>
          <w:rFonts w:hint="eastAsia" w:ascii="Times New Roman" w:hAnsi="Times New Roman" w:eastAsia="仿宋_GB2312" w:cs="Times New Roman"/>
          <w:kern w:val="0"/>
          <w:sz w:val="32"/>
          <w:szCs w:val="32"/>
          <w:lang w:val="en-US" w:eastAsia="zh-Hans"/>
        </w:rPr>
        <w:t>国有资本经营预算未安排。</w:t>
      </w:r>
    </w:p>
    <w:p>
      <w:pPr>
        <w:spacing w:line="60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单位资金1.42万元，占0.39%，比上年预算增加1.42万元，增长100%，主要原因</w:t>
      </w:r>
      <w:r>
        <w:rPr>
          <w:rFonts w:hint="eastAsia" w:eastAsia="仿宋_GB2312" w:cs="Times New Roman"/>
          <w:kern w:val="0"/>
          <w:sz w:val="32"/>
          <w:szCs w:val="32"/>
          <w:lang w:eastAsia="zh-CN"/>
        </w:rPr>
        <w:t>是：</w:t>
      </w:r>
      <w:r>
        <w:rPr>
          <w:rFonts w:hint="eastAsia" w:eastAsia="仿宋_GB2312" w:cs="Times New Roman"/>
          <w:kern w:val="0"/>
          <w:sz w:val="32"/>
          <w:szCs w:val="32"/>
          <w:lang w:val="en-US" w:eastAsia="zh-CN"/>
        </w:rPr>
        <w:t>2</w:t>
      </w:r>
      <w:r>
        <w:rPr>
          <w:rFonts w:hint="eastAsia" w:eastAsia="仿宋_GB2312" w:cs="Times New Roman"/>
          <w:kern w:val="0"/>
          <w:sz w:val="32"/>
          <w:szCs w:val="32"/>
          <w:lang w:eastAsia="zh-CN"/>
        </w:rPr>
        <w:t>025年其他事业收入增加。</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三、关于焉耆回族自治县第二幼儿园2025年支出预算情况说明</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焉耆回族自治县第二幼儿园2025年支出预算368.66万元，其中：</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基本支出</w:t>
      </w:r>
      <w:r>
        <w:rPr>
          <w:rFonts w:hint="eastAsia" w:eastAsia="仿宋_GB2312" w:cs="Times New Roman"/>
          <w:kern w:val="0"/>
          <w:sz w:val="32"/>
          <w:szCs w:val="32"/>
          <w:lang w:val="en-US" w:eastAsia="zh-CN"/>
        </w:rPr>
        <w:t>368.66</w:t>
      </w:r>
      <w:r>
        <w:rPr>
          <w:rFonts w:hint="eastAsia" w:ascii="Times New Roman" w:hAnsi="Times New Roman" w:eastAsia="仿宋_GB2312" w:cs="Times New Roman"/>
          <w:kern w:val="0"/>
          <w:sz w:val="32"/>
          <w:szCs w:val="32"/>
        </w:rPr>
        <w:t>万元，占</w:t>
      </w:r>
      <w:r>
        <w:rPr>
          <w:rFonts w:hint="eastAsia"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%，比上年预算减少</w:t>
      </w:r>
      <w:r>
        <w:rPr>
          <w:rFonts w:hint="eastAsia" w:eastAsia="仿宋_GB2312" w:cs="Times New Roman"/>
          <w:kern w:val="0"/>
          <w:sz w:val="32"/>
          <w:szCs w:val="32"/>
          <w:lang w:val="en-US" w:eastAsia="zh-CN"/>
        </w:rPr>
        <w:t>54.26</w:t>
      </w:r>
      <w:r>
        <w:rPr>
          <w:rFonts w:hint="eastAsia" w:ascii="Times New Roman" w:hAnsi="Times New Roman" w:eastAsia="仿宋_GB2312" w:cs="Times New Roman"/>
          <w:kern w:val="0"/>
          <w:sz w:val="32"/>
          <w:szCs w:val="32"/>
        </w:rPr>
        <w:t>万元，下降</w:t>
      </w:r>
      <w:r>
        <w:rPr>
          <w:rFonts w:hint="eastAsia" w:eastAsia="仿宋_GB2312" w:cs="Times New Roman"/>
          <w:kern w:val="0"/>
          <w:sz w:val="32"/>
          <w:szCs w:val="32"/>
          <w:lang w:val="en-US" w:eastAsia="zh-CN"/>
        </w:rPr>
        <w:t>12.83</w:t>
      </w:r>
      <w:r>
        <w:rPr>
          <w:rFonts w:hint="eastAsia" w:ascii="Times New Roman" w:hAnsi="Times New Roman" w:eastAsia="仿宋_GB2312" w:cs="Times New Roman"/>
          <w:kern w:val="0"/>
          <w:sz w:val="32"/>
          <w:szCs w:val="32"/>
        </w:rPr>
        <w:t>%，主要原因</w:t>
      </w:r>
      <w:r>
        <w:rPr>
          <w:rFonts w:hint="eastAsia" w:eastAsia="仿宋_GB2312" w:cs="Times New Roman"/>
          <w:kern w:val="0"/>
          <w:sz w:val="32"/>
          <w:szCs w:val="32"/>
          <w:lang w:eastAsia="zh-CN"/>
        </w:rPr>
        <w:t>是</w:t>
      </w:r>
      <w:r>
        <w:rPr>
          <w:rFonts w:hint="eastAsia" w:ascii="Times New Roman" w:hAnsi="Times New Roman" w:eastAsia="仿宋_GB2312" w:cs="Times New Roman"/>
          <w:kern w:val="0"/>
          <w:sz w:val="32"/>
          <w:szCs w:val="32"/>
        </w:rPr>
        <w:t>人员减少，故基本工资减少、社保和住房公积金减少。</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项目支出</w:t>
      </w:r>
      <w:r>
        <w:rPr>
          <w:rFonts w:hint="eastAsia"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万元，占</w:t>
      </w:r>
      <w:r>
        <w:rPr>
          <w:rFonts w:hint="eastAsia"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%，比上年预算减少</w:t>
      </w:r>
      <w:r>
        <w:rPr>
          <w:rFonts w:hint="eastAsia" w:eastAsia="仿宋_GB2312" w:cs="Times New Roman"/>
          <w:kern w:val="0"/>
          <w:sz w:val="32"/>
          <w:szCs w:val="32"/>
          <w:lang w:val="en-US" w:eastAsia="zh-CN"/>
        </w:rPr>
        <w:t>31.18</w:t>
      </w:r>
      <w:r>
        <w:rPr>
          <w:rFonts w:hint="eastAsia" w:ascii="Times New Roman" w:hAnsi="Times New Roman" w:eastAsia="仿宋_GB2312" w:cs="Times New Roman"/>
          <w:kern w:val="0"/>
          <w:sz w:val="32"/>
          <w:szCs w:val="32"/>
        </w:rPr>
        <w:t>万元，下降</w:t>
      </w:r>
      <w:r>
        <w:rPr>
          <w:rFonts w:hint="eastAsia"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%，主要原因</w:t>
      </w:r>
      <w:r>
        <w:rPr>
          <w:rFonts w:hint="eastAsia" w:eastAsia="仿宋_GB2312" w:cs="Times New Roman"/>
          <w:kern w:val="0"/>
          <w:sz w:val="32"/>
          <w:szCs w:val="32"/>
          <w:lang w:eastAsia="zh-CN"/>
        </w:rPr>
        <w:t>是</w:t>
      </w:r>
      <w:r>
        <w:rPr>
          <w:rFonts w:hint="eastAsia" w:ascii="Times New Roman" w:hAnsi="Times New Roman" w:eastAsia="仿宋_GB2312" w:cs="Times New Roman"/>
          <w:kern w:val="0"/>
          <w:sz w:val="32"/>
          <w:szCs w:val="32"/>
        </w:rPr>
        <w:t xml:space="preserve">本年度项目预算资金由主管部门负责填报，故项目支出减少。   </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四、关于焉耆回族自治县第二幼儿园2025年财政拨款收支预算情况的总体说明</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2025年财政拨款收支总预算367.24万元。</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收入全部为一般公共预算拨款，无政府性基金预算拨款和国有资本经营预算。</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收入预算包括：一般公共预算拨款367.24万元。</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一般公共预算支出包括:教育支出367.24万元，主要用于：教职工工资福利支出、社保缴费、住房公积金、退休费、其他对个人和家庭的补助支出及公用经费支出。</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五、关于焉耆回族自治县第二幼儿园2025年一般公共预算当年拨款情况说明</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焉耆回族自治县第二幼儿园2025年一般公共预算拨款合计</w:t>
      </w:r>
      <w:r>
        <w:rPr>
          <w:rFonts w:hint="eastAsia" w:eastAsia="仿宋_GB2312" w:cs="Times New Roman"/>
          <w:kern w:val="0"/>
          <w:sz w:val="32"/>
          <w:szCs w:val="32"/>
          <w:lang w:val="en-US" w:eastAsia="zh-CN"/>
        </w:rPr>
        <w:t>367.24</w:t>
      </w:r>
      <w:r>
        <w:rPr>
          <w:rFonts w:hint="eastAsia" w:ascii="Times New Roman" w:hAnsi="Times New Roman" w:eastAsia="仿宋_GB2312" w:cs="Times New Roman"/>
          <w:kern w:val="0"/>
          <w:sz w:val="32"/>
          <w:szCs w:val="32"/>
        </w:rPr>
        <w:t>万元,其中：</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基本支出367.24万元，比上年预算减少55.68万元，下降13.17%，主要原因：人员减少，故基本工资减少、社保和住房公积金减少。</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项目支出</w:t>
      </w:r>
      <w:r>
        <w:rPr>
          <w:rFonts w:hint="eastAsia"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万元，比上年预算减少</w:t>
      </w:r>
      <w:r>
        <w:rPr>
          <w:rFonts w:hint="eastAsia" w:eastAsia="仿宋_GB2312" w:cs="Times New Roman"/>
          <w:kern w:val="0"/>
          <w:sz w:val="32"/>
          <w:szCs w:val="32"/>
          <w:lang w:val="en-US" w:eastAsia="zh-CN"/>
        </w:rPr>
        <w:t>31.18</w:t>
      </w:r>
      <w:r>
        <w:rPr>
          <w:rFonts w:hint="eastAsia" w:ascii="Times New Roman" w:hAnsi="Times New Roman" w:eastAsia="仿宋_GB2312" w:cs="Times New Roman"/>
          <w:kern w:val="0"/>
          <w:sz w:val="32"/>
          <w:szCs w:val="32"/>
        </w:rPr>
        <w:t>万元，下降</w:t>
      </w:r>
      <w:r>
        <w:rPr>
          <w:rFonts w:hint="eastAsia"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%，主要原因是：本年度项目预算资金由主管部门负责填报，故单位项目资金减少。</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（二）一般公共预算当年拨款结构情况</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教育支出（类）</w:t>
      </w:r>
      <w:r>
        <w:rPr>
          <w:rFonts w:hint="eastAsia" w:eastAsia="仿宋_GB2312" w:cs="Times New Roman"/>
          <w:kern w:val="0"/>
          <w:sz w:val="32"/>
          <w:szCs w:val="32"/>
          <w:lang w:val="en-US" w:eastAsia="zh-CN"/>
        </w:rPr>
        <w:t>367.24</w:t>
      </w:r>
      <w:r>
        <w:rPr>
          <w:rFonts w:hint="eastAsia" w:ascii="Times New Roman" w:hAnsi="Times New Roman" w:eastAsia="仿宋_GB2312" w:cs="Times New Roman"/>
          <w:kern w:val="0"/>
          <w:sz w:val="32"/>
          <w:szCs w:val="32"/>
        </w:rPr>
        <w:t>万元，占100%</w:t>
      </w:r>
      <w:r>
        <w:rPr>
          <w:rFonts w:hint="eastAsia" w:ascii="Times New Roman" w:hAnsi="Times New Roman" w:eastAsia="仿宋_GB2312" w:cs="Times New Roman"/>
          <w:kern w:val="0"/>
          <w:sz w:val="32"/>
          <w:szCs w:val="32"/>
          <w:lang w:eastAsia="zh-CN"/>
        </w:rPr>
        <w:t>。</w:t>
      </w:r>
    </w:p>
    <w:p>
      <w:pPr>
        <w:numPr>
          <w:ilvl w:val="0"/>
          <w:numId w:val="1"/>
        </w:num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一般公共预算当年拨款具体使用情况</w:t>
      </w:r>
    </w:p>
    <w:p>
      <w:pPr>
        <w:spacing w:line="600" w:lineRule="exact"/>
        <w:ind w:firstLine="640" w:firstLineChars="200"/>
      </w:pPr>
      <w:r>
        <w:rPr>
          <w:rFonts w:hint="eastAsia" w:ascii="仿宋_GB2312" w:hAnsi="仿宋_GB2312" w:eastAsia="仿宋_GB2312" w:cs="仿宋_GB2312"/>
          <w:sz w:val="32"/>
          <w:szCs w:val="32"/>
        </w:rPr>
        <w:t>1</w:t>
      </w:r>
      <w:r>
        <w:rPr>
          <w:rFonts w:hint="eastAsia" w:eastAsia="仿宋_GB2312"/>
          <w:kern w:val="0"/>
          <w:sz w:val="32"/>
          <w:szCs w:val="32"/>
          <w:lang w:val="en-US" w:eastAsia="zh-CN"/>
        </w:rPr>
        <w:t>.</w:t>
      </w:r>
      <w:r>
        <w:rPr>
          <w:rFonts w:eastAsia="仿宋_GB2312"/>
          <w:kern w:val="0"/>
          <w:sz w:val="32"/>
          <w:szCs w:val="32"/>
        </w:rPr>
        <w:t>教育支出（类）普通教育（款）学前教育（项）:202</w:t>
      </w:r>
      <w:r>
        <w:rPr>
          <w:rFonts w:hint="eastAsia" w:eastAsia="仿宋_GB2312"/>
          <w:kern w:val="0"/>
          <w:sz w:val="32"/>
          <w:szCs w:val="32"/>
        </w:rPr>
        <w:t>5</w:t>
      </w:r>
      <w:r>
        <w:rPr>
          <w:rFonts w:eastAsia="仿宋_GB2312"/>
          <w:kern w:val="0"/>
          <w:sz w:val="32"/>
          <w:szCs w:val="32"/>
        </w:rPr>
        <w:t>年预算数为</w:t>
      </w:r>
      <w:r>
        <w:rPr>
          <w:rFonts w:hint="eastAsia" w:eastAsia="仿宋_GB2312" w:cs="Times New Roman"/>
          <w:kern w:val="0"/>
          <w:sz w:val="32"/>
          <w:szCs w:val="32"/>
          <w:lang w:val="en-US" w:eastAsia="zh-CN"/>
        </w:rPr>
        <w:t>367.24</w:t>
      </w:r>
      <w:r>
        <w:rPr>
          <w:rFonts w:eastAsia="仿宋_GB2312"/>
          <w:kern w:val="0"/>
          <w:sz w:val="32"/>
          <w:szCs w:val="32"/>
        </w:rPr>
        <w:t>万元，比上年预算</w:t>
      </w:r>
      <w:r>
        <w:rPr>
          <w:rFonts w:hint="eastAsia" w:eastAsia="仿宋_GB2312"/>
          <w:kern w:val="0"/>
          <w:sz w:val="32"/>
          <w:szCs w:val="32"/>
        </w:rPr>
        <w:t>减少</w:t>
      </w:r>
      <w:r>
        <w:rPr>
          <w:rFonts w:hint="eastAsia" w:eastAsia="仿宋_GB2312"/>
          <w:kern w:val="0"/>
          <w:sz w:val="32"/>
          <w:szCs w:val="32"/>
          <w:lang w:val="en-US" w:eastAsia="zh-CN"/>
        </w:rPr>
        <w:t>86.86</w:t>
      </w:r>
      <w:r>
        <w:rPr>
          <w:rFonts w:eastAsia="仿宋_GB2312"/>
          <w:kern w:val="0"/>
          <w:sz w:val="32"/>
          <w:szCs w:val="32"/>
        </w:rPr>
        <w:t>万元，</w:t>
      </w:r>
      <w:r>
        <w:rPr>
          <w:rFonts w:hint="eastAsia" w:eastAsia="仿宋_GB2312"/>
          <w:kern w:val="0"/>
          <w:sz w:val="32"/>
          <w:szCs w:val="32"/>
        </w:rPr>
        <w:t>下降</w:t>
      </w:r>
      <w:r>
        <w:rPr>
          <w:rFonts w:hint="eastAsia" w:eastAsia="仿宋_GB2312"/>
          <w:kern w:val="0"/>
          <w:sz w:val="32"/>
          <w:szCs w:val="32"/>
          <w:lang w:val="en-US" w:eastAsia="zh-CN"/>
        </w:rPr>
        <w:t>19.13</w:t>
      </w:r>
      <w:r>
        <w:rPr>
          <w:rFonts w:eastAsia="仿宋_GB2312"/>
          <w:kern w:val="0"/>
          <w:sz w:val="32"/>
          <w:szCs w:val="32"/>
        </w:rPr>
        <w:t>%，主要原因是：人员</w:t>
      </w:r>
      <w:r>
        <w:rPr>
          <w:rFonts w:hint="eastAsia" w:eastAsia="仿宋_GB2312"/>
          <w:kern w:val="0"/>
          <w:sz w:val="32"/>
          <w:szCs w:val="32"/>
        </w:rPr>
        <w:t>减少</w:t>
      </w:r>
      <w:r>
        <w:rPr>
          <w:rFonts w:eastAsia="仿宋_GB2312"/>
          <w:kern w:val="0"/>
          <w:sz w:val="32"/>
          <w:szCs w:val="32"/>
        </w:rPr>
        <w:t>，故基本工资</w:t>
      </w:r>
      <w:r>
        <w:rPr>
          <w:rFonts w:hint="eastAsia" w:eastAsia="仿宋_GB2312"/>
          <w:kern w:val="0"/>
          <w:sz w:val="32"/>
          <w:szCs w:val="32"/>
        </w:rPr>
        <w:t>支出减少</w:t>
      </w:r>
      <w:r>
        <w:rPr>
          <w:rFonts w:eastAsia="仿宋_GB2312"/>
          <w:kern w:val="0"/>
          <w:sz w:val="32"/>
          <w:szCs w:val="32"/>
        </w:rPr>
        <w:t>、社保和住房公积金</w:t>
      </w:r>
      <w:r>
        <w:rPr>
          <w:rFonts w:hint="eastAsia" w:eastAsia="仿宋_GB2312"/>
          <w:kern w:val="0"/>
          <w:sz w:val="32"/>
          <w:szCs w:val="32"/>
        </w:rPr>
        <w:t>支出减少</w:t>
      </w:r>
      <w:r>
        <w:rPr>
          <w:rFonts w:eastAsia="仿宋_GB2312"/>
          <w:kern w:val="0"/>
          <w:sz w:val="32"/>
          <w:szCs w:val="32"/>
        </w:rPr>
        <w:t>。</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六、关于焉耆回族自治县第二幼儿园2025年一般公共预算基本支出情况说明</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焉耆回族自治县第二幼儿园2025年一般公共预算基本支出367.24万元，其中：</w:t>
      </w:r>
    </w:p>
    <w:p>
      <w:pPr>
        <w:spacing w:line="600" w:lineRule="exact"/>
        <w:ind w:firstLine="616" w:firstLineChars="200"/>
        <w:rPr>
          <w:rFonts w:hint="eastAsia" w:ascii="Times New Roman" w:hAnsi="Times New Roman" w:eastAsia="仿宋_GB2312" w:cs="Times New Roman"/>
          <w:kern w:val="0"/>
          <w:sz w:val="32"/>
          <w:szCs w:val="32"/>
        </w:rPr>
      </w:pPr>
      <w:r>
        <w:rPr>
          <w:rFonts w:hint="eastAsia" w:ascii="仿宋_GB2312" w:hAnsi="宋体" w:eastAsia="仿宋_GB2312" w:cs="宋体"/>
          <w:spacing w:val="-6"/>
          <w:kern w:val="0"/>
          <w:sz w:val="32"/>
          <w:szCs w:val="32"/>
        </w:rPr>
        <w:t>人员经</w:t>
      </w:r>
      <w:r>
        <w:rPr>
          <w:rFonts w:hint="eastAsia" w:ascii="Times New Roman" w:hAnsi="Times New Roman" w:eastAsia="仿宋_GB2312" w:cs="Times New Roman"/>
          <w:kern w:val="0"/>
          <w:sz w:val="32"/>
          <w:szCs w:val="32"/>
        </w:rPr>
        <w:t>费</w:t>
      </w:r>
      <w:r>
        <w:rPr>
          <w:rFonts w:hint="eastAsia" w:ascii="Times New Roman" w:hAnsi="Times New Roman" w:eastAsia="仿宋_GB2312" w:cs="Times New Roman"/>
          <w:kern w:val="0"/>
          <w:sz w:val="32"/>
          <w:szCs w:val="32"/>
          <w:lang w:val="en-US" w:eastAsia="zh-CN"/>
        </w:rPr>
        <w:t>352.15万元，主要</w:t>
      </w:r>
      <w:r>
        <w:rPr>
          <w:rFonts w:hint="eastAsia" w:ascii="Times New Roman" w:hAnsi="Times New Roman" w:eastAsia="仿宋_GB2312" w:cs="Times New Roman"/>
          <w:kern w:val="0"/>
          <w:sz w:val="32"/>
          <w:szCs w:val="32"/>
        </w:rPr>
        <w:t>包括:基本工资、津贴补贴、机关事业单位基本养老保险缴费、职业年金缴费、职工基本医疗保险缴费、其他社会保障缴费、住房公积金、退休费。</w:t>
      </w: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仿宋_GB2312" w:cs="Times New Roman"/>
          <w:kern w:val="0"/>
          <w:sz w:val="32"/>
          <w:szCs w:val="32"/>
        </w:rPr>
        <w:t>公用经费</w:t>
      </w:r>
      <w:r>
        <w:rPr>
          <w:rFonts w:hint="eastAsia" w:ascii="Times New Roman" w:hAnsi="Times New Roman" w:eastAsia="仿宋_GB2312" w:cs="Times New Roman"/>
          <w:kern w:val="0"/>
          <w:sz w:val="32"/>
          <w:szCs w:val="32"/>
          <w:lang w:val="en-US" w:eastAsia="zh-CN"/>
        </w:rPr>
        <w:t>15.09万元，主</w:t>
      </w:r>
      <w:r>
        <w:rPr>
          <w:rFonts w:hint="eastAsia" w:ascii="仿宋_GB2312" w:hAnsi="宋体" w:eastAsia="仿宋_GB2312" w:cs="宋体"/>
          <w:spacing w:val="-6"/>
          <w:kern w:val="0"/>
          <w:sz w:val="32"/>
          <w:szCs w:val="32"/>
          <w:lang w:val="en-US" w:eastAsia="zh-CN"/>
        </w:rPr>
        <w:t>要</w:t>
      </w:r>
      <w:r>
        <w:rPr>
          <w:rFonts w:hint="eastAsia" w:ascii="仿宋_GB2312" w:hAnsi="宋体" w:eastAsia="仿宋_GB2312" w:cs="宋体"/>
          <w:spacing w:val="-6"/>
          <w:kern w:val="0"/>
          <w:sz w:val="32"/>
          <w:szCs w:val="32"/>
        </w:rPr>
        <w:t>包括:取暖费、工会经费、</w:t>
      </w:r>
      <w:r>
        <w:rPr>
          <w:rFonts w:hint="eastAsia" w:ascii="仿宋_GB2312" w:hAnsi="宋体" w:eastAsia="仿宋_GB2312" w:cs="宋体"/>
          <w:spacing w:val="-6"/>
          <w:kern w:val="0"/>
          <w:sz w:val="32"/>
          <w:szCs w:val="32"/>
          <w:lang w:eastAsia="zh-CN"/>
        </w:rPr>
        <w:t>培训费、</w:t>
      </w:r>
      <w:r>
        <w:rPr>
          <w:rFonts w:hint="eastAsia" w:ascii="仿宋_GB2312" w:hAnsi="宋体" w:eastAsia="仿宋_GB2312" w:cs="宋体"/>
          <w:spacing w:val="-6"/>
          <w:kern w:val="0"/>
          <w:sz w:val="32"/>
          <w:szCs w:val="32"/>
        </w:rPr>
        <w:t>福利费。</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七、关于焉耆回族自治县第二幼儿园2025年一般公共预算项目支出情况说明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bCs/>
          <w:kern w:val="0"/>
          <w:sz w:val="32"/>
          <w:szCs w:val="32"/>
        </w:rPr>
      </w:pPr>
      <w:r>
        <w:rPr>
          <w:rFonts w:hint="eastAsia" w:ascii="Times New Roman" w:hAnsi="Times New Roman" w:eastAsia="仿宋_GB2312" w:cs="Times New Roman"/>
          <w:kern w:val="0"/>
          <w:sz w:val="32"/>
          <w:szCs w:val="32"/>
        </w:rPr>
        <w:t>焉耆回族自治县第二幼儿园2025年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spacing w:line="600" w:lineRule="exact"/>
        <w:ind w:firstLine="643" w:firstLineChars="20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八、关于焉耆回族自治县第二幼儿园2025年政府性基金预算支出情况</w:t>
      </w:r>
      <w:r>
        <w:rPr>
          <w:rFonts w:hint="eastAsia" w:ascii="楷体_GB2312" w:hAnsi="楷体_GB2312" w:eastAsia="楷体_GB2312" w:cs="楷体_GB2312"/>
          <w:b/>
          <w:bCs/>
          <w:kern w:val="0"/>
          <w:sz w:val="32"/>
          <w:szCs w:val="32"/>
          <w:lang w:eastAsia="zh-CN"/>
        </w:rPr>
        <w:t>说明</w:t>
      </w:r>
      <w:bookmarkStart w:id="0" w:name="_GoBack"/>
      <w:bookmarkEnd w:id="0"/>
    </w:p>
    <w:p>
      <w:pPr>
        <w:spacing w:line="600" w:lineRule="exact"/>
        <w:ind w:firstLine="640" w:firstLineChars="200"/>
        <w:rPr>
          <w:rFonts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焉耆回族自治县第二幼儿园2025年</w:t>
      </w:r>
      <w:r>
        <w:rPr>
          <w:rFonts w:hint="eastAsia" w:ascii="仿宋_GB2312" w:hAnsi="仿宋_GB2312" w:eastAsia="仿宋_GB2312" w:cs="仿宋_GB2312"/>
          <w:kern w:val="0"/>
          <w:sz w:val="32"/>
          <w:szCs w:val="32"/>
        </w:rPr>
        <w:t>没有使用政府性基金预算拨款安排的支出，政府性基金预算支出情况表为空表。</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九、关于焉耆回族自治县第二幼儿园2025年国有资本经营预算拨款情况说明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焉耆回族自治县第二幼儿园</w:t>
      </w:r>
      <w:r>
        <w:rPr>
          <w:rFonts w:hint="eastAsia" w:ascii="Times New Roman" w:hAnsi="Times New Roman" w:eastAsia="仿宋_GB2312" w:cs="Times New Roman"/>
          <w:kern w:val="0"/>
          <w:sz w:val="32"/>
          <w:szCs w:val="32"/>
        </w:rPr>
        <w:t>2025年</w:t>
      </w:r>
      <w:r>
        <w:rPr>
          <w:rFonts w:hint="eastAsia" w:ascii="仿宋_GB2312" w:hAnsi="仿宋_GB2312" w:eastAsia="仿宋_GB2312" w:cs="仿宋_GB2312"/>
          <w:kern w:val="0"/>
          <w:sz w:val="32"/>
          <w:szCs w:val="32"/>
        </w:rPr>
        <w:t>没有使用国有资本经营预算拨款安排的支出，国有资本经营预算支出情况表为空表。</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十、关于焉耆回族自治县第二幼儿园2025年财政拨款“三公”经费预算情况说明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焉耆回族自治县第</w:t>
      </w:r>
      <w:r>
        <w:rPr>
          <w:rFonts w:hint="eastAsia" w:eastAsia="仿宋_GB2312" w:cs="Times New Roman"/>
          <w:color w:val="auto"/>
          <w:kern w:val="0"/>
          <w:sz w:val="32"/>
          <w:szCs w:val="32"/>
          <w:highlight w:val="none"/>
          <w:lang w:val="en-US" w:eastAsia="zh-CN"/>
        </w:rPr>
        <w:t>二</w:t>
      </w:r>
      <w:r>
        <w:rPr>
          <w:rFonts w:hint="eastAsia" w:ascii="Times New Roman" w:hAnsi="Times New Roman" w:eastAsia="仿宋_GB2312" w:cs="Times New Roman"/>
          <w:color w:val="auto"/>
          <w:kern w:val="0"/>
          <w:sz w:val="32"/>
          <w:szCs w:val="32"/>
          <w:highlight w:val="none"/>
          <w:lang w:val="en-US" w:eastAsia="zh-Hans"/>
        </w:rPr>
        <w:t>幼儿园2025年财政拨款</w:t>
      </w:r>
      <w:r>
        <w:rPr>
          <w:rFonts w:hint="eastAsia" w:ascii="Times New Roman" w:hAnsi="Times New Roman" w:eastAsia="仿宋_GB2312" w:cs="Times New Roman"/>
          <w:color w:val="auto"/>
          <w:kern w:val="0"/>
          <w:sz w:val="32"/>
          <w:szCs w:val="32"/>
          <w:highlight w:val="none"/>
          <w:lang w:val="en-US" w:eastAsia="zh-CN"/>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万元，其中：因公出国（境）费0万元，公务用车购置费0万元，公务用车运行费0万元，公务接待费0万元。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w:t>
      </w:r>
      <w:r>
        <w:rPr>
          <w:rFonts w:hint="eastAsia" w:ascii="Times New Roman" w:hAnsi="Times New Roman" w:eastAsia="仿宋_GB2312" w:cs="Times New Roman"/>
          <w:color w:val="auto"/>
          <w:kern w:val="0"/>
          <w:sz w:val="32"/>
          <w:szCs w:val="32"/>
          <w:highlight w:val="none"/>
          <w:lang w:val="en-US" w:eastAsia="zh-Hans"/>
        </w:rPr>
        <w:t>财政拨款</w:t>
      </w:r>
      <w:r>
        <w:rPr>
          <w:rFonts w:hint="eastAsia" w:ascii="Times New Roman" w:hAnsi="Times New Roman" w:eastAsia="仿宋_GB2312" w:cs="Times New Roman"/>
          <w:color w:val="auto"/>
          <w:kern w:val="0"/>
          <w:sz w:val="32"/>
          <w:szCs w:val="32"/>
          <w:highlight w:val="none"/>
          <w:lang w:val="en-US" w:eastAsia="zh-CN"/>
        </w:rPr>
        <w:t>“三公”经费比上年</w:t>
      </w:r>
      <w:r>
        <w:rPr>
          <w:rFonts w:hint="eastAsia" w:ascii="Times New Roman" w:hAnsi="Times New Roman" w:eastAsia="仿宋_GB2312" w:cs="Times New Roman"/>
          <w:color w:val="auto"/>
          <w:kern w:val="0"/>
          <w:sz w:val="32"/>
          <w:szCs w:val="32"/>
          <w:highlight w:val="none"/>
          <w:lang w:val="en-US" w:eastAsia="zh-Hans"/>
        </w:rPr>
        <w:t>预算</w:t>
      </w:r>
      <w:r>
        <w:rPr>
          <w:rFonts w:hint="eastAsia" w:ascii="Times New Roman" w:hAnsi="Times New Roman" w:eastAsia="仿宋_GB2312" w:cs="Times New Roman"/>
          <w:color w:val="auto"/>
          <w:kern w:val="0"/>
          <w:sz w:val="32"/>
          <w:szCs w:val="32"/>
          <w:highlight w:val="none"/>
          <w:lang w:val="en-US" w:eastAsia="zh-CN"/>
        </w:rPr>
        <w:t>增加0万元，增长0%，其中：因公出国（境）费增加0万元，增长0 %，主要原因是本年度未安排预算；公务用车购置费增加0万元，增长0 %，主要原因是本年度未安排预算；公务用车运行费增加0万元，增长0 %，主要原因是本年度未安排预算 ；公务接待费增加0万元，增长0 %，主要原因是本年度未安排预算。</w:t>
      </w:r>
    </w:p>
    <w:p>
      <w:pPr>
        <w:spacing w:line="600" w:lineRule="exact"/>
        <w:ind w:firstLine="643" w:firstLineChars="200"/>
        <w:rPr>
          <w:rFonts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rPr>
        <w:t>十一、关于焉耆回族自治县第二幼儿园2025年上年结转结余预算情况说明</w:t>
      </w:r>
    </w:p>
    <w:p>
      <w:pPr>
        <w:spacing w:line="600" w:lineRule="exact"/>
        <w:ind w:firstLine="640" w:firstLineChars="200"/>
      </w:pPr>
      <w:r>
        <w:rPr>
          <w:rFonts w:hint="eastAsia" w:ascii="仿宋_GB2312" w:hAnsi="仿宋_GB2312" w:eastAsia="仿宋_GB2312" w:cs="仿宋_GB2312"/>
          <w:kern w:val="0"/>
          <w:sz w:val="32"/>
          <w:szCs w:val="32"/>
          <w:lang w:eastAsia="zh-CN"/>
        </w:rPr>
        <w:t>焉耆回族自治县第二幼儿</w:t>
      </w:r>
      <w:r>
        <w:rPr>
          <w:rFonts w:hint="eastAsia" w:ascii="Times New Roman" w:hAnsi="Times New Roman" w:eastAsia="仿宋_GB2312" w:cs="Times New Roman"/>
          <w:kern w:val="0"/>
          <w:sz w:val="32"/>
          <w:szCs w:val="32"/>
          <w:lang w:eastAsia="zh-CN"/>
        </w:rPr>
        <w:t>园</w:t>
      </w:r>
      <w:r>
        <w:rPr>
          <w:rFonts w:hint="eastAsia" w:ascii="Times New Roman" w:hAnsi="Times New Roman" w:eastAsia="仿宋_GB2312" w:cs="Times New Roman"/>
          <w:kern w:val="0"/>
          <w:sz w:val="32"/>
          <w:szCs w:val="32"/>
        </w:rPr>
        <w:t>2025年</w:t>
      </w:r>
      <w:r>
        <w:rPr>
          <w:rFonts w:hint="eastAsia" w:ascii="仿宋_GB2312" w:hAnsi="仿宋_GB2312" w:eastAsia="仿宋_GB2312" w:cs="仿宋_GB2312"/>
          <w:kern w:val="0"/>
          <w:sz w:val="32"/>
          <w:szCs w:val="32"/>
        </w:rPr>
        <w:t>没有上年结转结余预算的支出，上年结转结余情况明细表为空表。</w:t>
      </w:r>
    </w:p>
    <w:p>
      <w:pPr>
        <w:spacing w:line="600" w:lineRule="exact"/>
        <w:ind w:firstLine="643" w:firstLineChars="200"/>
      </w:pPr>
      <w:r>
        <w:rPr>
          <w:rFonts w:hint="eastAsia" w:ascii="楷体_GB2312" w:hAnsi="楷体_GB2312" w:eastAsia="楷体_GB2312" w:cs="楷体_GB2312"/>
          <w:b/>
          <w:bCs/>
          <w:kern w:val="0"/>
          <w:sz w:val="32"/>
          <w:szCs w:val="32"/>
        </w:rPr>
        <w:t>十二、其他重要事项的情况说明</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（一）单位运行经费情况</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焉耆回族自治县第二幼儿园2025年的事业单位运行经费15.09万元，比上年预算增加1.67万元，增长12.44%。主要原因是：取暖费收费标准变化，取暖费预算增加。</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2025年，焉耆回族自治县第二幼儿园政府采购预算12.76万元，其中：政府采购货物预算12.76万元，政府采购工程预算0万元，政府采购服务预算0万元。</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2025年，焉耆回族自治县第二幼儿园面向中小企业预留政府采购项目预算金额12.76万元，小微企业预留政府采购项目预算金额12.76万元。</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截至2024年底，焉耆回族自治县第二幼儿园及下属各预算单位占用使用国有资产总体情况为：</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eastAsia="zh-CN"/>
        </w:rPr>
        <w:t>房屋1952.31平方米，价值439.86万元。</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eastAsia="zh-CN"/>
        </w:rPr>
        <w:t>车辆0辆，价值0万元。其中：一般公务用车0辆，价值0万元，执法执勤用车0辆，价值0万元，其他用车0辆，价值0万元。</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eastAsia="zh-CN"/>
        </w:rPr>
        <w:t>办公家具价值21.86万元。</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eastAsia="zh-CN"/>
        </w:rPr>
        <w:t>其他资产价值93.07万元。</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单位价值50万元以上大型设备0台，单位价值100万元以上大型设备0台。</w:t>
      </w:r>
    </w:p>
    <w:p>
      <w:pPr>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2025年单位预算未安排购置车辆经费,安排购置50万元以上大型设备0台，单位价值100万元以上大型设备0台。</w:t>
      </w:r>
    </w:p>
    <w:p>
      <w:pPr>
        <w:numPr>
          <w:ilvl w:val="0"/>
          <w:numId w:val="0"/>
        </w:numPr>
        <w:spacing w:line="600" w:lineRule="exact"/>
        <w:ind w:leftChars="200"/>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kern w:val="0"/>
          <w:sz w:val="32"/>
          <w:szCs w:val="32"/>
          <w:lang w:eastAsia="zh-CN"/>
        </w:rPr>
        <w:t>（四）</w:t>
      </w:r>
      <w:r>
        <w:rPr>
          <w:rFonts w:hint="eastAsia" w:ascii="仿宋_GB2312" w:hAnsi="仿宋_GB2312" w:eastAsia="仿宋_GB2312" w:cs="仿宋_GB2312"/>
          <w:b/>
          <w:kern w:val="0"/>
          <w:sz w:val="32"/>
          <w:szCs w:val="32"/>
        </w:rPr>
        <w:t>预算绩效情况</w:t>
      </w:r>
    </w:p>
    <w:p>
      <w:p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2025</w:t>
      </w:r>
      <w:r>
        <w:rPr>
          <w:rFonts w:hint="eastAsia" w:ascii="Times New Roman" w:hAnsi="Times New Roman" w:eastAsia="仿宋_GB2312" w:cs="Times New Roman"/>
          <w:kern w:val="0"/>
          <w:sz w:val="32"/>
          <w:szCs w:val="32"/>
          <w:lang w:val="en-US" w:eastAsia="zh-CN"/>
        </w:rPr>
        <w:t>年，本</w:t>
      </w:r>
      <w:r>
        <w:rPr>
          <w:rFonts w:hint="eastAsia" w:eastAsia="仿宋_GB2312" w:cs="Times New Roman"/>
          <w:kern w:val="0"/>
          <w:sz w:val="32"/>
          <w:szCs w:val="32"/>
          <w:lang w:val="en-US" w:eastAsia="zh-CN"/>
        </w:rPr>
        <w:t>单位</w:t>
      </w:r>
      <w:r>
        <w:rPr>
          <w:rFonts w:hint="eastAsia" w:ascii="Times New Roman" w:hAnsi="Times New Roman" w:eastAsia="仿宋_GB2312" w:cs="Times New Roman"/>
          <w:kern w:val="0"/>
          <w:sz w:val="32"/>
          <w:szCs w:val="32"/>
          <w:lang w:val="en-US" w:eastAsia="zh-CN"/>
        </w:rPr>
        <w:t>预算绩效管理整体预算绩效目标1个，涉及预算金额</w:t>
      </w:r>
      <w:r>
        <w:rPr>
          <w:rFonts w:hint="eastAsia" w:eastAsia="仿宋_GB2312" w:cs="Times New Roman"/>
          <w:kern w:val="0"/>
          <w:sz w:val="32"/>
          <w:szCs w:val="32"/>
          <w:lang w:val="en-US" w:eastAsia="zh-CN"/>
        </w:rPr>
        <w:t>368.66</w:t>
      </w:r>
      <w:r>
        <w:rPr>
          <w:rFonts w:hint="eastAsia" w:ascii="Times New Roman" w:hAnsi="Times New Roman" w:eastAsia="仿宋_GB2312" w:cs="Times New Roman"/>
          <w:kern w:val="0"/>
          <w:sz w:val="32"/>
          <w:szCs w:val="32"/>
          <w:lang w:val="en-US" w:eastAsia="zh-CN"/>
        </w:rPr>
        <w:t>万元；当年预算安排项目共</w:t>
      </w:r>
      <w:r>
        <w:rPr>
          <w:rFonts w:hint="eastAsia" w:eastAsia="仿宋_GB2312" w:cs="Times New Roman"/>
          <w:kern w:val="0"/>
          <w:sz w:val="32"/>
          <w:szCs w:val="32"/>
          <w:lang w:val="en-US" w:eastAsia="zh-CN"/>
        </w:rPr>
        <w:t>0</w:t>
      </w:r>
      <w:r>
        <w:rPr>
          <w:rFonts w:hint="eastAsia" w:ascii="Times New Roman" w:hAnsi="Times New Roman" w:eastAsia="仿宋_GB2312" w:cs="Times New Roman"/>
          <w:kern w:val="0"/>
          <w:sz w:val="32"/>
          <w:szCs w:val="32"/>
          <w:lang w:val="en-US" w:eastAsia="zh-CN"/>
        </w:rPr>
        <w:t>个，其中:</w:t>
      </w:r>
      <w:r>
        <w:rPr>
          <w:rFonts w:hint="eastAsia" w:ascii="Times New Roman" w:hAnsi="Times New Roman" w:eastAsia="仿宋_GB2312" w:cs="Times New Roman"/>
          <w:kern w:val="0"/>
          <w:sz w:val="32"/>
          <w:szCs w:val="32"/>
          <w:lang w:val="en-US" w:eastAsia="zh-Hans"/>
        </w:rPr>
        <w:t>财政拨款</w:t>
      </w:r>
      <w:r>
        <w:rPr>
          <w:rFonts w:hint="eastAsia" w:ascii="Times New Roman" w:hAnsi="Times New Roman" w:eastAsia="仿宋_GB2312" w:cs="Times New Roman"/>
          <w:kern w:val="0"/>
          <w:sz w:val="32"/>
          <w:szCs w:val="32"/>
          <w:lang w:val="en-US" w:eastAsia="zh-CN"/>
        </w:rPr>
        <w:t>项目涉及预算金额</w:t>
      </w:r>
      <w:r>
        <w:rPr>
          <w:rFonts w:hint="eastAsia" w:eastAsia="仿宋_GB2312" w:cs="Times New Roman"/>
          <w:kern w:val="0"/>
          <w:sz w:val="32"/>
          <w:szCs w:val="32"/>
          <w:lang w:val="en-US" w:eastAsia="zh-CN"/>
        </w:rPr>
        <w:t>0</w:t>
      </w:r>
      <w:r>
        <w:rPr>
          <w:rFonts w:hint="eastAsia"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Hans"/>
        </w:rPr>
        <w:t>非财政拨款项目</w:t>
      </w:r>
      <w:r>
        <w:rPr>
          <w:rFonts w:hint="eastAsia" w:ascii="Times New Roman" w:hAnsi="Times New Roman" w:eastAsia="仿宋_GB2312" w:cs="Times New Roman"/>
          <w:kern w:val="0"/>
          <w:sz w:val="32"/>
          <w:szCs w:val="32"/>
          <w:lang w:val="en-US" w:eastAsia="zh-CN"/>
        </w:rPr>
        <w:t>涉及预算金额</w:t>
      </w:r>
      <w:r>
        <w:rPr>
          <w:rFonts w:hint="eastAsia" w:eastAsia="仿宋_GB2312" w:cs="Times New Roman"/>
          <w:kern w:val="0"/>
          <w:sz w:val="32"/>
          <w:szCs w:val="32"/>
          <w:lang w:val="en-US" w:eastAsia="zh-CN"/>
        </w:rPr>
        <w:t>0</w:t>
      </w:r>
      <w:r>
        <w:rPr>
          <w:rFonts w:hint="eastAsia" w:ascii="Times New Roman" w:hAnsi="Times New Roman" w:eastAsia="仿宋_GB2312" w:cs="Times New Roman"/>
          <w:kern w:val="0"/>
          <w:sz w:val="32"/>
          <w:szCs w:val="32"/>
          <w:lang w:val="en-US" w:eastAsia="zh-CN"/>
        </w:rPr>
        <w:t>万元。具体情况见下表</w:t>
      </w:r>
      <w:r>
        <w:rPr>
          <w:rFonts w:hint="eastAsia" w:ascii="仿宋_GB2312" w:hAnsi="仿宋_GB2312" w:eastAsia="仿宋_GB2312" w:cs="仿宋_GB2312"/>
          <w:color w:val="auto"/>
          <w:kern w:val="0"/>
          <w:sz w:val="32"/>
          <w:szCs w:val="32"/>
          <w:highlight w:val="none"/>
        </w:rPr>
        <w:t>（按项目分别填报）</w:t>
      </w:r>
      <w:r>
        <w:rPr>
          <w:rFonts w:hint="eastAsia" w:ascii="Times New Roman" w:hAnsi="Times New Roman" w:eastAsia="仿宋_GB2312" w:cs="Times New Roman"/>
          <w:kern w:val="0"/>
          <w:sz w:val="32"/>
          <w:szCs w:val="32"/>
          <w:lang w:val="en-US" w:eastAsia="zh-CN"/>
        </w:rPr>
        <w:t>：</w:t>
      </w:r>
    </w:p>
    <w:p>
      <w:pPr>
        <w:pStyle w:val="2"/>
        <w:widowControl w:val="0"/>
        <w:numPr>
          <w:ilvl w:val="0"/>
          <w:numId w:val="0"/>
        </w:numPr>
        <w:snapToGrid w:val="0"/>
        <w:jc w:val="left"/>
      </w:pPr>
    </w:p>
    <w:p>
      <w:pPr>
        <w:pStyle w:val="2"/>
        <w:widowControl w:val="0"/>
        <w:numPr>
          <w:ilvl w:val="0"/>
          <w:numId w:val="0"/>
        </w:numPr>
        <w:snapToGrid w:val="0"/>
        <w:jc w:val="left"/>
      </w:pPr>
    </w:p>
    <w:p>
      <w:pPr>
        <w:pStyle w:val="2"/>
        <w:widowControl w:val="0"/>
        <w:numPr>
          <w:ilvl w:val="0"/>
          <w:numId w:val="0"/>
        </w:numPr>
        <w:snapToGrid w:val="0"/>
        <w:jc w:val="left"/>
      </w:pPr>
    </w:p>
    <w:p>
      <w:pPr>
        <w:pStyle w:val="2"/>
        <w:widowControl w:val="0"/>
        <w:numPr>
          <w:ilvl w:val="0"/>
          <w:numId w:val="0"/>
        </w:numPr>
        <w:snapToGrid w:val="0"/>
        <w:jc w:val="left"/>
      </w:pPr>
    </w:p>
    <w:p>
      <w:pPr>
        <w:pStyle w:val="2"/>
        <w:widowControl w:val="0"/>
        <w:numPr>
          <w:ilvl w:val="0"/>
          <w:numId w:val="0"/>
        </w:numPr>
        <w:snapToGrid w:val="0"/>
        <w:jc w:val="left"/>
      </w:pPr>
    </w:p>
    <w:p>
      <w:pPr>
        <w:pStyle w:val="3"/>
        <w:ind w:firstLine="643"/>
        <w:rPr>
          <w:rFonts w:eastAsia="仿宋_GB2312"/>
          <w:kern w:val="0"/>
          <w:sz w:val="32"/>
        </w:rPr>
      </w:pPr>
    </w:p>
    <w:p/>
    <w:tbl>
      <w:tblPr>
        <w:tblStyle w:val="10"/>
        <w:tblpPr w:leftFromText="180" w:rightFromText="180" w:vertAnchor="text" w:horzAnchor="page" w:tblpX="1210" w:tblpY="-1043"/>
        <w:tblOverlap w:val="never"/>
        <w:tblW w:w="9340" w:type="dxa"/>
        <w:tblInd w:w="0" w:type="dxa"/>
        <w:tblLayout w:type="fixed"/>
        <w:tblCellMar>
          <w:top w:w="0" w:type="dxa"/>
          <w:left w:w="108" w:type="dxa"/>
          <w:bottom w:w="0" w:type="dxa"/>
          <w:right w:w="108" w:type="dxa"/>
        </w:tblCellMar>
      </w:tblPr>
      <w:tblGrid>
        <w:gridCol w:w="1122"/>
        <w:gridCol w:w="1367"/>
        <w:gridCol w:w="1657"/>
        <w:gridCol w:w="1271"/>
        <w:gridCol w:w="2114"/>
        <w:gridCol w:w="1809"/>
      </w:tblGrid>
      <w:tr>
        <w:tblPrEx>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vAlign w:val="center"/>
          </w:tcPr>
          <w:p>
            <w:pPr>
              <w:widowControl/>
              <w:textAlignment w:val="center"/>
              <w:rPr>
                <w:rFonts w:ascii="仿宋_GB2312" w:hAnsi="宋体" w:eastAsia="仿宋_GB2312" w:cs="仿宋_GB2312"/>
                <w:b/>
                <w:color w:val="000000"/>
                <w:kern w:val="0"/>
                <w:sz w:val="32"/>
                <w:szCs w:val="32"/>
              </w:rPr>
            </w:pPr>
          </w:p>
          <w:p>
            <w:pPr>
              <w:widowControl/>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单位整体绩效目标表</w:t>
            </w:r>
          </w:p>
        </w:tc>
      </w:tr>
      <w:tr>
        <w:tblPrEx>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widowControl/>
              <w:jc w:val="center"/>
              <w:textAlignment w:val="center"/>
              <w:rPr>
                <w:rFonts w:ascii="仿宋_GB2312" w:hAnsi="宋体" w:eastAsia="仿宋_GB2312" w:cs="仿宋_GB2312"/>
                <w:b/>
                <w:color w:val="000000"/>
                <w:kern w:val="0"/>
                <w:sz w:val="32"/>
                <w:szCs w:val="32"/>
              </w:rPr>
            </w:pPr>
            <w:r>
              <w:rPr>
                <w:rFonts w:hint="eastAsia" w:ascii="宋体" w:hAnsi="宋体" w:cs="宋体"/>
                <w:color w:val="000000"/>
                <w:sz w:val="24"/>
              </w:rPr>
              <w:t>（2025年）</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单位名称</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焉耆回族自治县第二幼儿园</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苏梅娅</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ascii="宋体" w:hAnsi="宋体" w:cs="宋体"/>
                <w:color w:val="000000"/>
                <w:sz w:val="20"/>
                <w:szCs w:val="20"/>
              </w:rPr>
              <w:t>18095809792</w:t>
            </w:r>
          </w:p>
        </w:tc>
      </w:tr>
      <w:tr>
        <w:tblPrEx>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ascii="宋体" w:hAnsi="宋体" w:cs="宋体"/>
                <w:color w:val="000000"/>
                <w:sz w:val="20"/>
                <w:szCs w:val="20"/>
              </w:rPr>
            </w:pPr>
            <w:r>
              <w:rPr>
                <w:color w:val="000000"/>
                <w:sz w:val="20"/>
                <w:szCs w:val="20"/>
              </w:rPr>
              <w:t>全面贯彻执行党和国家的教育方针，</w:t>
            </w:r>
            <w:r>
              <w:rPr>
                <w:rFonts w:hint="default" w:ascii="Times New Roman" w:hAnsi="Times New Roman" w:eastAsia="宋体" w:cs="Times New Roman"/>
                <w:i w:val="0"/>
                <w:iCs w:val="0"/>
                <w:color w:val="000000"/>
                <w:sz w:val="20"/>
                <w:szCs w:val="20"/>
                <w:u w:val="none"/>
              </w:rPr>
              <w:t>学前教育幼儿人数2</w:t>
            </w:r>
            <w:r>
              <w:rPr>
                <w:rFonts w:hint="eastAsia" w:cs="Times New Roman"/>
                <w:i w:val="0"/>
                <w:iCs w:val="0"/>
                <w:color w:val="000000"/>
                <w:sz w:val="20"/>
                <w:szCs w:val="20"/>
                <w:u w:val="none"/>
                <w:lang w:val="en-US" w:eastAsia="zh-CN"/>
              </w:rPr>
              <w:t>83</w:t>
            </w:r>
            <w:r>
              <w:rPr>
                <w:rFonts w:hint="default" w:ascii="Times New Roman" w:hAnsi="Times New Roman" w:eastAsia="宋体" w:cs="Times New Roman"/>
                <w:i w:val="0"/>
                <w:iCs w:val="0"/>
                <w:color w:val="000000"/>
                <w:sz w:val="20"/>
                <w:szCs w:val="20"/>
                <w:u w:val="none"/>
              </w:rPr>
              <w:t>人，开设班级11个班，学前教育适龄幼儿入学率达到98%，享受学前免费教育资助保障人数2</w:t>
            </w:r>
            <w:r>
              <w:rPr>
                <w:rFonts w:hint="eastAsia" w:cs="Times New Roman"/>
                <w:i w:val="0"/>
                <w:iCs w:val="0"/>
                <w:color w:val="000000"/>
                <w:sz w:val="20"/>
                <w:szCs w:val="20"/>
                <w:u w:val="none"/>
                <w:lang w:val="en-US" w:eastAsia="zh-CN"/>
              </w:rPr>
              <w:t>83</w:t>
            </w:r>
            <w:r>
              <w:rPr>
                <w:rFonts w:hint="default" w:ascii="Times New Roman" w:hAnsi="Times New Roman" w:eastAsia="宋体" w:cs="Times New Roman"/>
                <w:i w:val="0"/>
                <w:iCs w:val="0"/>
                <w:color w:val="000000"/>
                <w:sz w:val="20"/>
                <w:szCs w:val="20"/>
                <w:u w:val="none"/>
              </w:rPr>
              <w:t>人。</w:t>
            </w:r>
            <w:r>
              <w:rPr>
                <w:color w:val="000000"/>
                <w:sz w:val="20"/>
                <w:szCs w:val="20"/>
              </w:rPr>
              <w:t>按照保育与教育相结合的原则，遵循幼儿身心发展特点和规律，实施德、智、体、美、劳等全面发展的教育，促进幼儿身心和谐发展；为家长提供科学育儿宣传、指导。制订并实施教育教学大纲、《幼儿园工作规程》、幼儿园发展规划和年度计划等，完成幼儿园“育人、服务”两大任务。落实立德树人根本任务，以年度工作思路和工作重点为抓手，以和谐、创新、发展为主题，以师资队伍建设与校园文化内涵建设为重点，创新思路，优化环境，打造特色，精心为教师搭建创新发展的平台、为幼儿创设安全舒适的成长环境，不断提升办园品质。</w:t>
            </w:r>
          </w:p>
        </w:tc>
      </w:tr>
      <w:tr>
        <w:tblPrEx>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资金来源</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资金总额（万元）</w:t>
            </w:r>
          </w:p>
        </w:tc>
      </w:tr>
      <w:tr>
        <w:tblPrEx>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上级安排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0.00</w:t>
            </w:r>
          </w:p>
        </w:tc>
      </w:tr>
      <w:tr>
        <w:tblPrEx>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本级安排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367.24</w:t>
            </w:r>
          </w:p>
        </w:tc>
      </w:tr>
      <w:tr>
        <w:tblPrEx>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1.42</w:t>
            </w:r>
          </w:p>
        </w:tc>
      </w:tr>
      <w:tr>
        <w:tblPrEx>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分值权重</w:t>
            </w:r>
          </w:p>
        </w:tc>
      </w:tr>
      <w:tr>
        <w:tblPrEx>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kern w:val="0"/>
                <w:sz w:val="20"/>
                <w:szCs w:val="20"/>
              </w:rPr>
              <w:t>履职效能</w:t>
            </w:r>
          </w:p>
        </w:tc>
        <w:tc>
          <w:tcPr>
            <w:tcW w:w="1367"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color w:val="000000"/>
                <w:sz w:val="20"/>
                <w:szCs w:val="20"/>
              </w:rPr>
              <w:t>学前教育幼儿人数</w:t>
            </w:r>
          </w:p>
        </w:tc>
        <w:tc>
          <w:tcPr>
            <w:tcW w:w="1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color w:val="000000"/>
                <w:sz w:val="20"/>
                <w:szCs w:val="20"/>
              </w:rPr>
              <w:t>≧</w:t>
            </w:r>
            <w:r>
              <w:rPr>
                <w:rFonts w:hint="eastAsia"/>
                <w:color w:val="000000"/>
                <w:sz w:val="20"/>
                <w:szCs w:val="20"/>
              </w:rPr>
              <w:t>283</w:t>
            </w:r>
            <w:r>
              <w:rPr>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rFonts w:hint="eastAsia"/>
                <w:color w:val="000000"/>
                <w:sz w:val="20"/>
                <w:szCs w:val="20"/>
                <w:lang w:val="en-US" w:eastAsia="zh-CN"/>
              </w:rPr>
              <w:t>25</w:t>
            </w:r>
          </w:p>
        </w:tc>
      </w:tr>
      <w:tr>
        <w:tblPrEx>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color w:val="000000"/>
                <w:sz w:val="20"/>
                <w:szCs w:val="20"/>
              </w:rPr>
              <w:t>学前教育开班数量</w:t>
            </w:r>
          </w:p>
        </w:tc>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color w:val="000000"/>
                <w:sz w:val="20"/>
                <w:szCs w:val="20"/>
              </w:rPr>
              <w:t>≧</w:t>
            </w:r>
            <w:r>
              <w:rPr>
                <w:rFonts w:hint="eastAsia"/>
                <w:color w:val="000000"/>
                <w:sz w:val="20"/>
                <w:szCs w:val="20"/>
                <w:lang w:val="en-US" w:eastAsia="zh-CN"/>
              </w:rPr>
              <w:t>11个</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rFonts w:hint="eastAsia"/>
                <w:color w:val="000000"/>
                <w:sz w:val="20"/>
                <w:szCs w:val="20"/>
                <w:lang w:val="en-US" w:eastAsia="zh-CN"/>
              </w:rPr>
              <w:t>25</w:t>
            </w:r>
          </w:p>
        </w:tc>
      </w:tr>
      <w:tr>
        <w:tblPrEx>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color w:val="000000"/>
                <w:sz w:val="20"/>
                <w:szCs w:val="20"/>
              </w:rPr>
              <w:t>免除学前教育幼儿补助经费人数</w:t>
            </w:r>
          </w:p>
        </w:tc>
        <w:tc>
          <w:tcPr>
            <w:tcW w:w="1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color w:val="000000"/>
                <w:sz w:val="20"/>
                <w:szCs w:val="20"/>
              </w:rPr>
              <w:t>≧</w:t>
            </w:r>
            <w:r>
              <w:rPr>
                <w:rFonts w:hint="eastAsia"/>
                <w:color w:val="000000"/>
                <w:sz w:val="20"/>
                <w:szCs w:val="20"/>
              </w:rPr>
              <w:t>283</w:t>
            </w:r>
            <w:r>
              <w:rPr>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rFonts w:hint="eastAsia"/>
                <w:color w:val="000000"/>
                <w:sz w:val="20"/>
                <w:szCs w:val="20"/>
                <w:lang w:val="en-US" w:eastAsia="zh-CN"/>
              </w:rPr>
              <w:t>20</w:t>
            </w:r>
          </w:p>
        </w:tc>
      </w:tr>
      <w:tr>
        <w:tblPrEx>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 w:val="20"/>
                <w:szCs w:val="20"/>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sz w:val="20"/>
                <w:szCs w:val="20"/>
              </w:rPr>
              <w:t>质量指标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20"/>
                <w:szCs w:val="20"/>
              </w:rPr>
            </w:pPr>
            <w:r>
              <w:rPr>
                <w:color w:val="000000"/>
                <w:sz w:val="20"/>
                <w:szCs w:val="20"/>
              </w:rPr>
              <w:t>学前教育适龄幼儿入学率</w:t>
            </w:r>
          </w:p>
        </w:tc>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≧98%</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rFonts w:hint="eastAsia"/>
                <w:color w:val="000000"/>
                <w:sz w:val="20"/>
                <w:szCs w:val="20"/>
                <w:lang w:val="en-US" w:eastAsia="zh-CN"/>
              </w:rPr>
              <w:t>20</w:t>
            </w:r>
          </w:p>
        </w:tc>
      </w:tr>
    </w:tbl>
    <w:p>
      <w:pPr>
        <w:pStyle w:val="3"/>
        <w:ind w:firstLine="0" w:firstLineChars="0"/>
        <w:rPr>
          <w:rFonts w:eastAsia="仿宋_GB2312"/>
          <w:kern w:val="0"/>
          <w:sz w:val="32"/>
        </w:rPr>
      </w:pPr>
    </w:p>
    <w:p>
      <w:pPr>
        <w:pStyle w:val="3"/>
        <w:ind w:left="0" w:leftChars="0" w:firstLine="0" w:firstLineChars="0"/>
      </w:pP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ind w:firstLine="640" w:firstLineChars="200"/>
        <w:rPr>
          <w:rFonts w:ascii="黑体" w:hAnsi="黑体" w:eastAsia="黑体"/>
          <w:kern w:val="0"/>
          <w:sz w:val="32"/>
          <w:szCs w:val="32"/>
        </w:rPr>
      </w:pPr>
      <w:r>
        <w:rPr>
          <w:rFonts w:hint="eastAsia" w:ascii="仿宋_GB2312" w:hAnsi="宋体" w:eastAsia="仿宋_GB2312" w:cs="宋体"/>
          <w:kern w:val="0"/>
          <w:sz w:val="32"/>
          <w:szCs w:val="32"/>
        </w:rPr>
        <w:t>本单位无其他说明的事项。</w:t>
      </w:r>
      <w:r>
        <w:br w:type="page"/>
      </w: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焉耆回族自治县第二幼儿园</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2025</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20</w:t>
      </w:r>
      <w:r>
        <w:rPr>
          <w:rFonts w:ascii="仿宋_GB2312" w:hAnsi="宋体" w:eastAsia="仿宋_GB2312" w:cs="宋体"/>
          <w:kern w:val="0"/>
          <w:sz w:val="32"/>
          <w:szCs w:val="32"/>
        </w:rPr>
        <w:t>日</w:t>
      </w:r>
    </w:p>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1025" o:spid="_x0000_s1025"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path/>
          <v:fill on="f" focussize="0,0"/>
          <v:stroke on="f"/>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E0C85"/>
    <w:multiLevelType w:val="singleLevel"/>
    <w:tmpl w:val="DA7E0C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wYmRmZTlkODBlYWI2MWEzOGMyNWRlOTFmY2QzMTQifQ=="/>
  </w:docVars>
  <w:rsids>
    <w:rsidRoot w:val="000F3656"/>
    <w:rsid w:val="000F3656"/>
    <w:rsid w:val="00483489"/>
    <w:rsid w:val="00631D17"/>
    <w:rsid w:val="01DF117F"/>
    <w:rsid w:val="021E4161"/>
    <w:rsid w:val="02204906"/>
    <w:rsid w:val="040B4597"/>
    <w:rsid w:val="06E36909"/>
    <w:rsid w:val="093B11BA"/>
    <w:rsid w:val="093F3A0F"/>
    <w:rsid w:val="0966757D"/>
    <w:rsid w:val="0A151047"/>
    <w:rsid w:val="0A1B189A"/>
    <w:rsid w:val="0A375AAC"/>
    <w:rsid w:val="0AF93C4A"/>
    <w:rsid w:val="0C421AD4"/>
    <w:rsid w:val="0C5703E5"/>
    <w:rsid w:val="0D1A1780"/>
    <w:rsid w:val="0D5A1E46"/>
    <w:rsid w:val="0E1A30F3"/>
    <w:rsid w:val="0E2667E4"/>
    <w:rsid w:val="0E9E3B91"/>
    <w:rsid w:val="0F961F14"/>
    <w:rsid w:val="0FF06B6D"/>
    <w:rsid w:val="10E40EC2"/>
    <w:rsid w:val="11246F2C"/>
    <w:rsid w:val="119D76BE"/>
    <w:rsid w:val="11AF2606"/>
    <w:rsid w:val="12A05FA0"/>
    <w:rsid w:val="12E96CED"/>
    <w:rsid w:val="12EC5645"/>
    <w:rsid w:val="134A6208"/>
    <w:rsid w:val="13877628"/>
    <w:rsid w:val="1394365B"/>
    <w:rsid w:val="13BF623F"/>
    <w:rsid w:val="13E82A88"/>
    <w:rsid w:val="1451384A"/>
    <w:rsid w:val="15815F82"/>
    <w:rsid w:val="16641404"/>
    <w:rsid w:val="16D46034"/>
    <w:rsid w:val="173F7962"/>
    <w:rsid w:val="182415C7"/>
    <w:rsid w:val="1A107342"/>
    <w:rsid w:val="1A8A497F"/>
    <w:rsid w:val="1A994118"/>
    <w:rsid w:val="1B1F671E"/>
    <w:rsid w:val="1B291642"/>
    <w:rsid w:val="1BBE0C98"/>
    <w:rsid w:val="1C4B5564"/>
    <w:rsid w:val="1CC54595"/>
    <w:rsid w:val="1CE968D6"/>
    <w:rsid w:val="1D03701F"/>
    <w:rsid w:val="1DC40F1B"/>
    <w:rsid w:val="1E045CBA"/>
    <w:rsid w:val="1EA67784"/>
    <w:rsid w:val="1F4B7865"/>
    <w:rsid w:val="1FAE17F4"/>
    <w:rsid w:val="20293C20"/>
    <w:rsid w:val="20793199"/>
    <w:rsid w:val="20EF57D4"/>
    <w:rsid w:val="21E45555"/>
    <w:rsid w:val="223A6D24"/>
    <w:rsid w:val="224D6F8D"/>
    <w:rsid w:val="236D34F3"/>
    <w:rsid w:val="23780938"/>
    <w:rsid w:val="23D50449"/>
    <w:rsid w:val="23D62775"/>
    <w:rsid w:val="24260842"/>
    <w:rsid w:val="260E1EC1"/>
    <w:rsid w:val="26F5727D"/>
    <w:rsid w:val="271477F4"/>
    <w:rsid w:val="277C7074"/>
    <w:rsid w:val="27BC7EDE"/>
    <w:rsid w:val="2829543B"/>
    <w:rsid w:val="28551CB3"/>
    <w:rsid w:val="290940AC"/>
    <w:rsid w:val="296B53A2"/>
    <w:rsid w:val="29970220"/>
    <w:rsid w:val="2A663314"/>
    <w:rsid w:val="2A7330C6"/>
    <w:rsid w:val="2AA51192"/>
    <w:rsid w:val="2B650D17"/>
    <w:rsid w:val="2B9D5EF5"/>
    <w:rsid w:val="2CC44E3A"/>
    <w:rsid w:val="2D8A0A10"/>
    <w:rsid w:val="2DF708F8"/>
    <w:rsid w:val="30662735"/>
    <w:rsid w:val="310916B0"/>
    <w:rsid w:val="31AA20F2"/>
    <w:rsid w:val="328348F0"/>
    <w:rsid w:val="33251FC8"/>
    <w:rsid w:val="33EB2624"/>
    <w:rsid w:val="356115EC"/>
    <w:rsid w:val="35873CC1"/>
    <w:rsid w:val="35C83F94"/>
    <w:rsid w:val="35C8700F"/>
    <w:rsid w:val="37010839"/>
    <w:rsid w:val="37215589"/>
    <w:rsid w:val="3735366C"/>
    <w:rsid w:val="37AE73FC"/>
    <w:rsid w:val="37CE4148"/>
    <w:rsid w:val="381618C8"/>
    <w:rsid w:val="38602409"/>
    <w:rsid w:val="38BD712B"/>
    <w:rsid w:val="39962C38"/>
    <w:rsid w:val="3AA7358C"/>
    <w:rsid w:val="3AB7478F"/>
    <w:rsid w:val="3B1F4516"/>
    <w:rsid w:val="3B952238"/>
    <w:rsid w:val="3C1F0F12"/>
    <w:rsid w:val="3C9949D3"/>
    <w:rsid w:val="3CB47822"/>
    <w:rsid w:val="3D104B16"/>
    <w:rsid w:val="3D9519F5"/>
    <w:rsid w:val="3DA61BD7"/>
    <w:rsid w:val="3E626737"/>
    <w:rsid w:val="3E7C23FF"/>
    <w:rsid w:val="3EAC3B09"/>
    <w:rsid w:val="40F71E3E"/>
    <w:rsid w:val="41173734"/>
    <w:rsid w:val="41CA2E23"/>
    <w:rsid w:val="41E40B0E"/>
    <w:rsid w:val="42165BFC"/>
    <w:rsid w:val="42183781"/>
    <w:rsid w:val="43071099"/>
    <w:rsid w:val="43C8675E"/>
    <w:rsid w:val="441D373D"/>
    <w:rsid w:val="44427987"/>
    <w:rsid w:val="451E7E0A"/>
    <w:rsid w:val="452728BF"/>
    <w:rsid w:val="45427B13"/>
    <w:rsid w:val="45BB18DC"/>
    <w:rsid w:val="47830B69"/>
    <w:rsid w:val="47BC2B0D"/>
    <w:rsid w:val="483A466B"/>
    <w:rsid w:val="488C0390"/>
    <w:rsid w:val="48A40C87"/>
    <w:rsid w:val="4A2C2A8B"/>
    <w:rsid w:val="4AE52786"/>
    <w:rsid w:val="4AEB553A"/>
    <w:rsid w:val="4B474994"/>
    <w:rsid w:val="4C0D6CA2"/>
    <w:rsid w:val="4C2F2CEB"/>
    <w:rsid w:val="4C393BD4"/>
    <w:rsid w:val="4C7B18B4"/>
    <w:rsid w:val="4D146D0D"/>
    <w:rsid w:val="4EF17E6E"/>
    <w:rsid w:val="4F051EE9"/>
    <w:rsid w:val="4F3A7A6F"/>
    <w:rsid w:val="4FB35062"/>
    <w:rsid w:val="4FBE292C"/>
    <w:rsid w:val="4FC8223A"/>
    <w:rsid w:val="51145BFB"/>
    <w:rsid w:val="511D2D63"/>
    <w:rsid w:val="51B26009"/>
    <w:rsid w:val="5212008D"/>
    <w:rsid w:val="5267212E"/>
    <w:rsid w:val="52B86722"/>
    <w:rsid w:val="52C071EC"/>
    <w:rsid w:val="531D0622"/>
    <w:rsid w:val="54214FB9"/>
    <w:rsid w:val="54613958"/>
    <w:rsid w:val="54A138DA"/>
    <w:rsid w:val="5560710B"/>
    <w:rsid w:val="576F5FB1"/>
    <w:rsid w:val="59742B36"/>
    <w:rsid w:val="59A61B6B"/>
    <w:rsid w:val="5B731D8B"/>
    <w:rsid w:val="5B820E90"/>
    <w:rsid w:val="5D19580E"/>
    <w:rsid w:val="5D2550AC"/>
    <w:rsid w:val="5DE813D0"/>
    <w:rsid w:val="5E756C35"/>
    <w:rsid w:val="5E986186"/>
    <w:rsid w:val="5EAC3F47"/>
    <w:rsid w:val="5F584C8E"/>
    <w:rsid w:val="5F621DF1"/>
    <w:rsid w:val="601A02C6"/>
    <w:rsid w:val="60611F52"/>
    <w:rsid w:val="615462EF"/>
    <w:rsid w:val="61E57098"/>
    <w:rsid w:val="62343787"/>
    <w:rsid w:val="62EF2988"/>
    <w:rsid w:val="631C51C3"/>
    <w:rsid w:val="64FF7433"/>
    <w:rsid w:val="655E54BC"/>
    <w:rsid w:val="65710A40"/>
    <w:rsid w:val="658754F8"/>
    <w:rsid w:val="66092888"/>
    <w:rsid w:val="66490817"/>
    <w:rsid w:val="68740D89"/>
    <w:rsid w:val="69300278"/>
    <w:rsid w:val="695E660B"/>
    <w:rsid w:val="69DC64C2"/>
    <w:rsid w:val="6A456A9D"/>
    <w:rsid w:val="6A861832"/>
    <w:rsid w:val="6B395908"/>
    <w:rsid w:val="6B546CBA"/>
    <w:rsid w:val="6B9249DD"/>
    <w:rsid w:val="6BAE0DEF"/>
    <w:rsid w:val="6BD9278F"/>
    <w:rsid w:val="6BE409B8"/>
    <w:rsid w:val="6C2307ED"/>
    <w:rsid w:val="6C99111D"/>
    <w:rsid w:val="6D2E2690"/>
    <w:rsid w:val="6D3C0CFC"/>
    <w:rsid w:val="6D9E53EA"/>
    <w:rsid w:val="6DFD3789"/>
    <w:rsid w:val="6EF82703"/>
    <w:rsid w:val="6F9C51E5"/>
    <w:rsid w:val="6FC6507C"/>
    <w:rsid w:val="70A67D67"/>
    <w:rsid w:val="71721340"/>
    <w:rsid w:val="71EE2861"/>
    <w:rsid w:val="722B19AD"/>
    <w:rsid w:val="72885441"/>
    <w:rsid w:val="730309C9"/>
    <w:rsid w:val="73BE7B1D"/>
    <w:rsid w:val="744F27F1"/>
    <w:rsid w:val="75554D0C"/>
    <w:rsid w:val="75556F24"/>
    <w:rsid w:val="75B44D02"/>
    <w:rsid w:val="75D56702"/>
    <w:rsid w:val="761F1051"/>
    <w:rsid w:val="7649123F"/>
    <w:rsid w:val="76595C53"/>
    <w:rsid w:val="765E5080"/>
    <w:rsid w:val="76D94E2C"/>
    <w:rsid w:val="76F13F94"/>
    <w:rsid w:val="775233E7"/>
    <w:rsid w:val="78CA021D"/>
    <w:rsid w:val="79247907"/>
    <w:rsid w:val="7A2810A2"/>
    <w:rsid w:val="7A424F33"/>
    <w:rsid w:val="7A6464A1"/>
    <w:rsid w:val="7B1A0C34"/>
    <w:rsid w:val="7B3F02C2"/>
    <w:rsid w:val="7B58746C"/>
    <w:rsid w:val="7CCF0503"/>
    <w:rsid w:val="7D4412FE"/>
    <w:rsid w:val="7D5022FB"/>
    <w:rsid w:val="7D6C5C8C"/>
    <w:rsid w:val="7D7E7F84"/>
    <w:rsid w:val="7D824E85"/>
    <w:rsid w:val="7E1920EF"/>
    <w:rsid w:val="7F167C35"/>
    <w:rsid w:val="7F2D5A2C"/>
    <w:rsid w:val="7FD82A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表格文字"/>
    <w:basedOn w:val="12"/>
    <w:qFormat/>
    <w:uiPriority w:val="0"/>
    <w:rPr>
      <w:rFonts w:ascii="Calibri" w:hAnsi="Calibri" w:eastAsia="仿宋_GB2312"/>
      <w:sz w:val="18"/>
    </w:rPr>
  </w:style>
  <w:style w:type="character" w:customStyle="1" w:styleId="17">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7F378-D7CA-40DD-B0A1-81A23D33D0BB}">
  <ds:schemaRefs/>
</ds:datastoreItem>
</file>

<file path=customXml/itemProps3.xml><?xml version="1.0" encoding="utf-8"?>
<ds:datastoreItem xmlns:ds="http://schemas.openxmlformats.org/officeDocument/2006/customXml" ds:itemID="{D04C2A45-3E99-4E5D-B8B1-50DE80103D29}">
  <ds:schemaRefs/>
</ds:datastoreItem>
</file>

<file path=customXml/itemProps4.xml><?xml version="1.0" encoding="utf-8"?>
<ds:datastoreItem xmlns:ds="http://schemas.openxmlformats.org/officeDocument/2006/customXml" ds:itemID="{9171DCC8-D98E-4556-A3A3-67DB666B5F89}">
  <ds:schemaRefs/>
</ds:datastoreItem>
</file>

<file path=docProps/app.xml><?xml version="1.0" encoding="utf-8"?>
<Properties xmlns="http://schemas.openxmlformats.org/officeDocument/2006/extended-properties" xmlns:vt="http://schemas.openxmlformats.org/officeDocument/2006/docPropsVTypes">
  <Template>Normal</Template>
  <Pages>26</Pages>
  <Words>1757</Words>
  <Characters>10018</Characters>
  <Lines>83</Lines>
  <Paragraphs>23</Paragraphs>
  <TotalTime>1</TotalTime>
  <ScaleCrop>false</ScaleCrop>
  <LinksUpToDate>false</LinksUpToDate>
  <CharactersWithSpaces>11752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2025-03-27T05:02:00Z</cp:lastPrinted>
  <dcterms:modified xsi:type="dcterms:W3CDTF">2025-04-23T03:55:24Z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