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焉耆回族自治县第三幼儿园</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一、关于焉耆回族自治县第三幼儿园2025年收支预算情况的总体说明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二、关于焉耆回族自治县第三幼儿园2025年收入预算情况说明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三、关于焉耆回族自治县第三幼儿园2025年支出预算情况说明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四、关于焉耆回族自治县第三幼儿园2025年财政拨款收支预算情况的总体说明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五、关于焉耆回族自治县第三幼儿园2025年一般公共预算当年拨款情况说明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六、关于焉耆回族自治县第三幼儿园2025年一般公共预算基本支出情况说明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七、关于焉耆回族自治县第三幼儿园2025年一般公共预算项目支出情况说明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八、关于焉耆回族自治县第三幼儿园2025年政府性基金预算拨款情况说明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九、关于焉耆回族自治县第三幼儿园2025年国有资本经营预算拨款情况说明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十、关于焉耆回族自治县第三幼儿园2025年财政拨款“三公”经费预算情况说明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十一、关于焉耆回族自治县第三幼儿园2025年上年结转结余预算情况说明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1.我单位认真贯彻执行党和国家有关幼儿教育的方针、政策以 及教育法规、规章，坚持正确的办园方向。执行上级的指示和决议；贯彻执行《幼儿教育纲要》和《幼儿园工作规程》，深化改革，强化管理，使各项工作程序化，规范化，制度化，不断提高保教水平。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2.制定并严格执行幼儿园安全、卫生、保健制度，培养幼儿良 好的习惯，预防安全事故发生。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3.观察、分析并记录幼儿发展情况，关注幼儿的兴趣和需要及 个体差异。从实际出发，实施素质教育，为幼儿发展打下良好基础。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4.培育健康活泼、独立自信、探究合作、习惯良好、具有爱心 的幼儿，张扬孩子的个性，促进每个孩子全面和谐发展。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5.与时俱进，勤于学习，善于学习，树立现代教育理念，不断 学习和汲取新信息、新知识，不断创新教育方法，积极参与教研活 动，促进教师自我发展。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6.创设与保教要求相适应的环境，科学合理地安排幼儿一日活 动，保证幼儿充足的游戏活动、户外活动、自主活动时间。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7.与家长经常保持联系,了解幼儿家庭教育情况，商讨符合幼儿 特点的教育措施，协同完成教育任务。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焉耆回族自治县第三幼儿园无下属预算单位，下设4个处室，分别是：园长室、副园长、财务室、档案室。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焉耆回族自治县第三幼儿园编制数26，实有人数38人，其中：在职28人，减少2人；退休10人，增加2人；离休0人，增加0人。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lang w:eastAsia="zh-CN"/>
        </w:rPr>
        <w:t>焉耆回族自治县第三幼儿园</w:t>
      </w:r>
      <w:r>
        <w:rPr>
          <w:rFonts w:hint="default" w:ascii="Times New Roman" w:hAnsi="Times New Roman" w:eastAsia="仿宋_GB2312" w:cs="Times New Roman"/>
          <w:color w:val="auto"/>
          <w:kern w:val="0"/>
          <w:sz w:val="21"/>
          <w:szCs w:val="21"/>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1"/>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408.88</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408.88</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8.80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8.80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cs="Times New Roman"/>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cs="Times New Roman"/>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cs="Times New Roman"/>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408.88</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20"/>
                <w:szCs w:val="20"/>
                <w:highlight w:val="none"/>
                <w:lang w:val="en-US" w:eastAsia="zh-CN"/>
              </w:rPr>
              <w:t>408.88</w:t>
            </w: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lang w:eastAsia="zh-CN"/>
        </w:rPr>
        <w:t>焉耆回族自治县第三幼儿园</w:t>
      </w:r>
      <w:r>
        <w:rPr>
          <w:rFonts w:hint="default" w:ascii="Times New Roman" w:hAnsi="Times New Roman" w:eastAsia="仿宋_GB2312" w:cs="Times New Roman"/>
          <w:color w:val="auto"/>
          <w:kern w:val="0"/>
          <w:sz w:val="21"/>
          <w:szCs w:val="21"/>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660" w:type="dxa"/>
        <w:tblInd w:w="-450" w:type="dxa"/>
        <w:tblLayout w:type="fixed"/>
        <w:tblCellMar>
          <w:top w:w="0" w:type="dxa"/>
          <w:left w:w="108" w:type="dxa"/>
          <w:bottom w:w="0" w:type="dxa"/>
          <w:right w:w="108" w:type="dxa"/>
        </w:tblCellMar>
      </w:tblPr>
      <w:tblGrid>
        <w:gridCol w:w="541"/>
        <w:gridCol w:w="467"/>
        <w:gridCol w:w="440"/>
        <w:gridCol w:w="733"/>
        <w:gridCol w:w="827"/>
        <w:gridCol w:w="787"/>
        <w:gridCol w:w="813"/>
        <w:gridCol w:w="707"/>
        <w:gridCol w:w="360"/>
        <w:gridCol w:w="640"/>
        <w:gridCol w:w="440"/>
        <w:gridCol w:w="684"/>
        <w:gridCol w:w="583"/>
        <w:gridCol w:w="626"/>
        <w:gridCol w:w="505"/>
        <w:gridCol w:w="507"/>
      </w:tblGrid>
      <w:tr>
        <w:tblPrEx>
          <w:tblCellMar>
            <w:top w:w="0" w:type="dxa"/>
            <w:left w:w="108" w:type="dxa"/>
            <w:bottom w:w="0" w:type="dxa"/>
            <w:right w:w="108" w:type="dxa"/>
          </w:tblCellMar>
        </w:tblPrEx>
        <w:trPr>
          <w:trHeight w:val="697" w:hRule="atLeast"/>
        </w:trPr>
        <w:tc>
          <w:tcPr>
            <w:tcW w:w="14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73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3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8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50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41"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6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4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73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8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0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8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8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0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0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教</w:t>
            </w:r>
            <w:r>
              <w:rPr>
                <w:rFonts w:hint="default" w:ascii="Times New Roman" w:hAnsi="Times New Roman"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eastAsia="zh-CN"/>
              </w:rPr>
              <w:t>育支</w:t>
            </w:r>
            <w:r>
              <w:rPr>
                <w:rFonts w:hint="default" w:ascii="Times New Roman" w:hAnsi="Times New Roman"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eastAsia="zh-CN"/>
              </w:rPr>
              <w:t>出</w:t>
            </w:r>
          </w:p>
        </w:tc>
        <w:tc>
          <w:tcPr>
            <w:tcW w:w="8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408.88</w:t>
            </w: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8.80</w:t>
            </w:r>
          </w:p>
        </w:tc>
        <w:tc>
          <w:tcPr>
            <w:tcW w:w="50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普</w:t>
            </w:r>
            <w:r>
              <w:rPr>
                <w:rFonts w:hint="default" w:ascii="Times New Roman" w:hAnsi="Times New Roman"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eastAsia="zh-CN"/>
              </w:rPr>
              <w:t>通支</w:t>
            </w:r>
            <w:r>
              <w:rPr>
                <w:rFonts w:hint="default" w:ascii="Times New Roman" w:hAnsi="Times New Roman"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eastAsia="zh-CN"/>
              </w:rPr>
              <w:t>出</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408.88</w:t>
            </w: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8.80</w:t>
            </w: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学前教 育</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408.88</w:t>
            </w: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8.80</w:t>
            </w: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408.88</w:t>
            </w:r>
            <w:r>
              <w:rPr>
                <w:rFonts w:hint="default" w:ascii="Times New Roman" w:hAnsi="Times New Roman" w:eastAsia="仿宋_GB2312" w:cs="Times New Roman"/>
                <w:color w:val="auto"/>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8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400.08</w:t>
            </w: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8.80</w:t>
            </w:r>
          </w:p>
        </w:tc>
        <w:tc>
          <w:tcPr>
            <w:tcW w:w="50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1"/>
          <w:szCs w:val="21"/>
          <w:highlight w:val="none"/>
          <w:lang w:eastAsia="zh-CN"/>
        </w:rPr>
        <w:t>焉耆回族自治县第三幼儿园</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420" w:type="dxa"/>
        <w:tblInd w:w="-240" w:type="dxa"/>
        <w:tblLayout w:type="fixed"/>
        <w:tblCellMar>
          <w:top w:w="0" w:type="dxa"/>
          <w:left w:w="108" w:type="dxa"/>
          <w:bottom w:w="0" w:type="dxa"/>
          <w:right w:w="108" w:type="dxa"/>
        </w:tblCellMar>
      </w:tblPr>
      <w:tblGrid>
        <w:gridCol w:w="545"/>
        <w:gridCol w:w="413"/>
        <w:gridCol w:w="413"/>
        <w:gridCol w:w="2491"/>
        <w:gridCol w:w="1837"/>
        <w:gridCol w:w="1838"/>
        <w:gridCol w:w="1883"/>
      </w:tblGrid>
      <w:tr>
        <w:tblPrEx>
          <w:tblCellMar>
            <w:top w:w="0" w:type="dxa"/>
            <w:left w:w="108" w:type="dxa"/>
            <w:bottom w:w="0" w:type="dxa"/>
            <w:right w:w="108" w:type="dxa"/>
          </w:tblCellMar>
        </w:tblPrEx>
        <w:trPr>
          <w:trHeight w:val="328" w:hRule="atLeast"/>
        </w:trPr>
        <w:tc>
          <w:tcPr>
            <w:tcW w:w="386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5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7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8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8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eastAsia="zh-CN"/>
              </w:rPr>
              <w:t>教育支出</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r>
              <w:rPr>
                <w:rFonts w:hint="default" w:ascii="Times New Roman" w:hAnsi="Times New Roman" w:eastAsia="仿宋_GB2312" w:cs="Times New Roman"/>
                <w:b w:val="0"/>
                <w:bCs w:val="0"/>
                <w:color w:val="auto"/>
                <w:kern w:val="0"/>
                <w:sz w:val="18"/>
                <w:szCs w:val="18"/>
                <w:highlight w:val="none"/>
                <w:lang w:val="en-US" w:eastAsia="zh-CN"/>
              </w:rPr>
              <w:t>408.88</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408.88</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eastAsia="zh-CN"/>
              </w:rPr>
              <w:t>普通教育</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408.88</w:t>
            </w:r>
            <w:r>
              <w:rPr>
                <w:rFonts w:hint="default" w:ascii="Times New Roman" w:hAnsi="Times New Roman" w:eastAsia="仿宋_GB2312" w:cs="Times New Roman"/>
                <w:b w:val="0"/>
                <w:bCs w:val="0"/>
                <w:color w:val="auto"/>
                <w:kern w:val="0"/>
                <w:sz w:val="18"/>
                <w:szCs w:val="18"/>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408.88</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01</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eastAsia="zh-CN"/>
              </w:rPr>
              <w:t>学前教育</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408.88</w:t>
            </w:r>
            <w:r>
              <w:rPr>
                <w:rFonts w:hint="default" w:ascii="Times New Roman" w:hAnsi="Times New Roman" w:eastAsia="仿宋_GB2312" w:cs="Times New Roman"/>
                <w:b w:val="0"/>
                <w:bCs w:val="0"/>
                <w:color w:val="auto"/>
                <w:kern w:val="0"/>
                <w:sz w:val="18"/>
                <w:szCs w:val="18"/>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408.88</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491"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3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3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8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54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408.88</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408.88</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0"/>
          <w:szCs w:val="20"/>
          <w:highlight w:val="none"/>
          <w:lang w:eastAsia="zh-CN"/>
        </w:rPr>
        <w:t>焉耆回族自治县第三幼儿园</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1"/>
        <w:tblW w:w="9449" w:type="dxa"/>
        <w:tblInd w:w="-240" w:type="dxa"/>
        <w:tblLayout w:type="fixed"/>
        <w:tblCellMar>
          <w:top w:w="0" w:type="dxa"/>
          <w:left w:w="108" w:type="dxa"/>
          <w:bottom w:w="0" w:type="dxa"/>
          <w:right w:w="108" w:type="dxa"/>
        </w:tblCellMar>
      </w:tblPr>
      <w:tblGrid>
        <w:gridCol w:w="1928"/>
        <w:gridCol w:w="914"/>
        <w:gridCol w:w="2569"/>
        <w:gridCol w:w="900"/>
        <w:gridCol w:w="876"/>
        <w:gridCol w:w="1211"/>
        <w:gridCol w:w="1051"/>
      </w:tblGrid>
      <w:tr>
        <w:tblPrEx>
          <w:tblCellMar>
            <w:top w:w="0" w:type="dxa"/>
            <w:left w:w="108" w:type="dxa"/>
            <w:bottom w:w="0" w:type="dxa"/>
            <w:right w:w="108" w:type="dxa"/>
          </w:tblCellMar>
        </w:tblPrEx>
        <w:trPr>
          <w:trHeight w:val="285" w:hRule="atLeast"/>
        </w:trPr>
        <w:tc>
          <w:tcPr>
            <w:tcW w:w="2842"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607"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2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2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tabs>
                <w:tab w:val="center" w:pos="349"/>
                <w:tab w:val="right" w:pos="998"/>
              </w:tabs>
              <w:spacing w:line="280" w:lineRule="exact"/>
              <w:jc w:val="left"/>
              <w:rPr>
                <w:rFonts w:hint="default" w:ascii="Times New Roman" w:hAnsi="Times New Roman" w:eastAsia="仿宋_GB2312" w:cs="Times New Roman"/>
                <w:color w:val="auto"/>
                <w:kern w:val="0"/>
                <w:sz w:val="18"/>
                <w:szCs w:val="18"/>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tabs>
                <w:tab w:val="left" w:pos="395"/>
              </w:tabs>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97"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rPr>
            </w:pPr>
          </w:p>
        </w:tc>
        <w:tc>
          <w:tcPr>
            <w:tcW w:w="1051" w:type="dxa"/>
            <w:tcBorders>
              <w:top w:val="nil"/>
              <w:left w:val="nil"/>
              <w:bottom w:val="single" w:color="auto" w:sz="4" w:space="0"/>
              <w:right w:val="single" w:color="auto" w:sz="4" w:space="0"/>
            </w:tcBorders>
            <w:noWrap w:val="0"/>
            <w:vAlign w:val="center"/>
          </w:tcPr>
          <w:p>
            <w:pPr>
              <w:tabs>
                <w:tab w:val="left" w:pos="380"/>
                <w:tab w:val="right" w:pos="1215"/>
              </w:tabs>
              <w:spacing w:line="280" w:lineRule="exact"/>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65"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876"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21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21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0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2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400.08</w:t>
            </w:r>
            <w:r>
              <w:rPr>
                <w:rFonts w:hint="default" w:ascii="Times New Roman" w:hAnsi="Times New Roman" w:eastAsia="仿宋_GB2312" w:cs="Times New Roman"/>
                <w:b/>
                <w:bCs/>
                <w:color w:val="auto"/>
                <w:kern w:val="0"/>
                <w:sz w:val="20"/>
                <w:szCs w:val="20"/>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400.08</w:t>
            </w:r>
            <w:r>
              <w:rPr>
                <w:rFonts w:hint="default" w:ascii="Times New Roman" w:hAnsi="Times New Roman" w:eastAsia="仿宋_GB2312" w:cs="Times New Roman"/>
                <w:color w:val="auto"/>
                <w:kern w:val="0"/>
                <w:sz w:val="18"/>
                <w:szCs w:val="18"/>
                <w:highlight w:val="none"/>
              </w:rPr>
              <w:t>　</w:t>
            </w:r>
          </w:p>
        </w:tc>
        <w:tc>
          <w:tcPr>
            <w:tcW w:w="121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　</w:t>
            </w:r>
          </w:p>
        </w:tc>
        <w:tc>
          <w:tcPr>
            <w:tcW w:w="1051"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1"/>
        <w:tblW w:w="9214" w:type="dxa"/>
        <w:tblInd w:w="-34" w:type="dxa"/>
        <w:tblLayout w:type="fixed"/>
        <w:tblCellMar>
          <w:top w:w="0" w:type="dxa"/>
          <w:left w:w="108" w:type="dxa"/>
          <w:bottom w:w="0" w:type="dxa"/>
          <w:right w:w="108" w:type="dxa"/>
        </w:tblCellMar>
      </w:tblPr>
      <w:tblGrid>
        <w:gridCol w:w="519"/>
        <w:gridCol w:w="499"/>
        <w:gridCol w:w="502"/>
        <w:gridCol w:w="2491"/>
        <w:gridCol w:w="659"/>
        <w:gridCol w:w="1019"/>
        <w:gridCol w:w="216"/>
        <w:gridCol w:w="1619"/>
        <w:gridCol w:w="1690"/>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011"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lang w:eastAsia="zh-CN"/>
              </w:rPr>
              <w:t>焉耆回族自治县第三幼儿园</w:t>
            </w:r>
          </w:p>
        </w:tc>
        <w:tc>
          <w:tcPr>
            <w:tcW w:w="659"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5"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09"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8"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8"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eastAsia="zh-CN"/>
              </w:rPr>
              <w:t>教育支出</w:t>
            </w:r>
            <w:r>
              <w:rPr>
                <w:rFonts w:hint="default" w:ascii="Times New Roman" w:hAnsi="Times New Roman" w:eastAsia="仿宋_GB2312" w:cs="Times New Roman"/>
                <w:b w:val="0"/>
                <w:bCs/>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400.08</w:t>
            </w:r>
          </w:p>
        </w:tc>
        <w:tc>
          <w:tcPr>
            <w:tcW w:w="183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400.08</w:t>
            </w:r>
          </w:p>
        </w:tc>
        <w:tc>
          <w:tcPr>
            <w:tcW w:w="169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eastAsia="zh-CN"/>
              </w:rPr>
              <w:t>普通教育</w:t>
            </w:r>
          </w:p>
        </w:tc>
        <w:tc>
          <w:tcPr>
            <w:tcW w:w="167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400.08</w:t>
            </w:r>
          </w:p>
        </w:tc>
        <w:tc>
          <w:tcPr>
            <w:tcW w:w="183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400.08</w:t>
            </w:r>
          </w:p>
        </w:tc>
        <w:tc>
          <w:tcPr>
            <w:tcW w:w="169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24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eastAsia="zh-CN"/>
              </w:rPr>
              <w:t>学前教育</w:t>
            </w:r>
            <w:r>
              <w:rPr>
                <w:rFonts w:hint="default" w:ascii="Times New Roman" w:hAnsi="Times New Roman" w:eastAsia="仿宋_GB2312" w:cs="Times New Roman"/>
                <w:b w:val="0"/>
                <w:bCs/>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ind w:firstLine="200" w:firstLineChars="100"/>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400.08</w:t>
            </w:r>
          </w:p>
        </w:tc>
        <w:tc>
          <w:tcPr>
            <w:tcW w:w="1835" w:type="dxa"/>
            <w:gridSpan w:val="2"/>
            <w:tcBorders>
              <w:top w:val="nil"/>
              <w:left w:val="nil"/>
              <w:bottom w:val="single" w:color="auto" w:sz="4" w:space="0"/>
              <w:right w:val="single" w:color="auto" w:sz="4" w:space="0"/>
            </w:tcBorders>
            <w:noWrap w:val="0"/>
            <w:vAlign w:val="center"/>
          </w:tcPr>
          <w:p>
            <w:pPr>
              <w:widowControl/>
              <w:ind w:firstLine="200" w:firstLineChars="100"/>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400.08</w:t>
            </w:r>
          </w:p>
        </w:tc>
        <w:tc>
          <w:tcPr>
            <w:tcW w:w="169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9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400.08</w:t>
            </w:r>
          </w:p>
        </w:tc>
        <w:tc>
          <w:tcPr>
            <w:tcW w:w="183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400.08</w:t>
            </w:r>
          </w:p>
        </w:tc>
        <w:tc>
          <w:tcPr>
            <w:tcW w:w="169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auto"/>
                <w:kern w:val="0"/>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1"/>
        <w:tblW w:w="9328" w:type="dxa"/>
        <w:tblInd w:w="-148" w:type="dxa"/>
        <w:tblLayout w:type="fixed"/>
        <w:tblCellMar>
          <w:top w:w="0" w:type="dxa"/>
          <w:left w:w="108" w:type="dxa"/>
          <w:bottom w:w="0" w:type="dxa"/>
          <w:right w:w="108" w:type="dxa"/>
        </w:tblCellMar>
      </w:tblPr>
      <w:tblGrid>
        <w:gridCol w:w="757"/>
        <w:gridCol w:w="577"/>
        <w:gridCol w:w="3132"/>
        <w:gridCol w:w="754"/>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466"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焉耆回族自治县第三幼儿园</w:t>
            </w:r>
          </w:p>
        </w:tc>
        <w:tc>
          <w:tcPr>
            <w:tcW w:w="754"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466"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86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1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46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46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工资福利支出</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381.30</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381.30</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基本工资</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158.96</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158.96</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津贴补贴</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112.25</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112.25</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机关事业单位基本养老保险缴费</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40.04</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40.04</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09</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职业年金缴费</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20.02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20.02</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职工基本医疗保险缴费</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18.22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18.22</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12</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其他社会保障缴费</w:t>
            </w:r>
          </w:p>
        </w:tc>
        <w:tc>
          <w:tcPr>
            <w:tcW w:w="1460" w:type="dxa"/>
            <w:gridSpan w:val="2"/>
            <w:tcBorders>
              <w:top w:val="nil"/>
              <w:left w:val="nil"/>
              <w:bottom w:val="single" w:color="auto" w:sz="4" w:space="0"/>
              <w:right w:val="single" w:color="auto" w:sz="4" w:space="0"/>
            </w:tcBorders>
            <w:noWrap w:val="0"/>
            <w:vAlign w:val="center"/>
          </w:tcPr>
          <w:p>
            <w:pPr>
              <w:widowControl/>
              <w:tabs>
                <w:tab w:val="left" w:pos="586"/>
              </w:tabs>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1.78</w:t>
            </w:r>
          </w:p>
        </w:tc>
        <w:tc>
          <w:tcPr>
            <w:tcW w:w="1701" w:type="dxa"/>
            <w:gridSpan w:val="2"/>
            <w:tcBorders>
              <w:top w:val="nil"/>
              <w:left w:val="nil"/>
              <w:bottom w:val="single" w:color="auto" w:sz="4" w:space="0"/>
              <w:right w:val="single" w:color="auto" w:sz="4" w:space="0"/>
            </w:tcBorders>
            <w:noWrap w:val="0"/>
            <w:vAlign w:val="center"/>
          </w:tcPr>
          <w:p>
            <w:pPr>
              <w:widowControl/>
              <w:tabs>
                <w:tab w:val="left" w:pos="430"/>
              </w:tabs>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1.78</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住房公积金</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30.03</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30.03</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商品与服务支出</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16.46</w:t>
            </w:r>
          </w:p>
        </w:tc>
        <w:tc>
          <w:tcPr>
            <w:tcW w:w="1701" w:type="dxa"/>
            <w:gridSpan w:val="2"/>
            <w:tcBorders>
              <w:top w:val="nil"/>
              <w:left w:val="nil"/>
              <w:bottom w:val="single" w:color="auto" w:sz="4" w:space="0"/>
              <w:right w:val="single" w:color="auto" w:sz="4" w:space="0"/>
            </w:tcBorders>
            <w:noWrap w:val="0"/>
            <w:vAlign w:val="center"/>
          </w:tcPr>
          <w:p>
            <w:pPr>
              <w:widowControl/>
              <w:tabs>
                <w:tab w:val="left" w:pos="415"/>
              </w:tabs>
              <w:jc w:val="right"/>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tabs>
                <w:tab w:val="left" w:pos="439"/>
              </w:tabs>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取暖费</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13.39</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16</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培训费</w:t>
            </w:r>
          </w:p>
        </w:tc>
        <w:tc>
          <w:tcPr>
            <w:tcW w:w="1460" w:type="dxa"/>
            <w:gridSpan w:val="2"/>
            <w:tcBorders>
              <w:top w:val="nil"/>
              <w:left w:val="nil"/>
              <w:bottom w:val="single" w:color="auto" w:sz="4" w:space="0"/>
              <w:right w:val="single" w:color="auto" w:sz="4" w:space="0"/>
            </w:tcBorders>
            <w:noWrap w:val="0"/>
            <w:vAlign w:val="center"/>
          </w:tcPr>
          <w:p>
            <w:pPr>
              <w:widowControl/>
              <w:tabs>
                <w:tab w:val="center" w:pos="742"/>
              </w:tabs>
              <w:ind w:firstLine="400" w:firstLineChars="20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28</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工会经费</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0.04</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tabs>
                <w:tab w:val="left" w:pos="364"/>
              </w:tabs>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29</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福利费</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0.04</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对个人和家庭补助</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退休费</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1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4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1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4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1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4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1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4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1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4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1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4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1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46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400.08</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383.61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16.47</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yellow"/>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1"/>
        <w:tblW w:w="9540" w:type="dxa"/>
        <w:tblInd w:w="-360" w:type="dxa"/>
        <w:tblLayout w:type="fixed"/>
        <w:tblCellMar>
          <w:top w:w="0" w:type="dxa"/>
          <w:left w:w="108" w:type="dxa"/>
          <w:bottom w:w="0" w:type="dxa"/>
          <w:right w:w="108" w:type="dxa"/>
        </w:tblCellMar>
      </w:tblPr>
      <w:tblGrid>
        <w:gridCol w:w="8"/>
        <w:gridCol w:w="537"/>
        <w:gridCol w:w="506"/>
        <w:gridCol w:w="507"/>
        <w:gridCol w:w="733"/>
        <w:gridCol w:w="1307"/>
        <w:gridCol w:w="723"/>
        <w:gridCol w:w="451"/>
        <w:gridCol w:w="666"/>
        <w:gridCol w:w="503"/>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焉耆回族自治县第三幼儿园</w:t>
            </w:r>
          </w:p>
        </w:tc>
        <w:tc>
          <w:tcPr>
            <w:tcW w:w="1117"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546"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58"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73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307"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2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5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6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50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5"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06"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50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733"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3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2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6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23" w:type="dxa"/>
            <w:noWrap w:val="0"/>
            <w:vAlign w:val="center"/>
          </w:tcPr>
          <w:p>
            <w:pPr>
              <w:widowControl/>
              <w:jc w:val="center"/>
              <w:outlineLvl w:val="1"/>
              <w:rPr>
                <w:rFonts w:hint="default" w:ascii="Times New Roman" w:hAnsi="Times New Roman" w:eastAsia="仿宋_GB2312" w:cs="Times New Roman"/>
                <w:color w:val="auto"/>
                <w:kern w:val="0"/>
                <w:szCs w:val="21"/>
                <w:highlight w:val="none"/>
                <w:lang w:val="en-US" w:eastAsia="zh-CN"/>
              </w:rPr>
            </w:pPr>
          </w:p>
          <w:p>
            <w:pPr>
              <w:widowControl/>
              <w:jc w:val="center"/>
              <w:outlineLvl w:val="1"/>
              <w:rPr>
                <w:rFonts w:hint="default" w:ascii="Times New Roman" w:hAnsi="Times New Roman" w:eastAsia="仿宋_GB2312" w:cs="Times New Roman"/>
                <w:color w:val="auto"/>
                <w:kern w:val="0"/>
                <w:szCs w:val="21"/>
                <w:highlight w:val="none"/>
                <w:lang w:val="en-US" w:eastAsia="zh-CN"/>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6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p>
          <w:p>
            <w:pPr>
              <w:widowControl/>
              <w:jc w:val="left"/>
              <w:outlineLvl w:val="1"/>
              <w:rPr>
                <w:rFonts w:hint="default" w:ascii="Times New Roman" w:hAnsi="Times New Roman" w:eastAsia="仿宋_GB2312" w:cs="Times New Roman"/>
                <w:color w:val="auto"/>
                <w:kern w:val="0"/>
                <w:sz w:val="32"/>
                <w:szCs w:val="32"/>
                <w:highlight w:val="none"/>
                <w:lang w:val="en-US" w:eastAsia="zh-CN"/>
              </w:rPr>
            </w:pPr>
          </w:p>
        </w:tc>
        <w:tc>
          <w:tcPr>
            <w:tcW w:w="50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eastAsia" w:ascii="仿宋_GB2312" w:hAnsi="仿宋_GB2312" w:eastAsia="仿宋_GB2312" w:cs="仿宋_GB2312"/>
          <w:b/>
          <w:bCs/>
          <w:sz w:val="28"/>
          <w:szCs w:val="28"/>
          <w:lang w:val="en-US" w:eastAsia="zh-CN"/>
        </w:rPr>
        <w:t>2025年本单位无一般公共预算项目支出，此表为空表。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4"/>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4"/>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4"/>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eastAsia="zh-CN"/>
        </w:rPr>
        <w:t xml:space="preserve">焉耆回族自治县第三幼儿园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1"/>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eastAsia" w:ascii="仿宋_GB2312" w:hAnsi="仿宋_GB2312" w:eastAsia="仿宋_GB2312" w:cs="仿宋_GB2312"/>
          <w:b/>
          <w:bCs/>
          <w:sz w:val="28"/>
          <w:szCs w:val="28"/>
          <w:lang w:val="en-US" w:eastAsia="zh-CN"/>
        </w:rPr>
        <w:t>2025年本单位无政府性基金预算支出，此表为空表。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4"/>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：焉耆回族自治县第三幼儿园</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1"/>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4"/>
        <w:rPr>
          <w:rFonts w:hint="eastAsia"/>
          <w:lang w:val="en-US"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1"/>
          <w:szCs w:val="21"/>
          <w:highlight w:val="none"/>
        </w:rPr>
        <w:t xml:space="preserve">： </w:t>
      </w:r>
      <w:r>
        <w:rPr>
          <w:rFonts w:hint="eastAsia" w:ascii="仿宋_GB2312" w:hAnsi="宋体" w:eastAsia="仿宋_GB2312"/>
          <w:color w:val="auto"/>
          <w:kern w:val="0"/>
          <w:sz w:val="20"/>
          <w:szCs w:val="20"/>
          <w:highlight w:val="none"/>
          <w:lang w:eastAsia="zh-CN"/>
        </w:rPr>
        <w:t>焉耆回族自治县第三幼儿园</w:t>
      </w:r>
      <w:r>
        <w:rPr>
          <w:rFonts w:hint="eastAsia" w:ascii="仿宋_GB2312" w:hAnsi="宋体" w:eastAsia="仿宋_GB2312"/>
          <w:color w:val="auto"/>
          <w:kern w:val="0"/>
          <w:sz w:val="24"/>
          <w:highlight w:val="none"/>
        </w:rPr>
        <w:t xml:space="preserve">                     单位：万元</w:t>
      </w:r>
    </w:p>
    <w:tbl>
      <w:tblPr>
        <w:tblStyle w:val="12"/>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rPr>
        <w:t>202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本单位无</w:t>
      </w:r>
      <w:r>
        <w:rPr>
          <w:rFonts w:hint="eastAsia" w:ascii="仿宋_GB2312" w:hAnsi="仿宋_GB2312" w:eastAsia="仿宋_GB2312" w:cs="仿宋_GB2312"/>
          <w:b/>
          <w:bCs w:val="0"/>
          <w:sz w:val="28"/>
          <w:szCs w:val="28"/>
          <w:lang w:val="en-US" w:eastAsia="zh-CN"/>
        </w:rPr>
        <w:t>财政拨款“三公”经费预算</w:t>
      </w:r>
      <w:r>
        <w:rPr>
          <w:rFonts w:hint="default" w:ascii="Times New Roman" w:hAnsi="Times New Roman" w:eastAsia="仿宋_GB2312" w:cs="Times New Roman"/>
          <w:b/>
          <w:bCs/>
          <w:sz w:val="28"/>
          <w:szCs w:val="28"/>
        </w:rPr>
        <w:t>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4"/>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spacing w:line="600" w:lineRule="exact"/>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8"/>
          <w:szCs w:val="28"/>
          <w:highlight w:val="none"/>
        </w:rPr>
        <w:t>：</w:t>
      </w:r>
      <w:r>
        <w:rPr>
          <w:rFonts w:hint="eastAsia" w:ascii="仿宋_GB2312" w:hAnsi="宋体" w:eastAsia="仿宋_GB2312"/>
          <w:color w:val="auto"/>
          <w:kern w:val="0"/>
          <w:sz w:val="21"/>
          <w:szCs w:val="21"/>
          <w:highlight w:val="none"/>
          <w:lang w:eastAsia="zh-CN"/>
        </w:rPr>
        <w:t>焉耆回族自治县第三幼儿园</w:t>
      </w:r>
      <w:r>
        <w:rPr>
          <w:rFonts w:hint="eastAsia" w:ascii="仿宋_GB2312" w:hAnsi="宋体" w:eastAsia="仿宋_GB2312"/>
          <w:color w:val="auto"/>
          <w:kern w:val="0"/>
          <w:sz w:val="24"/>
          <w:highlight w:val="none"/>
        </w:rPr>
        <w:t xml:space="preserve">                        单位：万元</w:t>
      </w:r>
    </w:p>
    <w:tbl>
      <w:tblPr>
        <w:tblStyle w:val="12"/>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jc w:val="left"/>
        <w:outlineLvl w:val="1"/>
        <w:rPr>
          <w:rFonts w:hint="eastAsia" w:ascii="仿宋_GB2312" w:hAnsi="宋体" w:eastAsia="仿宋_GB2312"/>
          <w:b/>
          <w:color w:val="auto"/>
          <w:kern w:val="0"/>
          <w:sz w:val="28"/>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w:t>
      </w:r>
      <w:r>
        <w:rPr>
          <w:rFonts w:hint="default" w:ascii="Times New Roman" w:hAnsi="Times New Roman" w:eastAsia="仿宋_GB2312" w:cs="Times New Roman"/>
          <w:b/>
          <w:bCs/>
          <w:sz w:val="28"/>
          <w:szCs w:val="28"/>
        </w:rPr>
        <w:t>预算无上年结转结余情况,此表为空表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一、关于焉耆回族自治县第三幼儿园2025年收支预算情况的总体说明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按照全口径预算的原则，焉耆回族自治县第三幼儿园2025年所有收入和支出均纳入单位预算管理。收支总预算408.88万元。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二、关于焉耆回族自治县第三幼儿园2025年收入预算情况说明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焉耆回族自治县第三幼儿园收入预算408.88万元，其中：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一般公共预算400.08万元，占97.85%，比上年预算减少51.45万元，下降11.39%，主要原因：</w:t>
      </w:r>
      <w:r>
        <w:rPr>
          <w:rFonts w:hint="default" w:ascii="Times New Roman" w:hAnsi="Times New Roman" w:eastAsia="仿宋_GB2312" w:cs="Times New Roman"/>
          <w:color w:val="auto"/>
          <w:kern w:val="0"/>
          <w:sz w:val="32"/>
          <w:szCs w:val="32"/>
          <w:highlight w:val="none"/>
          <w:lang w:val="en-US" w:eastAsia="zh-CN"/>
        </w:rPr>
        <w:t>人员</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，故基本工资</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、社保和住房公积金</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0万元，占0%，比上年预算减少32万元，下降100 %，主要原因是本年度项目预算资金由主管部门负责填报，故项目支出减少；</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上级国有资本经营预算安排的转移支付资金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单位资金8.80万元，占2.15%，比上年预算数增加8.8</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万元，增长100%，主要原因：2025年其他事业收入增加。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三、关于焉耆回族自治县第三幼儿园2025年支出预算情况说明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焉耆回族自治县第三幼儿园2025年支出预算408.88万元，其中：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基本支出</w:t>
      </w:r>
      <w:r>
        <w:rPr>
          <w:rFonts w:hint="eastAsia" w:eastAsia="仿宋_GB2312" w:cs="Times New Roman"/>
          <w:color w:val="auto"/>
          <w:kern w:val="0"/>
          <w:sz w:val="32"/>
          <w:szCs w:val="32"/>
          <w:highlight w:val="none"/>
          <w:lang w:val="en-US" w:eastAsia="zh-CN"/>
        </w:rPr>
        <w:t>408.88</w:t>
      </w:r>
      <w:r>
        <w:rPr>
          <w:rFonts w:hint="eastAsia"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 xml:space="preserve"> %，比上年预算减少</w:t>
      </w:r>
      <w:r>
        <w:rPr>
          <w:rFonts w:hint="eastAsia" w:eastAsia="仿宋_GB2312" w:cs="Times New Roman"/>
          <w:color w:val="auto"/>
          <w:kern w:val="0"/>
          <w:sz w:val="32"/>
          <w:szCs w:val="32"/>
          <w:highlight w:val="none"/>
          <w:lang w:val="en-US" w:eastAsia="zh-CN"/>
        </w:rPr>
        <w:t>42.65</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9.45</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人员</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，故基本工资</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、社保和住房公积金</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减少32</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eastAsia" w:ascii="Times New Roman" w:hAnsi="Times New Roman" w:eastAsia="仿宋_GB2312" w:cs="Times New Roman"/>
          <w:color w:val="auto"/>
          <w:kern w:val="0"/>
          <w:sz w:val="32"/>
          <w:szCs w:val="32"/>
          <w:highlight w:val="none"/>
          <w:lang w:val="en-US" w:eastAsia="zh-CN"/>
        </w:rPr>
        <w:t xml:space="preserve">%，主要原因是：本年度项目预算资金由主管部门负责填报，故项目支出减少。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四、关于焉耆回族自治县第三幼儿园2025年财政拨款收支预算情况的总体说明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2025年财政拨款收支总预算400.08万元。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收入预算包括：一般公共预算拨款</w:t>
      </w:r>
      <w:r>
        <w:rPr>
          <w:rFonts w:hint="default" w:ascii="Times New Roman" w:hAnsi="Times New Roman" w:eastAsia="仿宋_GB2312" w:cs="Times New Roman"/>
          <w:color w:val="auto"/>
          <w:kern w:val="0"/>
          <w:sz w:val="32"/>
          <w:szCs w:val="32"/>
          <w:highlight w:val="none"/>
          <w:lang w:val="en-US" w:eastAsia="zh-CN"/>
        </w:rPr>
        <w:t>400.08</w:t>
      </w:r>
      <w:r>
        <w:rPr>
          <w:rFonts w:hint="eastAsia"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一般公共预算支出包括:教育支出</w:t>
      </w:r>
      <w:r>
        <w:rPr>
          <w:rFonts w:hint="eastAsia" w:eastAsia="仿宋_GB2312" w:cs="Times New Roman"/>
          <w:color w:val="auto"/>
          <w:kern w:val="0"/>
          <w:sz w:val="32"/>
          <w:szCs w:val="32"/>
          <w:highlight w:val="none"/>
          <w:lang w:val="en-US" w:eastAsia="zh-CN"/>
        </w:rPr>
        <w:t>400.08</w:t>
      </w:r>
      <w:r>
        <w:rPr>
          <w:rFonts w:hint="eastAsia" w:ascii="Times New Roman" w:hAnsi="Times New Roman" w:eastAsia="仿宋_GB2312" w:cs="Times New Roman"/>
          <w:color w:val="auto"/>
          <w:kern w:val="0"/>
          <w:sz w:val="32"/>
          <w:szCs w:val="32"/>
          <w:highlight w:val="none"/>
          <w:lang w:val="en-US" w:eastAsia="zh-CN"/>
        </w:rPr>
        <w:t>万元，主要用于：</w:t>
      </w:r>
      <w:r>
        <w:rPr>
          <w:rFonts w:hint="default" w:ascii="Times New Roman" w:hAnsi="Times New Roman" w:eastAsia="仿宋_GB2312" w:cs="Times New Roman"/>
          <w:color w:val="auto"/>
          <w:kern w:val="0"/>
          <w:sz w:val="32"/>
          <w:szCs w:val="32"/>
          <w:highlight w:val="none"/>
          <w:lang w:val="en-US" w:eastAsia="zh-CN"/>
        </w:rPr>
        <w:t>教职工工资福利支出、社保缴费、住房公积金、退休费、其他对个人和家庭的补助支出及公用经费支出</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五、关于焉耆回族自治县第三幼儿园2025年一般公共预算当年拨款情况说明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焉耆回族自治县第三幼儿园2025年一般公共预算拨款合计400.08万元,其中：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基本支出400.08万元，比上年预算减少</w:t>
      </w:r>
      <w:r>
        <w:rPr>
          <w:rFonts w:hint="eastAsia" w:eastAsia="仿宋_GB2312" w:cs="Times New Roman"/>
          <w:color w:val="auto"/>
          <w:kern w:val="0"/>
          <w:sz w:val="32"/>
          <w:szCs w:val="32"/>
          <w:highlight w:val="none"/>
          <w:lang w:val="en-US" w:eastAsia="zh-CN"/>
        </w:rPr>
        <w:t>51.45</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11.39</w:t>
      </w:r>
      <w:r>
        <w:rPr>
          <w:rFonts w:hint="eastAsia" w:ascii="Times New Roman" w:hAnsi="Times New Roman" w:eastAsia="仿宋_GB2312" w:cs="Times New Roman"/>
          <w:color w:val="auto"/>
          <w:kern w:val="0"/>
          <w:sz w:val="32"/>
          <w:szCs w:val="32"/>
          <w:highlight w:val="none"/>
          <w:lang w:val="en-US" w:eastAsia="zh-CN"/>
        </w:rPr>
        <w:t>%，主要原因：</w:t>
      </w:r>
      <w:r>
        <w:rPr>
          <w:rFonts w:hint="default" w:ascii="Times New Roman" w:hAnsi="Times New Roman" w:eastAsia="仿宋_GB2312" w:cs="Times New Roman"/>
          <w:color w:val="auto"/>
          <w:kern w:val="0"/>
          <w:sz w:val="32"/>
          <w:szCs w:val="32"/>
          <w:highlight w:val="none"/>
          <w:lang w:val="en-US" w:eastAsia="zh-CN"/>
        </w:rPr>
        <w:t>人员</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，故基本工资</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、社保和住房公积金</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减少32</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eastAsia" w:ascii="Times New Roman" w:hAnsi="Times New Roman" w:eastAsia="仿宋_GB2312" w:cs="Times New Roman"/>
          <w:color w:val="auto"/>
          <w:kern w:val="0"/>
          <w:sz w:val="32"/>
          <w:szCs w:val="32"/>
          <w:highlight w:val="none"/>
          <w:lang w:val="en-US" w:eastAsia="zh-CN"/>
        </w:rPr>
        <w:t>%，主要原因是：本年度项目预算资金由主管部门负责填报，故单位项目资金减少。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1.教育支出（类）</w:t>
      </w:r>
      <w:r>
        <w:rPr>
          <w:rFonts w:hint="eastAsia" w:ascii="Times New Roman" w:hAnsi="Times New Roman" w:eastAsia="仿宋_GB2312" w:cs="Times New Roman"/>
          <w:color w:val="auto"/>
          <w:kern w:val="0"/>
          <w:sz w:val="32"/>
          <w:szCs w:val="32"/>
          <w:highlight w:val="none"/>
          <w:lang w:val="en-US" w:eastAsia="zh-CN"/>
        </w:rPr>
        <w:t>400.08</w:t>
      </w:r>
      <w:r>
        <w:rPr>
          <w:rFonts w:hint="eastAsia" w:ascii="仿宋_GB2312" w:hAnsi="仿宋_GB2312" w:eastAsia="仿宋_GB2312" w:cs="仿宋_GB2312"/>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占100%。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教育支出（类）普通教育（款）学前教育（项）:202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400.08</w:t>
      </w:r>
      <w:r>
        <w:rPr>
          <w:rFonts w:hint="default" w:ascii="Times New Roman" w:hAnsi="Times New Roman" w:eastAsia="仿宋_GB2312" w:cs="Times New Roman"/>
          <w:color w:val="auto"/>
          <w:sz w:val="32"/>
          <w:szCs w:val="32"/>
          <w:highlight w:val="none"/>
          <w:lang w:val="en-US" w:eastAsia="zh-CN"/>
        </w:rPr>
        <w:t>万元，比上年预算</w:t>
      </w:r>
      <w:r>
        <w:rPr>
          <w:rFonts w:hint="eastAsia" w:ascii="Times New Roman" w:hAnsi="Times New Roman" w:eastAsia="仿宋_GB2312" w:cs="Times New Roman"/>
          <w:color w:val="auto"/>
          <w:sz w:val="32"/>
          <w:szCs w:val="32"/>
          <w:highlight w:val="none"/>
          <w:lang w:val="en-US" w:eastAsia="zh-CN"/>
        </w:rPr>
        <w:t>减少</w:t>
      </w:r>
      <w:r>
        <w:rPr>
          <w:rFonts w:hint="eastAsia" w:eastAsia="仿宋_GB2312" w:cs="Times New Roman"/>
          <w:color w:val="auto"/>
          <w:sz w:val="32"/>
          <w:szCs w:val="32"/>
          <w:highlight w:val="none"/>
          <w:lang w:val="en-US" w:eastAsia="zh-CN"/>
        </w:rPr>
        <w:t>83.45万元</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下降</w:t>
      </w:r>
      <w:r>
        <w:rPr>
          <w:rFonts w:hint="eastAsia" w:eastAsia="仿宋_GB2312" w:cs="Times New Roman"/>
          <w:color w:val="auto"/>
          <w:sz w:val="32"/>
          <w:szCs w:val="32"/>
          <w:highlight w:val="none"/>
          <w:lang w:val="en-US" w:eastAsia="zh-CN"/>
        </w:rPr>
        <w:t>17.26</w:t>
      </w:r>
      <w:r>
        <w:rPr>
          <w:rFonts w:hint="default" w:ascii="Times New Roman" w:hAnsi="Times New Roman" w:eastAsia="仿宋_GB2312" w:cs="Times New Roman"/>
          <w:color w:val="auto"/>
          <w:sz w:val="32"/>
          <w:szCs w:val="32"/>
          <w:highlight w:val="none"/>
          <w:lang w:val="en-US" w:eastAsia="zh-CN"/>
        </w:rPr>
        <w:t>%，主要原因是：人员</w:t>
      </w:r>
      <w:r>
        <w:rPr>
          <w:rFonts w:hint="eastAsia" w:ascii="Times New Roman" w:hAnsi="Times New Roman" w:eastAsia="仿宋_GB2312" w:cs="Times New Roman"/>
          <w:color w:val="auto"/>
          <w:sz w:val="32"/>
          <w:szCs w:val="32"/>
          <w:highlight w:val="none"/>
          <w:lang w:val="en-US" w:eastAsia="zh-CN"/>
        </w:rPr>
        <w:t>减少</w:t>
      </w:r>
      <w:r>
        <w:rPr>
          <w:rFonts w:hint="default" w:ascii="Times New Roman" w:hAnsi="Times New Roman" w:eastAsia="仿宋_GB2312" w:cs="Times New Roman"/>
          <w:color w:val="auto"/>
          <w:sz w:val="32"/>
          <w:szCs w:val="32"/>
          <w:highlight w:val="none"/>
          <w:lang w:val="en-US" w:eastAsia="zh-CN"/>
        </w:rPr>
        <w:t>，故基本工资</w:t>
      </w:r>
      <w:r>
        <w:rPr>
          <w:rFonts w:hint="eastAsia" w:ascii="Times New Roman" w:hAnsi="Times New Roman" w:eastAsia="仿宋_GB2312" w:cs="Times New Roman"/>
          <w:color w:val="auto"/>
          <w:sz w:val="32"/>
          <w:szCs w:val="32"/>
          <w:highlight w:val="none"/>
          <w:lang w:val="en-US" w:eastAsia="zh-CN"/>
        </w:rPr>
        <w:t>支出减少</w:t>
      </w:r>
      <w:r>
        <w:rPr>
          <w:rFonts w:hint="default" w:ascii="Times New Roman" w:hAnsi="Times New Roman" w:eastAsia="仿宋_GB2312" w:cs="Times New Roman"/>
          <w:color w:val="auto"/>
          <w:sz w:val="32"/>
          <w:szCs w:val="32"/>
          <w:highlight w:val="none"/>
          <w:lang w:val="en-US" w:eastAsia="zh-CN"/>
        </w:rPr>
        <w:t>、社保和住房公积金</w:t>
      </w:r>
      <w:r>
        <w:rPr>
          <w:rFonts w:hint="eastAsia" w:ascii="Times New Roman" w:hAnsi="Times New Roman" w:eastAsia="仿宋_GB2312" w:cs="Times New Roman"/>
          <w:color w:val="auto"/>
          <w:sz w:val="32"/>
          <w:szCs w:val="32"/>
          <w:highlight w:val="none"/>
          <w:lang w:val="en-US" w:eastAsia="zh-CN"/>
        </w:rPr>
        <w:t>支出减少</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六、关于焉耆回族自治县第三幼儿园2025年一般公共预算基本支出情况说明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焉耆回族自治县第三幼儿园2025年一般公共预算基本支出400.08万元，其中：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人员经费383.6</w:t>
      </w:r>
      <w:r>
        <w:rPr>
          <w:rFonts w:hint="eastAsia" w:eastAsia="仿宋_GB2312" w:cs="Times New Roman"/>
          <w:color w:val="auto"/>
          <w:spacing w:val="-6"/>
          <w:kern w:val="0"/>
          <w:sz w:val="32"/>
          <w:szCs w:val="32"/>
          <w:highlight w:val="none"/>
          <w:lang w:val="en-US" w:eastAsia="zh-CN"/>
        </w:rPr>
        <w:t>1</w:t>
      </w:r>
      <w:r>
        <w:rPr>
          <w:rFonts w:hint="default" w:ascii="Times New Roman" w:hAnsi="Times New Roman" w:eastAsia="仿宋_GB2312" w:cs="Times New Roman"/>
          <w:color w:val="auto"/>
          <w:spacing w:val="-6"/>
          <w:kern w:val="0"/>
          <w:sz w:val="32"/>
          <w:szCs w:val="32"/>
          <w:highlight w:val="none"/>
          <w:lang w:val="en-US" w:eastAsia="zh-CN"/>
        </w:rPr>
        <w:t>万元，主要包括:基本工资、津贴补贴、机关事业单位基本养老保险缴费、职业年金缴费、职工基本医疗保险缴费、其他社会保障缴费、住房公积金、退休费。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公用经费16.4</w:t>
      </w:r>
      <w:r>
        <w:rPr>
          <w:rFonts w:hint="eastAsia" w:eastAsia="仿宋_GB2312" w:cs="Times New Roman"/>
          <w:color w:val="auto"/>
          <w:spacing w:val="-6"/>
          <w:kern w:val="0"/>
          <w:sz w:val="32"/>
          <w:szCs w:val="32"/>
          <w:highlight w:val="none"/>
          <w:lang w:val="en-US" w:eastAsia="zh-CN"/>
        </w:rPr>
        <w:t>7</w:t>
      </w:r>
      <w:r>
        <w:rPr>
          <w:rFonts w:hint="default" w:ascii="Times New Roman" w:hAnsi="Times New Roman" w:eastAsia="仿宋_GB2312" w:cs="Times New Roman"/>
          <w:color w:val="auto"/>
          <w:spacing w:val="-6"/>
          <w:kern w:val="0"/>
          <w:sz w:val="32"/>
          <w:szCs w:val="32"/>
          <w:highlight w:val="none"/>
          <w:lang w:val="en-US" w:eastAsia="zh-CN"/>
        </w:rPr>
        <w:t>万元，主要包括:取暖费、工会经费、福利费</w:t>
      </w:r>
      <w:r>
        <w:rPr>
          <w:rFonts w:hint="eastAsia" w:eastAsia="仿宋_GB2312" w:cs="Times New Roman"/>
          <w:color w:val="auto"/>
          <w:spacing w:val="-6"/>
          <w:kern w:val="0"/>
          <w:sz w:val="32"/>
          <w:szCs w:val="32"/>
          <w:highlight w:val="none"/>
          <w:lang w:val="en-US" w:eastAsia="zh-CN"/>
        </w:rPr>
        <w:t>、培训费</w:t>
      </w:r>
      <w:r>
        <w:rPr>
          <w:rFonts w:hint="default"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七、关于焉耆回族自治县第三幼儿园2025年一般公共预算项目支出情况说明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焉耆回族自治县第三幼儿园</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八、关于焉耆回族自治县第三幼儿园2025年政府性基金预算支出情况说明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焉耆回族自治县第三幼儿园</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九、关于焉耆回族自治县第三幼儿园2025年国有资本经营预算拨款情况说明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焉耆回族自治县第三幼儿园</w:t>
      </w:r>
      <w:r>
        <w:rPr>
          <w:rFonts w:hint="eastAsia"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十、关于焉耆回族自治县第三幼儿园2025年财政拨款“三公”经费预算情况说明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焉耆回族自治县第</w:t>
      </w:r>
      <w:r>
        <w:rPr>
          <w:rFonts w:hint="eastAsia" w:eastAsia="仿宋_GB2312" w:cs="Times New Roman"/>
          <w:color w:val="auto"/>
          <w:kern w:val="0"/>
          <w:sz w:val="32"/>
          <w:szCs w:val="32"/>
          <w:highlight w:val="none"/>
          <w:lang w:val="en-US" w:eastAsia="zh-CN"/>
        </w:rPr>
        <w:t>三</w:t>
      </w:r>
      <w:r>
        <w:rPr>
          <w:rFonts w:hint="eastAsia" w:ascii="Times New Roman" w:hAnsi="Times New Roman" w:eastAsia="仿宋_GB2312" w:cs="Times New Roman"/>
          <w:color w:val="auto"/>
          <w:kern w:val="0"/>
          <w:sz w:val="32"/>
          <w:szCs w:val="32"/>
          <w:highlight w:val="none"/>
          <w:lang w:val="en-US" w:eastAsia="zh-Hans"/>
        </w:rPr>
        <w:t>幼儿园2025年财政拨款</w:t>
      </w:r>
      <w:r>
        <w:rPr>
          <w:rFonts w:hint="eastAsia" w:ascii="Times New Roman" w:hAnsi="Times New Roman" w:eastAsia="仿宋_GB2312" w:cs="Times New Roman"/>
          <w:color w:val="auto"/>
          <w:kern w:val="0"/>
          <w:sz w:val="32"/>
          <w:szCs w:val="32"/>
          <w:highlight w:val="none"/>
          <w:lang w:val="en-US" w:eastAsia="zh-CN"/>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lang w:val="en-US" w:eastAsia="zh-CN"/>
        </w:rPr>
        <w:t>“三公”经费比上年</w:t>
      </w:r>
      <w:r>
        <w:rPr>
          <w:rFonts w:hint="eastAsia" w:ascii="Times New Roman" w:hAnsi="Times New Roman" w:eastAsia="仿宋_GB2312" w:cs="Times New Roman"/>
          <w:color w:val="auto"/>
          <w:kern w:val="0"/>
          <w:sz w:val="32"/>
          <w:szCs w:val="32"/>
          <w:highlight w:val="none"/>
          <w:lang w:val="en-US" w:eastAsia="zh-Hans"/>
        </w:rPr>
        <w:t>预算</w:t>
      </w:r>
      <w:r>
        <w:rPr>
          <w:rFonts w:hint="eastAsia" w:ascii="Times New Roman" w:hAnsi="Times New Roman" w:eastAsia="仿宋_GB2312" w:cs="Times New Roman"/>
          <w:color w:val="auto"/>
          <w:kern w:val="0"/>
          <w:sz w:val="32"/>
          <w:szCs w:val="32"/>
          <w:highlight w:val="none"/>
          <w:lang w:val="en-US" w:eastAsia="zh-CN"/>
        </w:rPr>
        <w:t>增加0万元，增长0%，其中：因公出国（境）费增加0万元，增长0 %，主要原因是本年度未安排预算；公务用车购置费增加0万元，增长0 %，主要原因是本年度未安排预算；公务用车运行费增加0万元，增长0 %，主要原因是本年度未安排预算 ；公务接待费增加0万元，增长0 %，主要原因是本年度未安排预算。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、关于焉耆回族自治县第三幼儿园</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lang w:eastAsia="zh-CN"/>
        </w:rPr>
        <w:t>焉耆回族自治县第三幼儿园</w:t>
      </w:r>
      <w:r>
        <w:rPr>
          <w:rFonts w:hint="eastAsia" w:ascii="Times New Roman" w:hAnsi="Times New Roman" w:eastAsia="仿宋_GB2312" w:cs="Times New Roman"/>
          <w:color w:val="auto"/>
          <w:kern w:val="0"/>
          <w:sz w:val="32"/>
          <w:szCs w:val="32"/>
          <w:highlight w:val="none"/>
          <w:lang w:val="en-US" w:eastAsia="zh-CN"/>
        </w:rPr>
        <w:t>2025</w:t>
      </w:r>
      <w:r>
        <w:rPr>
          <w:rFonts w:hint="eastAsia" w:ascii="Times New Roman" w:hAnsi="Times New Roman" w:eastAsia="仿宋_GB2312" w:cs="Times New Roman"/>
          <w:color w:val="auto"/>
          <w:kern w:val="0"/>
          <w:sz w:val="32"/>
          <w:szCs w:val="32"/>
          <w:highlight w:val="none"/>
          <w:lang w:eastAsia="zh-CN"/>
        </w:rPr>
        <w:t>年没有</w:t>
      </w:r>
      <w:r>
        <w:rPr>
          <w:rFonts w:hint="eastAsia" w:ascii="Times New Roman" w:hAnsi="Times New Roman" w:eastAsia="仿宋_GB2312" w:cs="Times New Roman"/>
          <w:color w:val="auto"/>
          <w:kern w:val="0"/>
          <w:sz w:val="32"/>
          <w:szCs w:val="32"/>
          <w:highlight w:val="none"/>
          <w:lang w:val="en-US" w:eastAsia="zh-CN"/>
        </w:rPr>
        <w:t>上年结转结余</w:t>
      </w:r>
      <w:r>
        <w:rPr>
          <w:rFonts w:hint="eastAsia" w:ascii="Times New Roman" w:hAnsi="Times New Roman" w:eastAsia="仿宋_GB2312" w:cs="Times New Roman"/>
          <w:color w:val="auto"/>
          <w:kern w:val="0"/>
          <w:sz w:val="32"/>
          <w:szCs w:val="32"/>
          <w:highlight w:val="none"/>
          <w:lang w:eastAsia="zh-CN"/>
        </w:rPr>
        <w:t>预算的支出，上年</w:t>
      </w:r>
      <w:r>
        <w:rPr>
          <w:rFonts w:hint="eastAsia" w:ascii="Times New Roman" w:hAnsi="Times New Roman" w:eastAsia="仿宋_GB2312" w:cs="Times New Roman"/>
          <w:color w:val="auto"/>
          <w:kern w:val="0"/>
          <w:sz w:val="32"/>
          <w:szCs w:val="32"/>
          <w:highlight w:val="none"/>
          <w:lang w:val="en-US" w:eastAsia="zh-CN"/>
        </w:rPr>
        <w:t>结转结余</w:t>
      </w:r>
      <w:r>
        <w:rPr>
          <w:rFonts w:hint="eastAsia" w:ascii="Times New Roman" w:hAnsi="Times New Roman" w:eastAsia="仿宋_GB2312" w:cs="Times New Roman"/>
          <w:color w:val="auto"/>
          <w:kern w:val="0"/>
          <w:sz w:val="32"/>
          <w:szCs w:val="32"/>
          <w:highlight w:val="none"/>
          <w:lang w:eastAsia="zh-CN"/>
        </w:rPr>
        <w:t>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焉耆回族自治县第三幼儿园</w:t>
      </w:r>
      <w:r>
        <w:rPr>
          <w:rFonts w:hint="default" w:ascii="Times New Roman" w:hAnsi="Times New Roman" w:eastAsia="仿宋_GB2312" w:cs="Times New Roman"/>
          <w:color w:val="auto"/>
          <w:kern w:val="0"/>
          <w:sz w:val="32"/>
          <w:szCs w:val="32"/>
          <w:highlight w:val="none"/>
          <w:lang w:val="en-US" w:eastAsia="zh-CN"/>
        </w:rPr>
        <w:t>2025</w:t>
      </w:r>
      <w:r>
        <w:rPr>
          <w:rFonts w:hint="eastAsia" w:ascii="Times New Roman" w:hAnsi="Times New Roman" w:eastAsia="仿宋_GB2312" w:cs="Times New Roman"/>
          <w:color w:val="auto"/>
          <w:kern w:val="0"/>
          <w:sz w:val="32"/>
          <w:szCs w:val="32"/>
          <w:highlight w:val="none"/>
          <w:lang w:val="en-US" w:eastAsia="zh-CN"/>
        </w:rPr>
        <w:t>年的事业单位运行经费16.4</w:t>
      </w:r>
      <w:r>
        <w:rPr>
          <w:rFonts w:hint="eastAsia" w:eastAsia="仿宋_GB2312" w:cs="Times New Roman"/>
          <w:color w:val="auto"/>
          <w:kern w:val="0"/>
          <w:sz w:val="32"/>
          <w:szCs w:val="32"/>
          <w:highlight w:val="none"/>
          <w:lang w:val="en-US" w:eastAsia="zh-CN"/>
        </w:rPr>
        <w:t>7</w:t>
      </w:r>
      <w:r>
        <w:rPr>
          <w:rFonts w:hint="eastAsia" w:ascii="Times New Roman" w:hAnsi="Times New Roman" w:eastAsia="仿宋_GB2312" w:cs="Times New Roman"/>
          <w:color w:val="auto"/>
          <w:kern w:val="0"/>
          <w:sz w:val="32"/>
          <w:szCs w:val="32"/>
          <w:highlight w:val="none"/>
          <w:lang w:val="en-US" w:eastAsia="zh-CN"/>
        </w:rPr>
        <w:t>万元，比上年预算增加1.2</w:t>
      </w:r>
      <w:r>
        <w:rPr>
          <w:rFonts w:hint="eastAsia"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万元，增长8.</w:t>
      </w:r>
      <w:r>
        <w:rPr>
          <w:rFonts w:hint="eastAsia" w:eastAsia="仿宋_GB2312" w:cs="Times New Roman"/>
          <w:color w:val="auto"/>
          <w:kern w:val="0"/>
          <w:sz w:val="32"/>
          <w:szCs w:val="32"/>
          <w:highlight w:val="none"/>
          <w:lang w:val="en-US" w:eastAsia="zh-CN"/>
        </w:rPr>
        <w:t>07</w:t>
      </w:r>
      <w:r>
        <w:rPr>
          <w:rFonts w:hint="eastAsia" w:ascii="Times New Roman" w:hAnsi="Times New Roman" w:eastAsia="仿宋_GB2312" w:cs="Times New Roman"/>
          <w:color w:val="auto"/>
          <w:kern w:val="0"/>
          <w:sz w:val="32"/>
          <w:szCs w:val="32"/>
          <w:highlight w:val="none"/>
          <w:lang w:val="en-US" w:eastAsia="zh-CN"/>
        </w:rPr>
        <w:t>%。主要原因是：取暖费收费标准变化，取暖费预算增加。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2025年，焉耆回族自治县第三幼儿园政府采购预算 13.39万元，其中：政府采购货物预算13.39万元，政府采购工程预算0万元，政府采购服务预算0万元。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2025年，焉耆回族自治县第三幼儿园面向中小企业预留政府采购项目预算金额13.39万元，小微企业预留政府采购项目预算金额13.39万元。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截至2024年底，焉耆回族自治县第三幼儿园及下属各预算单位占用使用国有资产总体情况为：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房屋6865平方米，价值1191万元。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办公家具价值28.5万元。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其他资产价值6.1万元。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单位价值50万元以上大型设备台，单位价值100万元以上大型设备台。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2025年单位预算未安排购置车辆经费,安排购置50万元以上大型设备台，单位价值100万元以上大型设备台。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w:t>
      </w:r>
      <w:r>
        <w:rPr>
          <w:rFonts w:hint="eastAsia" w:ascii="Times New Roman" w:hAnsi="Times New Roman" w:eastAsia="仿宋_GB2312" w:cs="Times New Roman"/>
          <w:color w:val="auto"/>
          <w:kern w:val="0"/>
          <w:sz w:val="32"/>
          <w:szCs w:val="32"/>
          <w:highlight w:val="none"/>
          <w:lang w:val="en-US" w:eastAsia="zh-CN"/>
        </w:rPr>
        <w:t>年，本</w:t>
      </w:r>
      <w:r>
        <w:rPr>
          <w:rFonts w:hint="eastAsia" w:eastAsia="仿宋_GB2312" w:cs="Times New Roman"/>
          <w:color w:val="auto"/>
          <w:kern w:val="0"/>
          <w:sz w:val="32"/>
          <w:szCs w:val="32"/>
          <w:highlight w:val="none"/>
          <w:lang w:val="en-US" w:eastAsia="zh-CN"/>
        </w:rPr>
        <w:t>单位</w:t>
      </w:r>
      <w:r>
        <w:rPr>
          <w:rFonts w:hint="eastAsia" w:ascii="Times New Roman" w:hAnsi="Times New Roman" w:eastAsia="仿宋_GB2312" w:cs="Times New Roman"/>
          <w:color w:val="auto"/>
          <w:kern w:val="0"/>
          <w:sz w:val="32"/>
          <w:szCs w:val="32"/>
          <w:highlight w:val="none"/>
          <w:lang w:val="en-US" w:eastAsia="zh-CN"/>
        </w:rPr>
        <w:t>预算绩效管理整体预算绩效目标1个，涉及预算金额</w:t>
      </w:r>
      <w:r>
        <w:rPr>
          <w:rFonts w:hint="eastAsia" w:eastAsia="仿宋_GB2312" w:cs="Times New Roman"/>
          <w:color w:val="auto"/>
          <w:kern w:val="0"/>
          <w:sz w:val="32"/>
          <w:szCs w:val="32"/>
          <w:highlight w:val="none"/>
          <w:lang w:val="en-US" w:eastAsia="zh-CN"/>
        </w:rPr>
        <w:t>408.88</w:t>
      </w:r>
      <w:r>
        <w:rPr>
          <w:rFonts w:hint="eastAsia" w:ascii="Times New Roman" w:hAnsi="Times New Roman" w:eastAsia="仿宋_GB2312" w:cs="Times New Roman"/>
          <w:color w:val="auto"/>
          <w:kern w:val="0"/>
          <w:sz w:val="32"/>
          <w:szCs w:val="32"/>
          <w:highlight w:val="none"/>
          <w:lang w:val="en-US" w:eastAsia="zh-CN"/>
        </w:rPr>
        <w:t>万元；当年预算安排项目共</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个，其中:</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lang w:val="en-US" w:eastAsia="zh-CN"/>
        </w:rPr>
        <w:t>项目涉及预算金额</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Hans"/>
        </w:rPr>
        <w:t>非财政拨款项目</w:t>
      </w:r>
      <w:r>
        <w:rPr>
          <w:rFonts w:hint="eastAsia" w:ascii="Times New Roman" w:hAnsi="Times New Roman" w:eastAsia="仿宋_GB2312" w:cs="Times New Roman"/>
          <w:color w:val="auto"/>
          <w:kern w:val="0"/>
          <w:sz w:val="32"/>
          <w:szCs w:val="32"/>
          <w:highlight w:val="none"/>
          <w:lang w:val="en-US" w:eastAsia="zh-CN"/>
        </w:rPr>
        <w:t>涉及预算金额</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万元。具体情况见下表</w:t>
      </w:r>
      <w:r>
        <w:rPr>
          <w:rFonts w:hint="eastAsia" w:ascii="仿宋_GB2312" w:hAnsi="仿宋_GB2312" w:eastAsia="仿宋_GB2312" w:cs="仿宋_GB2312"/>
          <w:color w:val="auto"/>
          <w:kern w:val="0"/>
          <w:sz w:val="32"/>
          <w:szCs w:val="32"/>
          <w:highlight w:val="none"/>
        </w:rPr>
        <w:t>（按项目分别填报）</w:t>
      </w:r>
      <w:r>
        <w:rPr>
          <w:rFonts w:hint="eastAsia" w:ascii="Times New Roman" w:hAnsi="Times New Roman" w:eastAsia="仿宋_GB2312" w:cs="Times New Roman"/>
          <w:color w:val="auto"/>
          <w:kern w:val="0"/>
          <w:sz w:val="32"/>
          <w:szCs w:val="32"/>
          <w:highlight w:val="none"/>
          <w:lang w:val="en-US" w:eastAsia="zh-CN"/>
        </w:rPr>
        <w:t>：</w:t>
      </w:r>
    </w:p>
    <w:tbl>
      <w:tblPr>
        <w:tblStyle w:val="11"/>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焉耆回族自治县第三幼儿园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奴尔尼沙</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17399141126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全面贯彻执行党和国家的教育方针，按照保育与教育相结合的原则，遵循幼儿身心发展特点和规律，实施德、智、体、美、劳等全面发展的教育，促进幼儿身心和谐发展；为家长提供科学育儿宣传、指导。制订并实施教育教学大纲、完成幼儿园“育人、服务”两大任务。落实立德树人根本任务，以年度工作思路和工作重点为抓手，以和谐、创新、发展为主题，以师资队伍建设与校园文化内涵建设为重点，创新思路，优化环境，打造特色，精心为教师搭建创新发展的平台、为幼儿创设安全舒适的成长环境，不断提升办园品质。学前教育幼儿人数是248人，学前教育开班数量11个，享受学前免费教育资助保障人数248人，学前教育适龄幼儿入学率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lang w:val="en-US" w:eastAsia="zh-CN"/>
              </w:rPr>
            </w:pPr>
            <w:r>
              <w:rPr>
                <w:rFonts w:hint="eastAsia"/>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学前教育幼儿人数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u w:val="none"/>
              </w:rPr>
              <w:t>&gt;=248人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highlight w:val="none"/>
                <w:u w:val="none"/>
                <w:lang w:val="en-US" w:eastAsia="zh-CN" w:bidi="ar-SA"/>
              </w:rPr>
            </w:pPr>
            <w:r>
              <w:rPr>
                <w:rFonts w:hint="eastAsia" w:cs="Times New Roman"/>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lang w:val="en-US" w:eastAsia="zh-CN"/>
              </w:rPr>
            </w:pPr>
            <w:r>
              <w:rPr>
                <w:rFonts w:hint="eastAsia"/>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学前教育开班数量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u w:val="none"/>
              </w:rPr>
              <w:t>&gt;=11个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highlight w:val="none"/>
                <w:u w:val="none"/>
                <w:lang w:val="en-US" w:eastAsia="zh-CN" w:bidi="ar-SA"/>
              </w:rPr>
            </w:pPr>
            <w:r>
              <w:rPr>
                <w:rFonts w:hint="eastAsia" w:cs="Times New Roman"/>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lang w:val="en-US" w:eastAsia="zh-CN"/>
              </w:rPr>
            </w:pPr>
            <w:r>
              <w:rPr>
                <w:rFonts w:hint="eastAsia"/>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享受学前免费教育资助保障人数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u w:val="none"/>
              </w:rPr>
              <w:t>&gt;=248人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highlight w:val="none"/>
                <w:u w:val="none"/>
                <w:lang w:val="en-US" w:eastAsia="zh-CN" w:bidi="ar-SA"/>
              </w:rPr>
            </w:pPr>
            <w:r>
              <w:rPr>
                <w:rFonts w:hint="eastAsia"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rPr>
            </w:pPr>
            <w:r>
              <w:rPr>
                <w:rFonts w:hint="eastAsia"/>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lang w:eastAsia="zh-CN"/>
              </w:rPr>
            </w:pPr>
            <w:r>
              <w:rPr>
                <w:rFonts w:hint="default" w:ascii="Times New Roman" w:hAnsi="Times New Roman" w:cs="Times New Roman"/>
                <w:i w:val="0"/>
                <w:iCs w:val="0"/>
                <w:color w:val="000000"/>
                <w:sz w:val="20"/>
                <w:szCs w:val="20"/>
                <w:u w:val="none"/>
                <w:lang w:eastAsia="zh-CN"/>
              </w:rPr>
              <w:t>学前教育适龄幼儿入学率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&gt;=98%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210" w:firstLineChars="100"/>
        <w:jc w:val="left"/>
        <w:textAlignment w:val="auto"/>
        <w:outlineLvl w:val="9"/>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sz w:val="32"/>
          <w:szCs w:val="32"/>
          <w:highlight w:val="none"/>
          <w:lang w:val="en-US" w:eastAsia="zh-CN"/>
        </w:rPr>
        <w:t>单位</w:t>
      </w:r>
      <w:r>
        <w:rPr>
          <w:rFonts w:hint="eastAsia" w:ascii="仿宋_GB2312" w:eastAsia="仿宋_GB2312"/>
          <w:color w:val="auto"/>
          <w:sz w:val="32"/>
          <w:szCs w:val="32"/>
          <w:highlight w:val="none"/>
        </w:rPr>
        <w:t>支出预算的组成部分，是</w:t>
      </w:r>
      <w:r>
        <w:rPr>
          <w:rFonts w:hint="eastAsia" w:ascii="仿宋_GB2312" w:eastAsia="仿宋_GB2312"/>
          <w:color w:val="auto"/>
          <w:sz w:val="32"/>
          <w:szCs w:val="32"/>
          <w:highlight w:val="none"/>
          <w:lang w:val="en-US"/>
        </w:rPr>
        <w:t>各</w:t>
      </w:r>
      <w:r>
        <w:rPr>
          <w:rFonts w:hint="eastAsia" w:ascii="仿宋_GB2312" w:eastAsia="仿宋_GB2312"/>
          <w:sz w:val="32"/>
          <w:szCs w:val="32"/>
          <w:highlight w:val="none"/>
          <w:lang w:val="en-US" w:eastAsia="zh-CN"/>
        </w:rPr>
        <w:t>单位</w:t>
      </w:r>
      <w:r>
        <w:rPr>
          <w:rFonts w:hint="eastAsia" w:ascii="仿宋_GB2312" w:eastAsia="仿宋_GB2312"/>
          <w:color w:val="auto"/>
          <w:sz w:val="32"/>
          <w:szCs w:val="32"/>
          <w:highlight w:val="none"/>
        </w:rPr>
        <w:t>为完成其特定的行政任务或事业发展目标，在基本支出预算之外编制的年度项目支出计划。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焉耆回族自治县第三幼儿园</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_x0000_s00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3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olRZjoAQAA9QMAAA4AAABkcnMvZTJvRG9jLnhtbK1TTYvbMBC9F/of&#10;hO6NnRS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oUmgvnvhqOPPfUm/ZyzLz3fZoC5iRXVP8QDT&#10;DinMansNLv+TDtYPpl5vpqo+MUnJ5Xq1Xpfkt6SzeUM4xcvnETB9VcGxHNQcqGuDmeLygGksnUvy&#10;bT7sjbWUF5X1fyQIM2eKzHjkmKPUH/uJ+DE0V9ILYRwEjHJv6M4HgekggDpPPOltpEdatA1dzcMU&#10;cdYG+PWvfK6nhtApZx1NUs09PRzO7DdPjcpDNwcwB8c5EF7ShzVPnJ0jmFM78MqaMH45JxI66M8q&#10;RuqTOJqGwcFpcvO4vd4PVS+vdfs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OolRZjoAQAA&#10;9QMAAA4AAAAAAAAAAQAgAAAAHwEAAGRycy9lMm9Eb2MueG1sUEsFBgAAAAAGAAYAWQEAAHkFAAAA&#10;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_x0000_s00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3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I5TF36QEA&#10;APUDAAAOAAAAAAAAAAEAIAAAAB8BAABkcnMvZTJvRG9jLnhtbFBLBQYAAAAABgAGAFkBAAB6BQAA&#10;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63F1D"/>
    <w:multiLevelType w:val="singleLevel"/>
    <w:tmpl w:val="D1C63F1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C7DF4"/>
    <w:rsid w:val="002A699F"/>
    <w:rsid w:val="00310C7D"/>
    <w:rsid w:val="00397E12"/>
    <w:rsid w:val="005E2FAD"/>
    <w:rsid w:val="007058CF"/>
    <w:rsid w:val="00770FBB"/>
    <w:rsid w:val="007F7B2F"/>
    <w:rsid w:val="00A16B6D"/>
    <w:rsid w:val="00D63127"/>
    <w:rsid w:val="01314732"/>
    <w:rsid w:val="013544CA"/>
    <w:rsid w:val="01857ACE"/>
    <w:rsid w:val="01B17EA9"/>
    <w:rsid w:val="01EA633A"/>
    <w:rsid w:val="023D71EF"/>
    <w:rsid w:val="02CB616E"/>
    <w:rsid w:val="02FC2CCB"/>
    <w:rsid w:val="03373E84"/>
    <w:rsid w:val="036D7506"/>
    <w:rsid w:val="03DB3036"/>
    <w:rsid w:val="03FE52CB"/>
    <w:rsid w:val="043A195D"/>
    <w:rsid w:val="046709BF"/>
    <w:rsid w:val="04675697"/>
    <w:rsid w:val="04CA33AF"/>
    <w:rsid w:val="0522232E"/>
    <w:rsid w:val="05424FB1"/>
    <w:rsid w:val="05DE7222"/>
    <w:rsid w:val="065C05D5"/>
    <w:rsid w:val="06D5383B"/>
    <w:rsid w:val="07131D54"/>
    <w:rsid w:val="074B3389"/>
    <w:rsid w:val="077C5CD4"/>
    <w:rsid w:val="0794502E"/>
    <w:rsid w:val="07E31890"/>
    <w:rsid w:val="082A4566"/>
    <w:rsid w:val="0A80752F"/>
    <w:rsid w:val="0B644255"/>
    <w:rsid w:val="0C0448EB"/>
    <w:rsid w:val="0C5B4620"/>
    <w:rsid w:val="0D0D2352"/>
    <w:rsid w:val="0D1D3E1C"/>
    <w:rsid w:val="0D326A0B"/>
    <w:rsid w:val="0D4F1296"/>
    <w:rsid w:val="0D8152B9"/>
    <w:rsid w:val="0E2A12C9"/>
    <w:rsid w:val="0EB524C6"/>
    <w:rsid w:val="0F435C4D"/>
    <w:rsid w:val="0F754D3B"/>
    <w:rsid w:val="1028241B"/>
    <w:rsid w:val="10CF6A4D"/>
    <w:rsid w:val="11C24F30"/>
    <w:rsid w:val="11DD0335"/>
    <w:rsid w:val="1281774B"/>
    <w:rsid w:val="162E0B71"/>
    <w:rsid w:val="164F208D"/>
    <w:rsid w:val="175513CE"/>
    <w:rsid w:val="184878B2"/>
    <w:rsid w:val="18B4461F"/>
    <w:rsid w:val="18FE4D09"/>
    <w:rsid w:val="199C2E9A"/>
    <w:rsid w:val="19C12910"/>
    <w:rsid w:val="19E4076F"/>
    <w:rsid w:val="19F668A2"/>
    <w:rsid w:val="1A7A6EF3"/>
    <w:rsid w:val="1AB56977"/>
    <w:rsid w:val="1AD32566"/>
    <w:rsid w:val="1AD94A63"/>
    <w:rsid w:val="1AEF4680"/>
    <w:rsid w:val="1BB6415C"/>
    <w:rsid w:val="1C554A2B"/>
    <w:rsid w:val="1C8C6767"/>
    <w:rsid w:val="1D135AC2"/>
    <w:rsid w:val="1D1C5631"/>
    <w:rsid w:val="1E36448E"/>
    <w:rsid w:val="1E8D7063"/>
    <w:rsid w:val="1F0E75BF"/>
    <w:rsid w:val="1F630A41"/>
    <w:rsid w:val="1F6E1801"/>
    <w:rsid w:val="1FB969CE"/>
    <w:rsid w:val="1FC74559"/>
    <w:rsid w:val="20563BA0"/>
    <w:rsid w:val="209E06D0"/>
    <w:rsid w:val="20AB148E"/>
    <w:rsid w:val="20D4766A"/>
    <w:rsid w:val="212D0AB4"/>
    <w:rsid w:val="21857894"/>
    <w:rsid w:val="21B6255E"/>
    <w:rsid w:val="21C03A70"/>
    <w:rsid w:val="21CE2BC2"/>
    <w:rsid w:val="22DA2FFE"/>
    <w:rsid w:val="23177069"/>
    <w:rsid w:val="231D62A4"/>
    <w:rsid w:val="24081D59"/>
    <w:rsid w:val="240B30B0"/>
    <w:rsid w:val="24133D79"/>
    <w:rsid w:val="24C00E0B"/>
    <w:rsid w:val="25516C07"/>
    <w:rsid w:val="256962B9"/>
    <w:rsid w:val="25913329"/>
    <w:rsid w:val="25F05B67"/>
    <w:rsid w:val="26AD3321"/>
    <w:rsid w:val="276543CF"/>
    <w:rsid w:val="27C11D1E"/>
    <w:rsid w:val="28A905E8"/>
    <w:rsid w:val="28C36FCA"/>
    <w:rsid w:val="28C41352"/>
    <w:rsid w:val="2913146B"/>
    <w:rsid w:val="29A8295C"/>
    <w:rsid w:val="2A636255"/>
    <w:rsid w:val="2AC63D89"/>
    <w:rsid w:val="2AE30B64"/>
    <w:rsid w:val="2B671775"/>
    <w:rsid w:val="2B9D0738"/>
    <w:rsid w:val="2C57009C"/>
    <w:rsid w:val="2D651752"/>
    <w:rsid w:val="2DAB36CA"/>
    <w:rsid w:val="2DD5456B"/>
    <w:rsid w:val="2DFA1C56"/>
    <w:rsid w:val="2E085F6A"/>
    <w:rsid w:val="2E2D3936"/>
    <w:rsid w:val="2E33789C"/>
    <w:rsid w:val="2E716B7E"/>
    <w:rsid w:val="2EE84AD2"/>
    <w:rsid w:val="2EF23AC1"/>
    <w:rsid w:val="2F1E1CAD"/>
    <w:rsid w:val="2F440377"/>
    <w:rsid w:val="2FBD0105"/>
    <w:rsid w:val="2FD206DB"/>
    <w:rsid w:val="30343DA1"/>
    <w:rsid w:val="30FE1F51"/>
    <w:rsid w:val="31541568"/>
    <w:rsid w:val="31964CD5"/>
    <w:rsid w:val="31AF6704"/>
    <w:rsid w:val="320D7F8D"/>
    <w:rsid w:val="346F020A"/>
    <w:rsid w:val="34C7744D"/>
    <w:rsid w:val="34E00E82"/>
    <w:rsid w:val="35A176ED"/>
    <w:rsid w:val="35AE2C3D"/>
    <w:rsid w:val="35B20192"/>
    <w:rsid w:val="36692A69"/>
    <w:rsid w:val="366E5466"/>
    <w:rsid w:val="37C804C5"/>
    <w:rsid w:val="38B135F1"/>
    <w:rsid w:val="38DC6E77"/>
    <w:rsid w:val="39DC677E"/>
    <w:rsid w:val="3A5C6370"/>
    <w:rsid w:val="3AF71C2A"/>
    <w:rsid w:val="3BB24452"/>
    <w:rsid w:val="3BB758B1"/>
    <w:rsid w:val="3C1A1CC0"/>
    <w:rsid w:val="3CBB6283"/>
    <w:rsid w:val="3D5D4216"/>
    <w:rsid w:val="3D603F8E"/>
    <w:rsid w:val="3D6842ED"/>
    <w:rsid w:val="3D9D4938"/>
    <w:rsid w:val="3EA800D7"/>
    <w:rsid w:val="3EE6285E"/>
    <w:rsid w:val="3F0C5A4C"/>
    <w:rsid w:val="3F9B7FED"/>
    <w:rsid w:val="3FDB510C"/>
    <w:rsid w:val="402C7E66"/>
    <w:rsid w:val="40647BCC"/>
    <w:rsid w:val="40CE185B"/>
    <w:rsid w:val="41215F5E"/>
    <w:rsid w:val="415F0EE0"/>
    <w:rsid w:val="43115328"/>
    <w:rsid w:val="435E3520"/>
    <w:rsid w:val="44DE3458"/>
    <w:rsid w:val="45406478"/>
    <w:rsid w:val="45896FF3"/>
    <w:rsid w:val="45FE3C23"/>
    <w:rsid w:val="461D6189"/>
    <w:rsid w:val="46E57023"/>
    <w:rsid w:val="4729770E"/>
    <w:rsid w:val="47377269"/>
    <w:rsid w:val="47600763"/>
    <w:rsid w:val="4902648A"/>
    <w:rsid w:val="493A39BF"/>
    <w:rsid w:val="498C0197"/>
    <w:rsid w:val="49B9426E"/>
    <w:rsid w:val="4ABE4CB7"/>
    <w:rsid w:val="4B027CE1"/>
    <w:rsid w:val="4B26259B"/>
    <w:rsid w:val="4BBF701D"/>
    <w:rsid w:val="4BDE639C"/>
    <w:rsid w:val="4C804F76"/>
    <w:rsid w:val="4C8E4000"/>
    <w:rsid w:val="4CA00567"/>
    <w:rsid w:val="4E0806F2"/>
    <w:rsid w:val="4E693E99"/>
    <w:rsid w:val="4E9F4D09"/>
    <w:rsid w:val="4EC05294"/>
    <w:rsid w:val="4ED61943"/>
    <w:rsid w:val="4F314A08"/>
    <w:rsid w:val="4F6C273C"/>
    <w:rsid w:val="4FA37CD9"/>
    <w:rsid w:val="50016D82"/>
    <w:rsid w:val="5076261D"/>
    <w:rsid w:val="51FD08E3"/>
    <w:rsid w:val="527F0977"/>
    <w:rsid w:val="539363B4"/>
    <w:rsid w:val="542D326C"/>
    <w:rsid w:val="55687971"/>
    <w:rsid w:val="55752EAE"/>
    <w:rsid w:val="55937D9F"/>
    <w:rsid w:val="55EF4495"/>
    <w:rsid w:val="56845A06"/>
    <w:rsid w:val="56CA55E7"/>
    <w:rsid w:val="56D70989"/>
    <w:rsid w:val="57F150FF"/>
    <w:rsid w:val="58ED60D9"/>
    <w:rsid w:val="58F9301B"/>
    <w:rsid w:val="59647C96"/>
    <w:rsid w:val="5B2B4339"/>
    <w:rsid w:val="5B632FEB"/>
    <w:rsid w:val="5BF9257A"/>
    <w:rsid w:val="5C120BF5"/>
    <w:rsid w:val="5C8358D9"/>
    <w:rsid w:val="5C9E0101"/>
    <w:rsid w:val="5D23677C"/>
    <w:rsid w:val="5D342498"/>
    <w:rsid w:val="5D4B703D"/>
    <w:rsid w:val="5DEB3952"/>
    <w:rsid w:val="5E996E71"/>
    <w:rsid w:val="5F131854"/>
    <w:rsid w:val="5F3B4363"/>
    <w:rsid w:val="5F51049F"/>
    <w:rsid w:val="5FDF6001"/>
    <w:rsid w:val="60A054DA"/>
    <w:rsid w:val="60D9404B"/>
    <w:rsid w:val="60DE3820"/>
    <w:rsid w:val="617A1919"/>
    <w:rsid w:val="61E63CE9"/>
    <w:rsid w:val="61FB2CA7"/>
    <w:rsid w:val="629C6545"/>
    <w:rsid w:val="62C730A5"/>
    <w:rsid w:val="63144D12"/>
    <w:rsid w:val="63CC0C32"/>
    <w:rsid w:val="63D317EB"/>
    <w:rsid w:val="640972AF"/>
    <w:rsid w:val="6417352F"/>
    <w:rsid w:val="644546EE"/>
    <w:rsid w:val="64577143"/>
    <w:rsid w:val="64BB2DA7"/>
    <w:rsid w:val="65E840A0"/>
    <w:rsid w:val="66A16183"/>
    <w:rsid w:val="681547A4"/>
    <w:rsid w:val="687357CB"/>
    <w:rsid w:val="687F1C8E"/>
    <w:rsid w:val="6A3F77C3"/>
    <w:rsid w:val="6A5E3E78"/>
    <w:rsid w:val="6AA44A4C"/>
    <w:rsid w:val="6B2553C5"/>
    <w:rsid w:val="6B2E4F4F"/>
    <w:rsid w:val="6BDB5210"/>
    <w:rsid w:val="6BDC561E"/>
    <w:rsid w:val="6C5F7D73"/>
    <w:rsid w:val="6C63742F"/>
    <w:rsid w:val="6CB44263"/>
    <w:rsid w:val="6D44774C"/>
    <w:rsid w:val="6DDA3920"/>
    <w:rsid w:val="6E9E5F69"/>
    <w:rsid w:val="6F5D6C82"/>
    <w:rsid w:val="702130D3"/>
    <w:rsid w:val="70850F2B"/>
    <w:rsid w:val="722C3980"/>
    <w:rsid w:val="723C4897"/>
    <w:rsid w:val="72591FFB"/>
    <w:rsid w:val="73BC47FB"/>
    <w:rsid w:val="73CE7506"/>
    <w:rsid w:val="74014C47"/>
    <w:rsid w:val="74A14BD4"/>
    <w:rsid w:val="7523412A"/>
    <w:rsid w:val="7593234C"/>
    <w:rsid w:val="763F74E7"/>
    <w:rsid w:val="77787246"/>
    <w:rsid w:val="77EE487E"/>
    <w:rsid w:val="788A5BBD"/>
    <w:rsid w:val="78B9050A"/>
    <w:rsid w:val="791D49CA"/>
    <w:rsid w:val="79686B72"/>
    <w:rsid w:val="7976281C"/>
    <w:rsid w:val="797F0005"/>
    <w:rsid w:val="79A96FED"/>
    <w:rsid w:val="7A5773EC"/>
    <w:rsid w:val="7A645D1E"/>
    <w:rsid w:val="7AA51DC8"/>
    <w:rsid w:val="7AE01782"/>
    <w:rsid w:val="7B3352B6"/>
    <w:rsid w:val="7C6736CC"/>
    <w:rsid w:val="7C7D405D"/>
    <w:rsid w:val="7CFB19B7"/>
    <w:rsid w:val="7D4A2ED6"/>
    <w:rsid w:val="7E5E5FB0"/>
    <w:rsid w:val="7E8F500B"/>
    <w:rsid w:val="7F0659BE"/>
    <w:rsid w:val="7F38745D"/>
    <w:rsid w:val="7F5977F4"/>
    <w:rsid w:val="7FAE358F"/>
    <w:rsid w:val="7FD94ED2"/>
    <w:rsid w:val="7FF1706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keepNext/>
      <w:keepLines/>
      <w:ind w:firstLine="200" w:firstLineChars="200"/>
      <w:outlineLvl w:val="2"/>
    </w:pPr>
    <w:rPr>
      <w:rFonts w:eastAsia="方正楷体简体"/>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预算公开正文内容"/>
    <w:basedOn w:val="13"/>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17df0-6931-4522-8063-c4bcbea790c5}">
  <ds:schemaRefs/>
</ds:datastoreItem>
</file>

<file path=customXml/itemProps3.xml><?xml version="1.0" encoding="utf-8"?>
<ds:datastoreItem xmlns:ds="http://schemas.openxmlformats.org/officeDocument/2006/customXml" ds:itemID="{14f3d1d8-ba7e-4cc5-a308-d44109762759}">
  <ds:schemaRefs/>
</ds:datastoreItem>
</file>

<file path=customXml/itemProps4.xml><?xml version="1.0" encoding="utf-8"?>
<ds:datastoreItem xmlns:ds="http://schemas.openxmlformats.org/officeDocument/2006/customXml" ds:itemID="{e459f2f2-3cca-4ebc-82ef-30ef7e79b675}">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4</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2025-03-27T05:23:00Z</cp:lastPrinted>
  <dcterms:modified xsi:type="dcterms:W3CDTF">2025-04-23T04:23:25Z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