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/>
        </w:rPr>
      </w:pPr>
      <w:r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  <w:lang w:eastAsia="zh-CN"/>
        </w:rPr>
        <w:t>新疆维吾尔自治区巴音郭楞蒙古自治州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  <w:lang w:val="en-US" w:eastAsia="zh-CN"/>
        </w:rPr>
        <w:t>焉耆回族自治县疾病预防控制中心（卫生监督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方正小标宋_GBK" w:hAnsi="宋体" w:eastAsia="方正小标宋_GBK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  <w:lang w:val="en-US" w:eastAsia="zh-CN"/>
        </w:rPr>
        <w:t>所）2025年单位</w:t>
      </w:r>
      <w:r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</w:rPr>
        <w:t>预算公开</w:t>
      </w:r>
    </w:p>
    <w:p>
      <w:pPr>
        <w:widowControl/>
        <w:spacing w:line="440" w:lineRule="exact"/>
        <w:jc w:val="both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pStyle w:val="2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pStyle w:val="2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both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3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第一部分 2025年单位概况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一、主要职能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二、机构设置及人员情况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3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第二部分 2025年单位预算公开表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一、单位收支总体情况表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二、单位收入总体情况表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三、单位支出总体情况表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四、财政拨款收支预算总体情况表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五、一般公共预算支出情况表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六、一般公共预算基本支出情况表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七、一般公共预算项目支出情况表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八、政府性基金预算支出情况表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九、国有资本经营预算支出情况表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十、财政拨款“三公”经费支出情况表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十一、上年结转结余情况明细表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3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第三部分 2025年单位预算情况说明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一、关于焉耆回族自治县疾病预防控制中心（卫生监督所）2025年收支预算情况的总体说明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二、关于焉耆回族自治县疾病预防控制中心（卫生监督所）2025年收入预算情况说明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三、关于焉耆回族自治县疾病预防控制中心（卫生监督所）2025年支出预算情况说明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四、关于焉耆回族自治县疾病预防控制中心（卫生监督所）2025年财政拨款收支预算情况的总体说明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五、关于焉耆回族自治县疾病预防控制中心（卫生监督所）2025年一般公共预算当年拨款情况说明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六、关于焉耆回族自治县疾病预防控制中心（卫生监督所）2025年一般公共预算基本支出情况说明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七、关于焉耆回族自治县疾病预防控制中心（卫生监督所）2025年一般公共预算项目支出情况说明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八、关于焉耆回族自治县疾病预防控制中心（卫生监督所）2025年政府性基金预算拨款情况说明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九、关于焉耆回族自治县疾病预防控制中心（卫生监督所）2025年国有资本经营预算拨款情况说明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十、关于焉耆回族自治县疾病预防控制中心（卫生监督所）2025年财政拨款“三公”经费预算情况说明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十一、关于焉耆回族自治县疾病预防控制中心（卫生监督所）2025年上年结转结余预算情况说明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十二、其他重要事项的情况说明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3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第四部分 名词解释</w:t>
      </w:r>
    </w:p>
    <w:p>
      <w:pP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jc w:val="center"/>
        <w:textAlignment w:val="auto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第一部分  2025年单位概况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jc w:val="center"/>
        <w:textAlignment w:val="auto"/>
        <w:outlineLvl w:val="1"/>
        <w:rPr>
          <w:rFonts w:ascii="宋体" w:hAnsi="宋体"/>
          <w:b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一、主要职能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1.对影响人群生存环境卫生质量及生命质量的危险因素进行食品、职业、环境（公共场所）、放射、学校卫生等卫生学监测；对传染病、地方病、寄生虫病、慢性非传染性病、职业病、公害病、学生常见病、妇女儿童常见疾病及意外伤害、中毒等发生、分布和发展的规律进行流行病学监测，制定预防控制对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2.拟定并实施疾病预防控制工作方案，对方案实施进行质量和效果评估，为卫生行政部门提供决策咨询。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3.对传染病暴发流行和中毒、污染事件进行调查处理，为救灾防病和解决重大公共卫生问题提供技术支持。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4.实施预防接种，负责预防用生物制品的使用和管理。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5.负责人员培训，指导有关卫生防病、公共卫生等方面的技术规范和技术措施的实施，承担对爱国卫生运动中与疾病预防控制有关工作的技术指导。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6.开展健康教育与健康促进，参与社区卫生服务工作，促进社会健康环境的建立和人群健康行为的形成。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7.承担疾病预防与控制及有关公共卫生信息的报告、管理和预测、预报，为疾病预防与控制决策提供科学依据。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8.开展卫生防病检验和实验室质量控制，受卫生行政部门的认定，承担卫生监督监测检验、预防性健康检查、食品及健康相关产品从业人员卫生知识培训、健康相关产品的技术审核和卫生质量检验、鉴定，对新建、改建、扩建建设项目的选址、设计和竣工验收进行卫生学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9.向社会提供相关预防保健信息、健康咨询和预防医学诊疗等专业技术服务。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10.完成主管部门交办的其他工作。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二、机构设置及人员情况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焉耆回族县疾病预防控制中心（卫生监督所）无下属预算单位，下设6个处室，分别是：行政办、疾病控制科、卫生科、结防科、检验科、信息服务与健康教育科。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 w:firstLineChars="200"/>
        <w:jc w:val="left"/>
        <w:textAlignment w:val="auto"/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焉耆回族县疾病预防控制中心（卫生监督所）编制数34，实有人数58人，其中：在职31人，增加7人；退休27人，增加6人；离休0人，增加0人。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440" w:lineRule="exact"/>
        <w:jc w:val="center"/>
        <w:textAlignment w:val="auto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</w:pPr>
      <w:r>
        <w:br w:type="page"/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 xml:space="preserve">第二部分 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>单位预算公开表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单位收支总体情况表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1"/>
        <w:rPr>
          <w:rFonts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编制单位：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eastAsia="zh-CN"/>
        </w:rPr>
        <w:t>焉耆回族县疾病预防控制中心（卫生监督所）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单位：万元</w:t>
      </w:r>
    </w:p>
    <w:tbl>
      <w:tblPr>
        <w:tblStyle w:val="9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5"/>
        <w:gridCol w:w="1103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项     目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一、本年收入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551.72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1.一般公共预算拨款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551.72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其中：一般财力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551.72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上级一般公共预算安排转移支付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政府性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基金预算拨款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  <w:tab/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其中：政府性基金收入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上级政府性基金安排转移支付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3.国有资本经营预算拨款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89.51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其中：国有资本经营收入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上级国有资本经营预算安排转移支付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420.44</w:t>
            </w:r>
          </w:p>
        </w:tc>
      </w:tr>
      <w:tr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4.财政专户核拨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5.单位资金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其中：事业收入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上级补助收入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附属单位上缴收入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215 资源勘探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Hans"/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事业单位经营收入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其他收入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二、上年结转结余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1.财政拨款结转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其中：一般公共预算拨款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41.77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政府性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基金预算拨款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国有资本经营预算拨款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2.非财政拨款结余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224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其中：财政专户核拨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单位资金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230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收  入  总  计</w:t>
            </w:r>
          </w:p>
        </w:tc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551.72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551.72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</w:rPr>
        <w:t>单位收入总体情况表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编制单位：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eastAsia="zh-CN"/>
        </w:rPr>
        <w:t>焉耆回族县疾病预防控制中心（卫生监督所）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单位：万元</w:t>
      </w:r>
    </w:p>
    <w:tbl>
      <w:tblPr>
        <w:tblStyle w:val="9"/>
        <w:tblpPr w:leftFromText="180" w:rightFromText="180" w:vertAnchor="text" w:horzAnchor="page" w:tblpX="1387" w:tblpY="152"/>
        <w:tblOverlap w:val="never"/>
        <w:tblW w:w="104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450"/>
        <w:gridCol w:w="435"/>
        <w:gridCol w:w="1583"/>
        <w:gridCol w:w="1013"/>
        <w:gridCol w:w="1000"/>
        <w:gridCol w:w="880"/>
        <w:gridCol w:w="707"/>
        <w:gridCol w:w="573"/>
        <w:gridCol w:w="640"/>
        <w:gridCol w:w="387"/>
        <w:gridCol w:w="640"/>
        <w:gridCol w:w="453"/>
        <w:gridCol w:w="347"/>
        <w:gridCol w:w="346"/>
        <w:gridCol w:w="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18"/>
                <w:szCs w:val="18"/>
                <w:highlight w:val="none"/>
              </w:rPr>
              <w:t>功能分类科目编码</w:t>
            </w: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0"/>
                <w:szCs w:val="20"/>
                <w:highlight w:val="none"/>
              </w:rPr>
              <w:t>总  计</w:t>
            </w:r>
          </w:p>
        </w:tc>
        <w:tc>
          <w:tcPr>
            <w:tcW w:w="4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0"/>
                <w:szCs w:val="20"/>
                <w:highlight w:val="none"/>
              </w:rPr>
              <w:t>财  政  拨  款  (  补  助  )</w:t>
            </w:r>
          </w:p>
        </w:tc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0"/>
                <w:szCs w:val="20"/>
                <w:highlight w:val="none"/>
              </w:rPr>
              <w:t>财政专户（教育收费）</w:t>
            </w:r>
          </w:p>
        </w:tc>
        <w:tc>
          <w:tcPr>
            <w:tcW w:w="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0"/>
                <w:szCs w:val="20"/>
                <w:highlight w:val="none"/>
              </w:rPr>
              <w:t>单位资金</w:t>
            </w:r>
          </w:p>
        </w:tc>
        <w:tc>
          <w:tcPr>
            <w:tcW w:w="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0"/>
                <w:szCs w:val="20"/>
                <w:highlight w:val="none"/>
              </w:rPr>
              <w:t>财政拨款结转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0"/>
                <w:szCs w:val="20"/>
                <w:highlight w:val="none"/>
              </w:rPr>
              <w:t>非财政拨款结转结余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  <w:lang w:val="en-US" w:eastAsia="zh-Hans"/>
              </w:rPr>
              <w:t>类</w:t>
            </w:r>
          </w:p>
        </w:tc>
        <w:tc>
          <w:tcPr>
            <w:tcW w:w="45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  <w:lang w:val="en-US" w:eastAsia="zh-Hans"/>
              </w:rPr>
              <w:t>款</w:t>
            </w:r>
          </w:p>
        </w:tc>
        <w:tc>
          <w:tcPr>
            <w:tcW w:w="43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  <w:lang w:val="en-US" w:eastAsia="zh-Hans"/>
              </w:rPr>
              <w:t>项</w:t>
            </w:r>
          </w:p>
        </w:tc>
        <w:tc>
          <w:tcPr>
            <w:tcW w:w="158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0"/>
                <w:szCs w:val="20"/>
                <w:highlight w:val="none"/>
              </w:rPr>
              <w:t>财政拨款(补助)小计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0"/>
                <w:szCs w:val="20"/>
                <w:highlight w:val="none"/>
              </w:rPr>
              <w:t>一般公共预算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0"/>
                <w:szCs w:val="20"/>
                <w:highlight w:val="none"/>
              </w:rPr>
              <w:t>上级一般公共预算安排的转移支付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0"/>
                <w:szCs w:val="20"/>
                <w:highlight w:val="none"/>
              </w:rPr>
              <w:t>政府性基金预算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0"/>
                <w:szCs w:val="20"/>
                <w:highlight w:val="none"/>
              </w:rPr>
              <w:t>上级政府性基金安排的转移支付</w:t>
            </w: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0"/>
                <w:szCs w:val="20"/>
                <w:highlight w:val="none"/>
              </w:rPr>
              <w:t>国有资本经营预算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0"/>
                <w:szCs w:val="20"/>
                <w:highlight w:val="none"/>
              </w:rPr>
              <w:t>上级国有资本经营预算安排的转移支付</w:t>
            </w:r>
          </w:p>
        </w:tc>
        <w:tc>
          <w:tcPr>
            <w:tcW w:w="45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</w:rPr>
              <w:t>社会保障和就业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none" w:color="auto"/>
                <w:lang w:val="en-US" w:eastAsia="zh-CN" w:bidi="ar-SA"/>
              </w:rPr>
              <w:t>支出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89.51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89.51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89.51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</w:rPr>
              <w:t>行政事业单位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none" w:color="auto"/>
                <w:lang w:val="en-US" w:eastAsia="zh-CN" w:bidi="ar-SA"/>
              </w:rPr>
              <w:t>养老支出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89.51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89.51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89.51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none" w:color="auto"/>
                <w:lang w:val="en-US" w:eastAsia="zh-CN" w:bidi="ar-SA"/>
              </w:rPr>
              <w:t>机关事业单位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</w:rPr>
              <w:t>基本养老保险缴费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none" w:color="auto"/>
                <w:lang w:val="en-US" w:eastAsia="zh-CN" w:bidi="ar-SA"/>
              </w:rPr>
              <w:t>支出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55.68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55.68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55.68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none" w:color="auto"/>
                <w:lang w:val="en-US" w:eastAsia="zh-CN" w:bidi="ar-SA"/>
              </w:rPr>
              <w:t>机关事业单位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</w:rPr>
              <w:t>职业年金缴费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none" w:color="auto"/>
                <w:lang w:val="en-US" w:eastAsia="zh-CN" w:bidi="ar-SA"/>
              </w:rPr>
              <w:t>支出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27.85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27.85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27.85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行政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</w:rPr>
              <w:t>单位离退休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1.56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1.56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1.56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</w:rPr>
              <w:t>事业单位离退休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4.42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4.42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4.42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</w:rPr>
              <w:t>卫生健康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none" w:color="auto"/>
                <w:lang w:val="en-US" w:eastAsia="zh-CN" w:bidi="ar-SA"/>
              </w:rPr>
              <w:t>支出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420.4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420.4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420.4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</w:rPr>
              <w:t>公共卫生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393.35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393.35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393.35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</w:rPr>
              <w:t>疾病预防控制机构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393.35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393.35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393.35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</w:rPr>
              <w:t>行政事业单位医疗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27.09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27.09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27.09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公务员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</w:rPr>
              <w:t>医疗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补助缴费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1.94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1.94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1.94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</w:rPr>
              <w:t>事业单位医疗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25.15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25.15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25.15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</w:rPr>
              <w:t>住房保障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none" w:color="auto"/>
                <w:lang w:val="en-US" w:eastAsia="zh-CN" w:bidi="ar-SA"/>
              </w:rPr>
              <w:t>支出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41.77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41.77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41.77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</w:rPr>
              <w:t>住房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改革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none" w:color="auto"/>
                <w:lang w:val="en-US" w:eastAsia="zh-CN" w:bidi="ar-SA"/>
              </w:rPr>
              <w:t>支出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41.77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41.77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41.77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</w:rPr>
              <w:t>住房公积金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41.77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41.77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41.77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65" w:firstLineChars="0"/>
              <w:jc w:val="left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551.72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551.72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551.72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widowControl/>
        <w:jc w:val="left"/>
        <w:outlineLvl w:val="1"/>
        <w:rPr>
          <w:rFonts w:hint="default" w:ascii="Times New Roman" w:hAnsi="Times New Roman" w:eastAsia="宋体" w:cs="Times New Roman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default" w:ascii="Times New Roman" w:hAnsi="Times New Roman" w:eastAsia="宋体" w:cs="Times New Roman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default" w:ascii="Times New Roman" w:hAnsi="Times New Roman" w:eastAsia="宋体" w:cs="Times New Roman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1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单位支出总体情况表</w:t>
      </w: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编制单位：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eastAsia="zh-CN"/>
        </w:rPr>
        <w:t>焉耆回族县疾病预防控制中心（卫生监督所）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 单位：万元</w:t>
      </w:r>
    </w:p>
    <w:tbl>
      <w:tblPr>
        <w:tblStyle w:val="9"/>
        <w:tblW w:w="9420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7"/>
        <w:gridCol w:w="417"/>
        <w:gridCol w:w="2549"/>
        <w:gridCol w:w="1826"/>
        <w:gridCol w:w="1827"/>
        <w:gridCol w:w="1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   目</w:t>
            </w:r>
          </w:p>
        </w:tc>
        <w:tc>
          <w:tcPr>
            <w:tcW w:w="5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5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8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8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25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89.51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89.51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55.68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27.85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4.42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420.44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420.44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393.35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393.35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疾病预防控制机构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393.35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393.35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27.09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25.15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41.77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41.77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41.77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合  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551.72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551.72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表4</w:t>
      </w:r>
    </w:p>
    <w:p>
      <w:pPr>
        <w:widowControl/>
        <w:spacing w:before="120" w:beforeLines="50" w:line="280" w:lineRule="exact"/>
        <w:jc w:val="center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财政拨款收支预算总体情况表</w:t>
      </w:r>
    </w:p>
    <w:p>
      <w:pPr>
        <w:widowControl/>
        <w:jc w:val="left"/>
        <w:outlineLvl w:val="1"/>
        <w:rPr>
          <w:rFonts w:ascii="仿宋_GB2312" w:hAnsi="宋体" w:eastAsia="仿宋_GB2312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szCs w:val="24"/>
          <w:highlight w:val="none"/>
        </w:rPr>
        <w:t>编制单位：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编制单位：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eastAsia="zh-CN"/>
        </w:rPr>
        <w:t>焉耆回族县疾病预防控制中心（卫生监督所）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kern w:val="0"/>
          <w:sz w:val="24"/>
          <w:szCs w:val="24"/>
          <w:highlight w:val="none"/>
        </w:rPr>
        <w:t xml:space="preserve"> 单位：万元</w:t>
      </w:r>
    </w:p>
    <w:tbl>
      <w:tblPr>
        <w:tblStyle w:val="9"/>
        <w:tblW w:w="9449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914"/>
        <w:gridCol w:w="2580"/>
        <w:gridCol w:w="900"/>
        <w:gridCol w:w="851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财政拨款收入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项    目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合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国有资本经营预算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Hans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财政拨款（补助）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551.72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18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 xml:space="preserve"> 一般公共预算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551.72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 xml:space="preserve">   政府性基金预算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 xml:space="preserve">   国有资本经营预算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89.51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89.51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420.44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420.44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215 资源勘探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Hans"/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41.77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41.77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224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230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收  入  总  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551.72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551.72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551.72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default" w:ascii="Times New Roman" w:hAnsi="Times New Roman" w:eastAsia="宋体" w:cs="Times New Roman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表5</w:t>
      </w:r>
    </w:p>
    <w:tbl>
      <w:tblPr>
        <w:tblStyle w:val="9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99"/>
        <w:gridCol w:w="503"/>
        <w:gridCol w:w="2494"/>
        <w:gridCol w:w="1677"/>
        <w:gridCol w:w="1834"/>
        <w:gridCol w:w="1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32"/>
                <w:szCs w:val="32"/>
                <w:highlight w:val="none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编制单位：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焉耆回族县疾病预防控制中心（卫生监督所）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科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 目</w:t>
            </w:r>
          </w:p>
        </w:tc>
        <w:tc>
          <w:tcPr>
            <w:tcW w:w="5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5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6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25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89.51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89.51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55.68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4.42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420.44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420.44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393.35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393.35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疾病预防控制机构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393.35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393.35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27.09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41.77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41.77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41.77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合  计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551.72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551.72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表6</w:t>
      </w:r>
    </w:p>
    <w:tbl>
      <w:tblPr>
        <w:tblStyle w:val="9"/>
        <w:tblW w:w="9328" w:type="dxa"/>
        <w:tblInd w:w="-1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1701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32"/>
                <w:szCs w:val="32"/>
                <w:highlight w:val="none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编制单位：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焉耆回族县疾病预防控制中心（卫生监督所）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科  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目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商品与服务支出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表7</w:t>
      </w:r>
    </w:p>
    <w:p>
      <w:pPr>
        <w:pStyle w:val="2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tbl>
      <w:tblPr>
        <w:tblStyle w:val="9"/>
        <w:tblpPr w:leftFromText="180" w:rightFromText="180" w:vertAnchor="text" w:horzAnchor="page" w:tblpX="1652" w:tblpY="29"/>
        <w:tblOverlap w:val="never"/>
        <w:tblW w:w="95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409"/>
        <w:gridCol w:w="417"/>
        <w:gridCol w:w="417"/>
        <w:gridCol w:w="828"/>
        <w:gridCol w:w="1400"/>
        <w:gridCol w:w="732"/>
        <w:gridCol w:w="561"/>
        <w:gridCol w:w="530"/>
        <w:gridCol w:w="639"/>
        <w:gridCol w:w="639"/>
        <w:gridCol w:w="618"/>
        <w:gridCol w:w="419"/>
        <w:gridCol w:w="618"/>
        <w:gridCol w:w="420"/>
        <w:gridCol w:w="420"/>
        <w:gridCol w:w="388"/>
        <w:gridCol w:w="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7" w:type="dxa"/>
          <w:trHeight w:val="375" w:hRule="atLeast"/>
        </w:trPr>
        <w:tc>
          <w:tcPr>
            <w:tcW w:w="9455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32"/>
                <w:szCs w:val="32"/>
                <w:highlight w:val="none"/>
              </w:rPr>
              <w:t>一般公共预算项目支出情况表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7" w:type="dxa"/>
          <w:trHeight w:val="405" w:hRule="atLeast"/>
        </w:trPr>
        <w:tc>
          <w:tcPr>
            <w:tcW w:w="9455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编制单位：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焉耆回族县疾病预防控制中心（卫生监督所）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1" w:type="dxa"/>
            <w:gridSpan w:val="4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  <w:t>科 目 编 码</w:t>
            </w:r>
          </w:p>
        </w:tc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  <w:t>科目</w:t>
            </w: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名称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732" w:type="dxa"/>
            <w:vMerge w:val="restart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  <w:t>项目支出合计</w:t>
            </w:r>
          </w:p>
        </w:tc>
        <w:tc>
          <w:tcPr>
            <w:tcW w:w="561" w:type="dxa"/>
            <w:vMerge w:val="restart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  <w:t>工资福利支出</w:t>
            </w:r>
          </w:p>
        </w:tc>
        <w:tc>
          <w:tcPr>
            <w:tcW w:w="530" w:type="dxa"/>
            <w:vMerge w:val="restart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  <w:t>商品和服务支出</w:t>
            </w:r>
          </w:p>
        </w:tc>
        <w:tc>
          <w:tcPr>
            <w:tcW w:w="639" w:type="dxa"/>
            <w:vMerge w:val="restart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  <w:t>对个人和家庭的补助</w:t>
            </w:r>
          </w:p>
        </w:tc>
        <w:tc>
          <w:tcPr>
            <w:tcW w:w="639" w:type="dxa"/>
            <w:vMerge w:val="restart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  <w:t>债务利息及费用支出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  <w:t>资本性支出（基本建设）</w:t>
            </w:r>
          </w:p>
        </w:tc>
        <w:tc>
          <w:tcPr>
            <w:tcW w:w="419" w:type="dxa"/>
            <w:vMerge w:val="restart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  <w:t>资本性支出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  <w:t>对企业补助（基本建设）</w:t>
            </w:r>
          </w:p>
        </w:tc>
        <w:tc>
          <w:tcPr>
            <w:tcW w:w="420" w:type="dxa"/>
            <w:vMerge w:val="restart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  <w:t>对企业补助</w:t>
            </w:r>
          </w:p>
        </w:tc>
        <w:tc>
          <w:tcPr>
            <w:tcW w:w="420" w:type="dxa"/>
            <w:vMerge w:val="restart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  <w:t>对社会保障基金补助</w:t>
            </w:r>
          </w:p>
        </w:tc>
        <w:tc>
          <w:tcPr>
            <w:tcW w:w="46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82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0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3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6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3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3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6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7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1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5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7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1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5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7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1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5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7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1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5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7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1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5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7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1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5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7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1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5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7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1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5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7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1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5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7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1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5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7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1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5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7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合 计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61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5" w:type="dxa"/>
            <w:gridSpan w:val="2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</w:tbl>
    <w:p>
      <w:pPr>
        <w:pStyle w:val="2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1"/>
        <w:rPr>
          <w:rFonts w:hint="default" w:ascii="仿宋_GB2312" w:hAnsi="宋体" w:eastAsia="仿宋_GB2312"/>
          <w:b/>
          <w:color w:val="auto"/>
          <w:kern w:val="0"/>
          <w:sz w:val="28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  <w:lang w:val="en-US" w:eastAsia="zh-CN"/>
        </w:rPr>
        <w:t>备注：</w:t>
      </w:r>
      <w:r>
        <w:rPr>
          <w:rFonts w:hint="default" w:ascii="仿宋_GB2312" w:hAnsi="宋体" w:eastAsia="仿宋_GB2312"/>
          <w:b/>
          <w:color w:val="auto"/>
          <w:kern w:val="0"/>
          <w:sz w:val="28"/>
          <w:szCs w:val="32"/>
          <w:highlight w:val="none"/>
          <w:lang w:val="en-US" w:eastAsia="zh-CN"/>
        </w:rPr>
        <w:t>202</w:t>
      </w: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  <w:lang w:val="en-US" w:eastAsia="zh-CN"/>
        </w:rPr>
        <w:t>5</w:t>
      </w:r>
      <w:r>
        <w:rPr>
          <w:rFonts w:hint="default" w:ascii="仿宋_GB2312" w:hAnsi="宋体" w:eastAsia="仿宋_GB2312"/>
          <w:b/>
          <w:color w:val="auto"/>
          <w:kern w:val="0"/>
          <w:sz w:val="28"/>
          <w:szCs w:val="32"/>
          <w:highlight w:val="none"/>
          <w:lang w:val="en-US" w:eastAsia="zh-CN"/>
        </w:rPr>
        <w:t>年本单位</w:t>
      </w: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  <w:lang w:val="en-US" w:eastAsia="zh-CN"/>
        </w:rPr>
        <w:t>无</w:t>
      </w:r>
      <w:r>
        <w:rPr>
          <w:rFonts w:hint="default" w:ascii="仿宋_GB2312" w:hAnsi="宋体" w:eastAsia="仿宋_GB2312"/>
          <w:b/>
          <w:color w:val="auto"/>
          <w:kern w:val="0"/>
          <w:sz w:val="28"/>
          <w:szCs w:val="32"/>
          <w:highlight w:val="none"/>
          <w:lang w:val="en-US" w:eastAsia="zh-CN"/>
        </w:rPr>
        <w:t>一般公共预算项目</w:t>
      </w: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  <w:lang w:val="en-US" w:eastAsia="zh-CN"/>
        </w:rPr>
        <w:t>支出</w:t>
      </w:r>
      <w:r>
        <w:rPr>
          <w:rFonts w:hint="default" w:ascii="仿宋_GB2312" w:hAnsi="宋体" w:eastAsia="仿宋_GB2312"/>
          <w:b/>
          <w:color w:val="auto"/>
          <w:kern w:val="0"/>
          <w:sz w:val="28"/>
          <w:szCs w:val="32"/>
          <w:highlight w:val="none"/>
          <w:lang w:val="en-US" w:eastAsia="zh-CN"/>
        </w:rPr>
        <w:t>预算安排,此表为空表</w:t>
      </w: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</w:t>
      </w:r>
      <w:r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eastAsia="zh-CN" w:bidi="ar"/>
        </w:rPr>
        <w:t>8</w:t>
      </w:r>
    </w:p>
    <w:p>
      <w:pPr>
        <w:widowControl/>
        <w:jc w:val="center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政府性基金预算支出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编制单位： 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eastAsia="zh-CN"/>
        </w:rPr>
        <w:t>焉耆回族县疾病预防控制中心（卫生监督所）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  单位：万元</w:t>
      </w:r>
    </w:p>
    <w:tbl>
      <w:tblPr>
        <w:tblStyle w:val="9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687"/>
        <w:gridCol w:w="656"/>
        <w:gridCol w:w="2357"/>
        <w:gridCol w:w="1374"/>
        <w:gridCol w:w="1055"/>
        <w:gridCol w:w="1102"/>
        <w:gridCol w:w="1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科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 xml:space="preserve">  目</w:t>
            </w:r>
          </w:p>
        </w:tc>
        <w:tc>
          <w:tcPr>
            <w:tcW w:w="49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政府性基金预算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3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功能分类科目名称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合 计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1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项目支出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类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人员经费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公用经费</w:t>
            </w:r>
          </w:p>
        </w:tc>
        <w:tc>
          <w:tcPr>
            <w:tcW w:w="13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1"/>
        <w:rPr>
          <w:rFonts w:hint="eastAsia" w:eastAsia="仿宋_GB2312" w:cs="Times New Roman"/>
          <w:b/>
          <w:kern w:val="0"/>
          <w:sz w:val="28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28"/>
          <w:szCs w:val="32"/>
          <w:highlight w:val="none"/>
        </w:rPr>
        <w:t>备注：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32"/>
          <w:highlight w:val="none"/>
          <w:lang w:eastAsia="zh-CN"/>
        </w:rPr>
        <w:t>202</w:t>
      </w:r>
      <w:r>
        <w:rPr>
          <w:rFonts w:hint="eastAsia" w:eastAsia="仿宋_GB2312" w:cs="Times New Roman"/>
          <w:b/>
          <w:kern w:val="0"/>
          <w:sz w:val="28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32"/>
          <w:highlight w:val="none"/>
        </w:rPr>
        <w:t>本单位无政府性基金支出预算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32"/>
          <w:highlight w:val="none"/>
          <w:lang w:eastAsia="zh-CN"/>
        </w:rPr>
        <w:t>安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32"/>
          <w:highlight w:val="none"/>
        </w:rPr>
        <w:t>排,此表为空表</w:t>
      </w:r>
      <w:r>
        <w:rPr>
          <w:rFonts w:hint="eastAsia" w:eastAsia="仿宋_GB2312" w:cs="Times New Roman"/>
          <w:b/>
          <w:kern w:val="0"/>
          <w:sz w:val="28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1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default" w:ascii="仿宋_GB2312" w:hAnsi="宋体" w:eastAsia="仿宋_GB2312"/>
          <w:b/>
          <w:color w:val="auto"/>
          <w:kern w:val="0"/>
          <w:sz w:val="28"/>
          <w:szCs w:val="32"/>
          <w:highlight w:val="none"/>
          <w:lang w:val="en-US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</w:t>
      </w:r>
      <w:r>
        <w:rPr>
          <w:rFonts w:hint="eastAsia" w:ascii="宋体" w:hAnsi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9</w:t>
      </w:r>
    </w:p>
    <w:p>
      <w:pPr>
        <w:widowControl/>
        <w:jc w:val="center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国有资本经营预算支出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编制单位： 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eastAsia="zh-CN"/>
        </w:rPr>
        <w:t>焉耆回族县疾病预防控制中心（卫生监督所）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   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  单位：万元</w:t>
      </w:r>
    </w:p>
    <w:tbl>
      <w:tblPr>
        <w:tblStyle w:val="9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687"/>
        <w:gridCol w:w="656"/>
        <w:gridCol w:w="2357"/>
        <w:gridCol w:w="1374"/>
        <w:gridCol w:w="1055"/>
        <w:gridCol w:w="1102"/>
        <w:gridCol w:w="1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科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 xml:space="preserve">  目</w:t>
            </w:r>
          </w:p>
        </w:tc>
        <w:tc>
          <w:tcPr>
            <w:tcW w:w="49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国有资本经营预算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3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功能分类科目名称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合 计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1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项目支出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类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人员经费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公用经费</w:t>
            </w:r>
          </w:p>
        </w:tc>
        <w:tc>
          <w:tcPr>
            <w:tcW w:w="13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1"/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/>
          <w:b/>
          <w:color w:val="auto"/>
          <w:kern w:val="0"/>
          <w:sz w:val="28"/>
          <w:szCs w:val="32"/>
          <w:highlight w:val="none"/>
          <w:lang w:val="en-US" w:eastAsia="zh-CN"/>
        </w:rPr>
        <w:t>备注：202</w:t>
      </w: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  <w:lang w:val="en-US" w:eastAsia="zh-CN"/>
        </w:rPr>
        <w:t>5</w:t>
      </w:r>
      <w:r>
        <w:rPr>
          <w:rFonts w:hint="default" w:ascii="仿宋_GB2312" w:hAnsi="宋体" w:eastAsia="仿宋_GB2312"/>
          <w:b/>
          <w:color w:val="auto"/>
          <w:kern w:val="0"/>
          <w:sz w:val="28"/>
          <w:szCs w:val="32"/>
          <w:highlight w:val="none"/>
          <w:lang w:val="en-US" w:eastAsia="zh-CN"/>
        </w:rPr>
        <w:t>年本单位无国有资本经营支出预算安排,此表为空表</w:t>
      </w: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24"/>
          <w:szCs w:val="28"/>
          <w:highlight w:val="none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pStyle w:val="2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</w:t>
      </w:r>
      <w:r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eastAsia="zh-CN" w:bidi="ar"/>
        </w:rPr>
        <w:t>10</w:t>
      </w:r>
    </w:p>
    <w:p>
      <w:pPr>
        <w:widowControl/>
        <w:jc w:val="center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  <w:lang w:val="en-US" w:eastAsia="zh-Hans"/>
        </w:rPr>
        <w:t>财政拨款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“三公”经费支出情况表</w:t>
      </w:r>
    </w:p>
    <w:p>
      <w:pPr>
        <w:widowControl/>
        <w:jc w:val="center"/>
        <w:rPr>
          <w:rFonts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编制单位： 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eastAsia="zh-CN"/>
        </w:rPr>
        <w:t>焉耆回族县疾病预防控制中心（卫生监督所）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        单位：万元</w:t>
      </w:r>
    </w:p>
    <w:tbl>
      <w:tblPr>
        <w:tblStyle w:val="10"/>
        <w:tblW w:w="0" w:type="auto"/>
        <w:tblInd w:w="-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8"/>
        <w:gridCol w:w="1215"/>
        <w:gridCol w:w="1314"/>
        <w:gridCol w:w="1595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vMerge w:val="restart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>三公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eastAsia="zh-CN"/>
              </w:rPr>
              <w:t>”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CN"/>
              </w:rPr>
              <w:t>经费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>支出内容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Hans"/>
              </w:rPr>
              <w:t>合计</w:t>
            </w: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Hans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vMerge w:val="continue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  <w:tc>
          <w:tcPr>
            <w:tcW w:w="1215" w:type="dxa"/>
            <w:vMerge w:val="continue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Hans"/>
              </w:rPr>
              <w:t>一般公共预算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>政府性基金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>合计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4"/>
                <w:highlight w:val="none"/>
                <w:vertAlign w:val="baseline"/>
                <w:lang w:val="en-US" w:eastAsia="zh-CN"/>
              </w:rPr>
              <w:t>2.5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4"/>
                <w:highlight w:val="none"/>
                <w:vertAlign w:val="baseline"/>
                <w:lang w:val="en-US" w:eastAsia="zh-CN"/>
              </w:rPr>
              <w:t>2.5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>因公出国（境）费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4"/>
                <w:highlight w:val="none"/>
                <w:vertAlign w:val="baseline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4"/>
                <w:highlight w:val="none"/>
                <w:vertAlign w:val="baseline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>公务接待费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4"/>
                <w:highlight w:val="none"/>
                <w:vertAlign w:val="baseline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4"/>
                <w:highlight w:val="none"/>
                <w:vertAlign w:val="baseline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>公务用车购置及运行费</w:t>
            </w: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>（小计）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4"/>
                <w:highlight w:val="none"/>
                <w:vertAlign w:val="baseline"/>
                <w:lang w:val="en-US" w:eastAsia="zh-CN"/>
              </w:rPr>
              <w:t>2.5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4"/>
                <w:highlight w:val="none"/>
                <w:vertAlign w:val="baseline"/>
                <w:lang w:val="en-US" w:eastAsia="zh-CN"/>
              </w:rPr>
              <w:t>2.5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818" w:type="dxa"/>
            <w:noWrap w:val="0"/>
            <w:vAlign w:val="top"/>
          </w:tcPr>
          <w:p>
            <w:pPr>
              <w:widowControl/>
              <w:ind w:firstLine="281" w:firstLineChars="100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>其中：公务用车购置费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4"/>
                <w:highlight w:val="none"/>
                <w:vertAlign w:val="baseline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4"/>
                <w:highlight w:val="none"/>
                <w:vertAlign w:val="baseline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818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 xml:space="preserve">     </w:t>
            </w:r>
            <w:r>
              <w:rPr>
                <w:rFonts w:hint="default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 xml:space="preserve"> 公务用车运行费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4"/>
                <w:highlight w:val="none"/>
                <w:vertAlign w:val="baseline"/>
                <w:lang w:val="en-US" w:eastAsia="zh-CN"/>
              </w:rPr>
              <w:t>2.5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4"/>
                <w:highlight w:val="none"/>
                <w:vertAlign w:val="baseline"/>
                <w:lang w:val="en-US" w:eastAsia="zh-CN"/>
              </w:rPr>
              <w:t>2.5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</w:tr>
    </w:tbl>
    <w:p>
      <w:pPr>
        <w:spacing w:line="600" w:lineRule="exact"/>
        <w:ind w:left="640"/>
        <w:jc w:val="center"/>
        <w:rPr>
          <w:rFonts w:hint="eastAsia" w:ascii="仿宋" w:hAnsi="仿宋" w:eastAsia="仿宋" w:cs="仿宋_GB2312"/>
          <w:bCs/>
          <w:color w:val="auto"/>
          <w:kern w:val="0"/>
          <w:sz w:val="28"/>
          <w:szCs w:val="28"/>
          <w:highlight w:val="none"/>
        </w:rPr>
      </w:pPr>
    </w:p>
    <w:p>
      <w:pPr>
        <w:spacing w:line="600" w:lineRule="exact"/>
        <w:ind w:left="640"/>
        <w:jc w:val="center"/>
        <w:rPr>
          <w:rFonts w:hint="eastAsia" w:ascii="仿宋" w:hAnsi="仿宋" w:eastAsia="仿宋" w:cs="仿宋_GB2312"/>
          <w:bCs/>
          <w:color w:val="auto"/>
          <w:kern w:val="0"/>
          <w:sz w:val="28"/>
          <w:szCs w:val="28"/>
          <w:highlight w:val="none"/>
        </w:rPr>
      </w:pPr>
    </w:p>
    <w:p>
      <w:pPr>
        <w:spacing w:line="600" w:lineRule="exact"/>
        <w:ind w:left="640"/>
        <w:jc w:val="center"/>
        <w:rPr>
          <w:rFonts w:hint="eastAsia" w:ascii="仿宋" w:hAnsi="仿宋" w:eastAsia="仿宋" w:cs="仿宋_GB2312"/>
          <w:bCs/>
          <w:color w:val="auto"/>
          <w:kern w:val="0"/>
          <w:sz w:val="28"/>
          <w:szCs w:val="28"/>
          <w:highlight w:val="none"/>
        </w:rPr>
      </w:pPr>
    </w:p>
    <w:p>
      <w:pPr>
        <w:spacing w:line="600" w:lineRule="exact"/>
        <w:ind w:left="640"/>
        <w:jc w:val="center"/>
        <w:rPr>
          <w:rFonts w:hint="eastAsia" w:ascii="仿宋" w:hAnsi="仿宋" w:eastAsia="仿宋" w:cs="仿宋_GB2312"/>
          <w:bCs/>
          <w:color w:val="auto"/>
          <w:kern w:val="0"/>
          <w:sz w:val="28"/>
          <w:szCs w:val="28"/>
          <w:highlight w:val="none"/>
        </w:rPr>
      </w:pPr>
    </w:p>
    <w:p>
      <w:pPr>
        <w:spacing w:line="600" w:lineRule="exact"/>
        <w:ind w:left="640"/>
        <w:jc w:val="center"/>
        <w:rPr>
          <w:rFonts w:hint="eastAsia" w:ascii="仿宋" w:hAnsi="仿宋" w:eastAsia="仿宋" w:cs="仿宋_GB2312"/>
          <w:bCs/>
          <w:color w:val="auto"/>
          <w:kern w:val="0"/>
          <w:sz w:val="28"/>
          <w:szCs w:val="28"/>
          <w:highlight w:val="none"/>
        </w:rPr>
      </w:pPr>
    </w:p>
    <w:p>
      <w:pPr>
        <w:spacing w:line="600" w:lineRule="exact"/>
        <w:ind w:left="640"/>
        <w:jc w:val="center"/>
        <w:rPr>
          <w:rFonts w:hint="eastAsia" w:ascii="仿宋" w:hAnsi="仿宋" w:eastAsia="仿宋" w:cs="仿宋_GB2312"/>
          <w:bCs/>
          <w:color w:val="auto"/>
          <w:kern w:val="0"/>
          <w:sz w:val="28"/>
          <w:szCs w:val="28"/>
          <w:highlight w:val="none"/>
        </w:rPr>
      </w:pPr>
    </w:p>
    <w:p>
      <w:pPr>
        <w:spacing w:line="600" w:lineRule="exact"/>
        <w:ind w:left="640"/>
        <w:jc w:val="center"/>
        <w:rPr>
          <w:rFonts w:hint="eastAsia" w:ascii="仿宋" w:hAnsi="仿宋" w:eastAsia="仿宋" w:cs="仿宋_GB2312"/>
          <w:bCs/>
          <w:color w:val="auto"/>
          <w:kern w:val="0"/>
          <w:sz w:val="28"/>
          <w:szCs w:val="28"/>
          <w:highlight w:val="none"/>
        </w:rPr>
      </w:pPr>
    </w:p>
    <w:p>
      <w:pPr>
        <w:spacing w:line="600" w:lineRule="exact"/>
        <w:ind w:left="640"/>
        <w:jc w:val="center"/>
        <w:rPr>
          <w:rFonts w:hint="eastAsia" w:ascii="仿宋" w:hAnsi="仿宋" w:eastAsia="仿宋" w:cs="仿宋_GB2312"/>
          <w:bCs/>
          <w:color w:val="auto"/>
          <w:kern w:val="0"/>
          <w:sz w:val="28"/>
          <w:szCs w:val="28"/>
          <w:highlight w:val="none"/>
        </w:rPr>
      </w:pPr>
    </w:p>
    <w:p>
      <w:pPr>
        <w:spacing w:line="600" w:lineRule="exact"/>
        <w:jc w:val="both"/>
        <w:rPr>
          <w:rFonts w:hint="eastAsia" w:ascii="仿宋" w:hAnsi="仿宋" w:eastAsia="仿宋" w:cs="仿宋_GB2312"/>
          <w:bCs/>
          <w:color w:val="auto"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 w:ascii="仿宋" w:hAnsi="仿宋" w:eastAsia="仿宋" w:cs="仿宋_GB2312"/>
          <w:bCs/>
          <w:color w:val="auto"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 w:ascii="仿宋" w:hAnsi="仿宋" w:eastAsia="仿宋" w:cs="仿宋_GB2312"/>
          <w:bCs/>
          <w:color w:val="auto"/>
          <w:kern w:val="0"/>
          <w:sz w:val="28"/>
          <w:szCs w:val="28"/>
          <w:highlight w:val="none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_GB2312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</w:t>
      </w:r>
      <w:r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eastAsia="zh-CN" w:bidi="ar"/>
        </w:rPr>
        <w:t>1</w:t>
      </w:r>
      <w:r>
        <w:rPr>
          <w:rFonts w:hint="eastAsia" w:ascii="宋体" w:hAnsi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1</w:t>
      </w:r>
    </w:p>
    <w:p>
      <w:pPr>
        <w:spacing w:line="600" w:lineRule="exact"/>
        <w:ind w:firstLine="2891" w:firstLineChars="900"/>
        <w:jc w:val="both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  <w:lang w:val="en-US" w:eastAsia="zh-Hans"/>
        </w:rPr>
        <w:t>上年结转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结余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  <w:lang w:val="en-US" w:eastAsia="zh-Hans"/>
        </w:rPr>
        <w:t>情况明细表</w:t>
      </w:r>
    </w:p>
    <w:p>
      <w:pPr>
        <w:widowControl/>
        <w:jc w:val="both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编制单位：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eastAsia="zh-CN"/>
        </w:rPr>
        <w:t>焉耆回族县疾病预防控制中心（卫生监督所）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            单位：万元</w:t>
      </w:r>
    </w:p>
    <w:tbl>
      <w:tblPr>
        <w:tblStyle w:val="10"/>
        <w:tblpPr w:leftFromText="180" w:rightFromText="180" w:vertAnchor="text" w:horzAnchor="page" w:tblpX="852" w:tblpY="190"/>
        <w:tblOverlap w:val="never"/>
        <w:tblW w:w="9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850"/>
        <w:gridCol w:w="1054"/>
        <w:gridCol w:w="890"/>
        <w:gridCol w:w="714"/>
        <w:gridCol w:w="1211"/>
        <w:gridCol w:w="797"/>
        <w:gridCol w:w="723"/>
        <w:gridCol w:w="881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项目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合计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财政拨款</w:t>
            </w:r>
          </w:p>
        </w:tc>
        <w:tc>
          <w:tcPr>
            <w:tcW w:w="361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非财政拨款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小计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211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项目支出</w:t>
            </w:r>
          </w:p>
        </w:tc>
        <w:tc>
          <w:tcPr>
            <w:tcW w:w="79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小计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211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人员经费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公用经费</w:t>
            </w:r>
          </w:p>
        </w:tc>
        <w:tc>
          <w:tcPr>
            <w:tcW w:w="121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9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人员经费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公用经费</w:t>
            </w:r>
          </w:p>
        </w:tc>
        <w:tc>
          <w:tcPr>
            <w:tcW w:w="121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总计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spacing w:line="280" w:lineRule="exact"/>
        <w:outlineLvl w:val="1"/>
        <w:rPr>
          <w:rFonts w:hint="default" w:ascii="Times New Roman" w:hAnsi="Times New Roman" w:eastAsia="仿宋_GB2312" w:cs="Times New Roman"/>
          <w:b/>
          <w:kern w:val="0"/>
          <w:sz w:val="28"/>
          <w:szCs w:val="32"/>
          <w:highlight w:val="none"/>
          <w:lang w:val="en-US" w:eastAsia="zh-CN"/>
        </w:rPr>
      </w:pPr>
    </w:p>
    <w:p>
      <w:pPr>
        <w:widowControl/>
        <w:spacing w:line="280" w:lineRule="exact"/>
        <w:outlineLvl w:val="1"/>
        <w:rPr>
          <w:rFonts w:hint="default" w:ascii="Times New Roman" w:hAnsi="Times New Roman" w:eastAsia="仿宋_GB2312" w:cs="Times New Roman"/>
          <w:b/>
          <w:kern w:val="0"/>
          <w:sz w:val="28"/>
          <w:szCs w:val="32"/>
          <w:highlight w:val="none"/>
          <w:lang w:val="en-US" w:eastAsia="zh-CN"/>
        </w:rPr>
        <w:sectPr>
          <w:footerReference r:id="rId5" w:type="default"/>
          <w:footerReference r:id="rId6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default" w:ascii="Times New Roman" w:hAnsi="Times New Roman" w:eastAsia="仿宋_GB2312" w:cs="Times New Roman"/>
          <w:b/>
          <w:kern w:val="0"/>
          <w:sz w:val="28"/>
          <w:szCs w:val="32"/>
          <w:highlight w:val="none"/>
          <w:lang w:val="en-US" w:eastAsia="zh-CN"/>
        </w:rPr>
        <w:t>备注：202</w:t>
      </w:r>
      <w:r>
        <w:rPr>
          <w:rFonts w:hint="eastAsia" w:eastAsia="仿宋_GB2312" w:cs="Times New Roman"/>
          <w:b/>
          <w:kern w:val="0"/>
          <w:sz w:val="28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32"/>
          <w:highlight w:val="none"/>
          <w:lang w:val="en-US" w:eastAsia="zh-CN"/>
        </w:rPr>
        <w:t>年本单位无上年结转结余情况</w:t>
      </w:r>
      <w:r>
        <w:rPr>
          <w:rFonts w:hint="eastAsia" w:ascii="Times New Roman" w:hAnsi="Times New Roman" w:eastAsia="仿宋_GB2312" w:cs="Times New Roman"/>
          <w:b/>
          <w:kern w:val="0"/>
          <w:sz w:val="28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32"/>
          <w:highlight w:val="none"/>
          <w:lang w:val="en-US" w:eastAsia="zh-CN"/>
        </w:rPr>
        <w:t>此表为空表</w:t>
      </w:r>
      <w:r>
        <w:rPr>
          <w:rFonts w:hint="eastAsia" w:eastAsia="仿宋_GB2312" w:cs="Times New Roman"/>
          <w:b/>
          <w:kern w:val="0"/>
          <w:sz w:val="28"/>
          <w:szCs w:val="32"/>
          <w:highlight w:val="none"/>
          <w:lang w:val="en-US" w:eastAsia="zh-CN"/>
        </w:rPr>
        <w:t>。</w:t>
      </w: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第三部分  2025年单位预算情况说明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一、关于焉耆回族自治县疾病预防控制中心（卫生监督所）2025年收支预算情况的总体说明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按照全口径预算的原则，焉耆回族自治县疾病预防控制中心（卫生监督所）2025年所有收入和支出均纳入单位预算管理。收支总预算551.72万元。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收入预算包括:一般公共预算。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支出预算包括:社会保障和就业支出、卫生健康支出、住房保障支出。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二、关于焉耆回族自治县疾病预防控制中心（卫生监督所）2025年收入预算情况说明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焉耆回族自治县疾病预防控制中心（卫生监督所）收入预算551.72万元，其中：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一般公共预算551.72万元，占100%，比上年预算减少10.15万元，下降1.81%，主要原因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：2025年公共卫生项目支出预算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由卫健委统一做预算。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上级一般公共预算安排的转移支付资金未安排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政府性基金预算未安排。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上级政府性基金安排的转移支付资金未安排。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国有资本经营预算未安排。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上级国有资本经营预算安排的转移支付资金未安排。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三、关于焉耆回族自治县疾病预防控制中心（卫生监督所）2025年支出预算情况说明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焉耆回族自治县疾病预防控制中心（卫生监督所）2025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年支出预算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551.72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基本支出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551.72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万元，占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%，比上年预算增加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102.17万元，增长22.73%，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主要原因是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2025年焉耆县卫生计生综合监督执法局6人合并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我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项目支出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占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0%，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比上年预算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减少112.32万元，下降100%，主要原因是：2025年公共卫生项目支出预算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由卫健委统一做预算。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四、关于焉耆回族自治县疾病预防控制中心（卫生监督所）2025年财政拨款收支预算情况的总体说明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收入全部为一般公共预算，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政府性基金预算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拨款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和国有资本经营预算。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收入预算包括：一般公共预算拨款551.72万元。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一般公共预算支出包括:社会保障和就业支出89.51万元,主要用于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基本养老保险缴费、机关事业单位职业年金、退休人员工资。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卫生健康支出420.44万元,主要用于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单位在职人员工资、日常办公经费。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住房保障支出41.77万元，主要用于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单位在职人员住房公积金补助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五、关于焉耆回族自治县疾病预防控制中心（卫生监督所）2025年一般公共预算当年拨款情况说明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（一）一般公共预算当年拨款规模变化情况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焉耆回族自治县疾病预防控制中心（卫生监督所）2025年一般公共预算拨款合计551.72万元,其中：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基本支出551.72万元，比上年预算增加102.17万元，增长22.73%，主要原因：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在职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人员工资整体水平提高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社保缴费基数提高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2025年焉耆县卫生计生综合监督执法局6人合并致我中心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项目支出0万元，比上年预算减少112.32万元，下降100%，主要原因是：2025年公共卫生项目支出预算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由卫健委统一做预算。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（二）一般公共预算当年拨款结构情况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社会保障和就业支出（类）89.51万元，占16.22%。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卫生健康支出（类）420.44万元，占76.21%。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住房保障支出（类）41.77万元，占7.57%。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（三）一般公共预算当年拨款具体使用情况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社会保障和就业支出（类）行政事业单位养老支出（款）行政单位离退休(项):2025年预算数为1.56万元，比上年预算增加1.56万元,增长100%,主要原因是：2025年焉耆县卫生计生综合监督执法局6人合并致我中心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社会保障和就业支出（类）行政事业单位养老支出（款）事业单位离退休(项):2025年预算数为4.42万元，比上年预算减少0.33万元,下降6.95%，主要原因是：退休人员绩效奖励金减少。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社会保障和就业支出（类）行政事业单位养老支出（款）机关事业单位基本养老保险缴费支出(项):2025年预算数为55.68万元，比上年预算增加11.73万元，增长26.69%，主要原因是：2025年在职人员社保缴费基数调整。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社会保障和就业支出（类）行政事业单位养老支出（款）机关事业单位职业年金缴费支出(项):2025年预算数为27.85万元，比上年预算增加5.87万元,增长26.71%,主要原因是：2025年在职人员社保缴费基数调整。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卫生健康支出（类）公共卫生（款）疾病预防控制机构(项):2025年预算数为393.35万元，比上年预算增加65.35万元,增长19.92%,主要原因是：2025年焉耆县卫生计生综合监督执法局6人合并致我中心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卫生健康支出（类）行政事业单位医疗（款）公务员医疗补助缴费(项):2025年预算数为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1.94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万元，比上年预算增加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1.94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万元,增长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%,主要原因是：2025年焉耆县卫生计生综合监督执法局6人合并致我中心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卫生健康支出（类）行政事业单位医疗（款）事业单位医疗(项):2025年预算数为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25.15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万元，比上年预算增加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5.92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万元,增长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30.79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%,主要原因是：2025年焉耆县卫生计生综合监督执法局6人合并致我中心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住房保障支出（类）住房改革支出（款）住房公积金(项):2025年预算数为41.77万元，比上年预算增加10.13万元,增长32.02%,主要原因是：2025年在职人员社保缴费基数调整。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卫生健康支出（类）公共卫生（款）疾病预防控制机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构（项）：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年预算数为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万元，比上年预算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下降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，主要原因是：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基本公共卫生服务专项经费拨款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由卫健委统一做预算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10.卫生健康支出（类）公共卫生（款）疾病预防控制机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构（项）：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年预算数为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万元，比上年预算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99.32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下降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，主要原因是：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减少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重大传染病防控补助资金专项经费拨款。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六、关于焉耆回族自治县疾病预防控制中心（卫生监督所）2025年一般公共预算基本支出情况说明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焉耆回族自治县疾病预防控制中心（卫生监督所）2025年一般公共预算基本支出551.72万元，其中：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人员经费532.34万元，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包括:基本工资、津贴补贴、机关事业单位基本养老保险缴费、职业年金缴费、职工基本医疗保险缴费、公务员医疗补助缴费、其他社会保障缴费、住房公积金、退休费。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公用经费19.38万元，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包括:办公费、印刷费、水费、电费、邮电费、取暖费、工会经费、福利费、公务用车运行维护费。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七、关于焉耆回族自治县疾病预防控制中心（卫生监督所）2025年一般公共预算项目支出情况说明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焉耆回族自治县疾病预防控制中心（卫生监督所）2025年没有使用一般公共预算项目支出，一般公共预算项目支出情况表为空表。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八、关于焉耆回族自治县疾病预防控制中心（卫生监督所）2025年政府性基金预算支出情况</w:t>
      </w:r>
      <w:r>
        <w:rPr>
          <w:rFonts w:hint="eastAsia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焉耆回族自治县疾病预防控制中心（卫生监督所）2025年没有使用政府性基金预算拨款安排的支出，政府性基金预算支出情况表为空表。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九、关于焉耆回族自治县疾病预防控制中心（卫生监督所）2025年国有资本经营预算拨款情况说明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焉耆回族自治县疾病预防控制中心（卫生监督所）2025年没有使用国有资本经营预算拨款安排的支出，国有资本经营预算支出情况表为空表。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十、关于焉耆回族自治县疾病预防控制中心（卫生监督所）2025年财政拨款“三公”经费预算情况说明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焉耆回族自治县疾病预防控制中心（卫生监督所）2025年财政拨款“三公”经费数为2.5万元，其中：因公出国（境）费0万元,公务用车购置费0万元,公务用车运行维护费2.5万元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公务接待费0万元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2025年财政拨款“三公”经费比上年增加1.2万元，增长92.31%,其中：因公出国（境）费增加0万元，增长0%,主要原因是：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 w:color="auto"/>
          <w:lang w:val="en-US" w:eastAsia="zh-CN" w:bidi="ar-SA"/>
        </w:rPr>
        <w:t>未安排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预算；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公务用车购置费增加0万元，增长0%,主要原因是：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 w:color="auto"/>
          <w:lang w:val="en-US" w:eastAsia="zh-CN" w:bidi="ar-SA"/>
        </w:rPr>
        <w:t>未安排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预算；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公务用车运行维护费增加1.2万元，增长92.31%,主要原因是：2025年焉耆县卫生计生综合监督执法局合并致我中心，增加公务用车数量。公务接待费增加0万元，增长0%,主要原因是：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 w:color="auto"/>
          <w:lang w:val="en-US" w:eastAsia="zh-CN" w:bidi="ar-SA"/>
        </w:rPr>
        <w:t>未安排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预算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Hans"/>
        </w:rPr>
        <w:t>十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</w:rPr>
        <w:t>、关于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焉耆回族自治县疾病预防控制中心（卫生监督所）2025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上年结转结余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</w:rPr>
        <w:t>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焉耆回族自治县疾病预防控制中心（卫生监督所）2025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没有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上年结转结余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预算的支出，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上年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结转结余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情况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明细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表为空表。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Hans"/>
        </w:rPr>
        <w:t>十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运行经费情况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焉耆回族自治县疾病预防控制中心（卫生监督所）2025年的事业单位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运行经费财政拨款预算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19.38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比上年预算增加1.54万元，增长8.63%。主要原因是：2025年焉耆县卫生计生综合监督执法局合并致我中心，增加公务用车数量。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（二）政府采购情况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2025年，焉耆回族自治县疾病预防控制中心（卫生监督所）政府采购预算7.04万元，其中：政府采购货物预算3.44  万元，政府采购工程预算0万元，政府采购服务预算3.6万元。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2025年，焉耆回族自治县疾病预防控制中心（卫生监督所）面向中小企业预留政府采购项目预算金额4.2万元，小微企业预留政府采购项目预算金额2.84万元。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（三）国有资产占用使用情况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截至2024年底，焉耆回族自治县疾病预防控制中心（卫生监督所）及下属各预算单位占用使用国有资产总体情况为：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房屋380平方米，价值553.75万元。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车辆18辆，价值327.55万元。其中：一般公务用车1辆，价值18.18万元，执法执勤用车2辆，价值33.57万元，其他用车15辆，价值275.8万元，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办公家具价值30.60万元。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其他资产价值2857.36万元。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单位价值50万元以上大型设备0台，单位价值100万元以上大型设备0台。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2025年单位预算未安排购置车辆经费,安排购置50万元以上大型设备0台，单位价值100万元以上大型设备0台。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/>
        </w:rPr>
        <w:t>（四）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预算绩效情况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预算绩效管理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整体预算绩效目标1个，涉及预算金额551.72万元；当年预算安排项目共0个，其中: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Hans"/>
        </w:rPr>
        <w:t>财政拨款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涉及预算金额0万元；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Hans"/>
        </w:rPr>
        <w:t>非财政拨款项目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涉及预算金额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万元。具体情况见下表（按项目分别填报）：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tbl>
      <w:tblPr>
        <w:tblStyle w:val="9"/>
        <w:tblpPr w:leftFromText="180" w:rightFromText="180" w:vertAnchor="text" w:horzAnchor="page" w:tblpXSpec="center" w:tblpY="-1043"/>
        <w:tblOverlap w:val="never"/>
        <w:tblW w:w="9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367"/>
        <w:gridCol w:w="1657"/>
        <w:gridCol w:w="1271"/>
        <w:gridCol w:w="2114"/>
        <w:gridCol w:w="1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单位整体绩效目标表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焉耆回族自治县疾病预防控制中心（卫生监督所）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宁惠琴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联系电话: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18999015123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6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完成全县医疗机构公共卫生技术指导工作、全县的传染病监测、疫情直报、国家免疫规划、结核病、艾滋病防治、做到为全县人民身体健康提供预防保障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免费向焉耆县居民提供基本公共卫生服务。焉耆县常住人口均可免费享受国家基本公共卫生服务规范（第三版）所列的基本公共卫生服务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其中,以乡镇（社区）为单位适龄儿童国家免疫规划疫苗接种率大于等于98%。医疗卫生服务能力更加高效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全县肺结核病原学阳性率大于等于60%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艾滋病感染者和病人随访CD4检测率大于95%,在册严重精神障碍患者管理率大于等于80%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实施预防接种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负责预防用生物制品的使用和管理、向社会提供相关预防保健信息、健康咨询和预防医学诊疗等专业技术服务。进一步推进疾控系统改革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突出重点、狠抓落实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持续提升传染病监测预警、风险评估、流行病学调查、检验检测、应急处置和医疗救治等疾控六项核心能力。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4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年度预算（万元）</w:t>
            </w: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3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资金总额（万元）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4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财政资金（万元）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上级安排</w:t>
            </w:r>
          </w:p>
        </w:tc>
        <w:tc>
          <w:tcPr>
            <w:tcW w:w="3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4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本级安排</w:t>
            </w:r>
          </w:p>
        </w:tc>
        <w:tc>
          <w:tcPr>
            <w:tcW w:w="3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4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其他资金（万元）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3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指标值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指标设定依据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分值权重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适龄儿童免疫规划疫苗接种率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&gt;=9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2025年自治州疾病预防控制工作要点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肺结核病原学阳性率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&gt;=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2025年自治州疾病预防控制工作要点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艾滋病感染者和病人随访CD4检测率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2025年自治州疾病预防控制工作要点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在册严重精神障碍患者管理率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&gt;=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2025年自治州疾病预防控制工作要点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  <w:highlight w:val="none"/>
        </w:rPr>
        <w:t>（五）其他需说明的事项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本单位无其他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说明的事项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第四部分  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一、财政拨款：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指由一般公共预算、政府性基金预算、国有资本经营预算安排的财政拨款数。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二、一般公共预算：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包括公共财政拨款（补助）资金、专项收入。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三、财政专户管理资金：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包括专户管理行政事业性收费（主要是教育收费）、其他非税收入。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四、其他资金：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包括事业收入、事业经营收入、其他收入等。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五、基本支出：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包括人员经费、公用经费（定额）。其中，人员经费包括工资福利支出、对个人和家庭的补助。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六、项目支出：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单位支出预算的组成部分，是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单位为完成其特定的行政任务或事业发展目标，在基本支出预算之外编制的年度项目支出计划。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七、“三公”经费：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因公出国（境）费、公务用车购置及运行维护费和公务接待费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其中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因公出国（境）费反映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机关和参公事业单位公务出国（境）的国际旅费、国外城市间交通费、住宿费、伙食费、培训费、公杂费等支出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公务用车购置反映机关和参公事业单位公务用车购置支出（含车辆购置税、牌照费）；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公务用车运行维护费反映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机关和参公事业单位按规定保留的公务用车燃料费、新能源汽车充电费、维修费、过桥过路费、保险费、安全奖励费用等支出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；公务接待费反映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机关和参公事业单位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按规定开支的各类公务接待（含外宾接待）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费用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八、机关运行经费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：指行政单位（含参照公务员法管理事业单位）的公用经费，包括办公及印刷费、邮电费、差旅费、会议费、福利费、日常维修费、专用材料及一般设备购置费、办公用房水电费、办公用房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</w:rPr>
        <w:t>取暖费、办公用房物业管理费、公务用车运行维护费及其他费用。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焉耆回族自治县疾病预防控制中心（卫生监督所）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2025年2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日</w: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13 -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13 -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13 -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13 -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_x0000_s00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0018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XW5UtAAAAAFAQAA&#10;DwAAAAAAAAABACAAAAAiAAAAZHJzL2Rvd25yZXYueG1sUEsBAhQAFAAAAAgAh07iQIg/J6zoAQAA&#10;9QMAAA4AAAAAAAAAAQAgAAAAHw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YmRmZTlkODBlYWI2MWEzOGMyNWRlOTFmY2QzMTQifQ=="/>
  </w:docVars>
  <w:rsids>
    <w:rsidRoot w:val="00000000"/>
    <w:rsid w:val="00B7626A"/>
    <w:rsid w:val="02242BB0"/>
    <w:rsid w:val="04B072B0"/>
    <w:rsid w:val="06654109"/>
    <w:rsid w:val="068C1BCC"/>
    <w:rsid w:val="073A0A18"/>
    <w:rsid w:val="07FA759B"/>
    <w:rsid w:val="080F2E8C"/>
    <w:rsid w:val="081822F2"/>
    <w:rsid w:val="08F10AC6"/>
    <w:rsid w:val="09C21E9E"/>
    <w:rsid w:val="0B7A6217"/>
    <w:rsid w:val="0D205C9B"/>
    <w:rsid w:val="0D675E9B"/>
    <w:rsid w:val="0DC774EC"/>
    <w:rsid w:val="0ECB02DF"/>
    <w:rsid w:val="0F737B6A"/>
    <w:rsid w:val="0FC278CD"/>
    <w:rsid w:val="11CC5F81"/>
    <w:rsid w:val="122016C7"/>
    <w:rsid w:val="126D3EFF"/>
    <w:rsid w:val="13AA1FF4"/>
    <w:rsid w:val="13F1457A"/>
    <w:rsid w:val="14B72ACD"/>
    <w:rsid w:val="15B03058"/>
    <w:rsid w:val="15D2599E"/>
    <w:rsid w:val="168F09B5"/>
    <w:rsid w:val="17251393"/>
    <w:rsid w:val="184E035E"/>
    <w:rsid w:val="19350662"/>
    <w:rsid w:val="1BB77F39"/>
    <w:rsid w:val="1CBB0396"/>
    <w:rsid w:val="1D007F7F"/>
    <w:rsid w:val="1D5B2ED4"/>
    <w:rsid w:val="1E0E1DFD"/>
    <w:rsid w:val="1E546D43"/>
    <w:rsid w:val="1EA26D15"/>
    <w:rsid w:val="1ECF57F9"/>
    <w:rsid w:val="21442B0E"/>
    <w:rsid w:val="2293153C"/>
    <w:rsid w:val="22CC283A"/>
    <w:rsid w:val="22E60A55"/>
    <w:rsid w:val="250F637E"/>
    <w:rsid w:val="256112EA"/>
    <w:rsid w:val="27322F6C"/>
    <w:rsid w:val="27C41C21"/>
    <w:rsid w:val="29E139E0"/>
    <w:rsid w:val="2A2644D2"/>
    <w:rsid w:val="2A406425"/>
    <w:rsid w:val="2AF26A19"/>
    <w:rsid w:val="2B616767"/>
    <w:rsid w:val="2D2A2029"/>
    <w:rsid w:val="2D4100AA"/>
    <w:rsid w:val="2DDF23D1"/>
    <w:rsid w:val="2F9B43E0"/>
    <w:rsid w:val="30211D35"/>
    <w:rsid w:val="302D7F8D"/>
    <w:rsid w:val="303C7DC8"/>
    <w:rsid w:val="30971908"/>
    <w:rsid w:val="31B47A26"/>
    <w:rsid w:val="31FF2426"/>
    <w:rsid w:val="32554319"/>
    <w:rsid w:val="337579F8"/>
    <w:rsid w:val="344B307B"/>
    <w:rsid w:val="352C1CA4"/>
    <w:rsid w:val="352D1052"/>
    <w:rsid w:val="361B2DA4"/>
    <w:rsid w:val="3786535A"/>
    <w:rsid w:val="382F4D84"/>
    <w:rsid w:val="397016C8"/>
    <w:rsid w:val="398D4E8F"/>
    <w:rsid w:val="3B19695E"/>
    <w:rsid w:val="3E167F91"/>
    <w:rsid w:val="3E4D544C"/>
    <w:rsid w:val="3ED16EDC"/>
    <w:rsid w:val="3F58442B"/>
    <w:rsid w:val="41F551D9"/>
    <w:rsid w:val="41FC1009"/>
    <w:rsid w:val="42BB7ABB"/>
    <w:rsid w:val="42C8388E"/>
    <w:rsid w:val="43971D6B"/>
    <w:rsid w:val="43FF387D"/>
    <w:rsid w:val="441564F3"/>
    <w:rsid w:val="453115CA"/>
    <w:rsid w:val="457078B5"/>
    <w:rsid w:val="47BC4E08"/>
    <w:rsid w:val="47F06442"/>
    <w:rsid w:val="484D7177"/>
    <w:rsid w:val="48720403"/>
    <w:rsid w:val="4929239E"/>
    <w:rsid w:val="494A29C4"/>
    <w:rsid w:val="4B4E55B5"/>
    <w:rsid w:val="4C48123B"/>
    <w:rsid w:val="4C6444E2"/>
    <w:rsid w:val="4C8B77A4"/>
    <w:rsid w:val="4D1E65B6"/>
    <w:rsid w:val="4E82647C"/>
    <w:rsid w:val="4EA06E6E"/>
    <w:rsid w:val="5164772A"/>
    <w:rsid w:val="51A125DF"/>
    <w:rsid w:val="527B5537"/>
    <w:rsid w:val="528B53AC"/>
    <w:rsid w:val="52E8068D"/>
    <w:rsid w:val="535D0CB2"/>
    <w:rsid w:val="54800C83"/>
    <w:rsid w:val="55301358"/>
    <w:rsid w:val="572B47DC"/>
    <w:rsid w:val="587C77AE"/>
    <w:rsid w:val="58C620E9"/>
    <w:rsid w:val="5A1B773D"/>
    <w:rsid w:val="5A926547"/>
    <w:rsid w:val="5B377F90"/>
    <w:rsid w:val="5D993D18"/>
    <w:rsid w:val="5DF75DFA"/>
    <w:rsid w:val="5ED831A6"/>
    <w:rsid w:val="5FEE7DB7"/>
    <w:rsid w:val="61632933"/>
    <w:rsid w:val="619F447A"/>
    <w:rsid w:val="62372EB0"/>
    <w:rsid w:val="628147F4"/>
    <w:rsid w:val="631C2E8B"/>
    <w:rsid w:val="64943672"/>
    <w:rsid w:val="667F0AC8"/>
    <w:rsid w:val="67B37B1F"/>
    <w:rsid w:val="68AD0E80"/>
    <w:rsid w:val="696A6604"/>
    <w:rsid w:val="69920303"/>
    <w:rsid w:val="6B531332"/>
    <w:rsid w:val="6BDE12B5"/>
    <w:rsid w:val="6C5D7905"/>
    <w:rsid w:val="6C9F0DF8"/>
    <w:rsid w:val="6CC73306"/>
    <w:rsid w:val="6F601603"/>
    <w:rsid w:val="6FF84083"/>
    <w:rsid w:val="70103D6A"/>
    <w:rsid w:val="703F674F"/>
    <w:rsid w:val="719B247C"/>
    <w:rsid w:val="7221650E"/>
    <w:rsid w:val="7400690E"/>
    <w:rsid w:val="74506EF5"/>
    <w:rsid w:val="74C76BD8"/>
    <w:rsid w:val="7540488A"/>
    <w:rsid w:val="756961B0"/>
    <w:rsid w:val="75BD734C"/>
    <w:rsid w:val="761872BA"/>
    <w:rsid w:val="77FD5EF7"/>
    <w:rsid w:val="78760E87"/>
    <w:rsid w:val="7AC01737"/>
    <w:rsid w:val="7BDF01BF"/>
    <w:rsid w:val="7CCC6C66"/>
    <w:rsid w:val="7D362302"/>
    <w:rsid w:val="7DA360BD"/>
    <w:rsid w:val="7DEA1415"/>
    <w:rsid w:val="7E855C5B"/>
    <w:rsid w:val="7F1F769B"/>
    <w:rsid w:val="7FEC51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2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5">
    <w:name w:val="表格文字"/>
    <w:basedOn w:val="11"/>
    <w:qFormat/>
    <w:uiPriority w:val="0"/>
    <w:rPr>
      <w:rFonts w:ascii="Calibri" w:hAnsi="Calibri" w:eastAsia="仿宋_GB231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7F1BA76700A04C6DA077E64EC2EDFE18_13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6249</Words>
  <Characters>6321</Characters>
  <Lines>0</Lines>
  <Paragraphs>0</Paragraphs>
  <TotalTime>3</TotalTime>
  <ScaleCrop>false</ScaleCrop>
  <LinksUpToDate>false</LinksUpToDate>
  <CharactersWithSpaces>6351</CharactersWithSpaces>
  <Application>WPS Office_11.8.2.10154_F1E327BC-269C-435d-A152-05C5408002CA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GXR</dc:creator>
  <cp:lastModifiedBy>Administrator</cp:lastModifiedBy>
  <cp:lastPrinted>2024-07-22T11:58:00Z</cp:lastPrinted>
  <dcterms:modified xsi:type="dcterms:W3CDTF">2025-02-18T11:07:17Z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b3cf29-436c-4fe3-9204-87bb2ff97ee3}">
  <ds:schemaRefs/>
</ds:datastoreItem>
</file>

<file path=customXml/itemProps3.xml><?xml version="1.0" encoding="utf-8"?>
<ds:datastoreItem xmlns:ds="http://schemas.openxmlformats.org/officeDocument/2006/customXml" ds:itemID="{b16c375f-df9f-422b-b8a8-9025ee8f487f}">
  <ds:schemaRefs/>
</ds:datastoreItem>
</file>

<file path=customXml/itemProps4.xml><?xml version="1.0" encoding="utf-8"?>
<ds:datastoreItem xmlns:ds="http://schemas.openxmlformats.org/officeDocument/2006/customXml" ds:itemID="{963bf168-5a07-463d-bbef-376675f6f7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6249</Words>
  <Characters>6321</Characters>
  <Lines>1</Lines>
  <Paragraphs>1</Paragraphs>
  <TotalTime>10</TotalTime>
  <ScaleCrop>false</ScaleCrop>
  <LinksUpToDate>false</LinksUpToDate>
  <CharactersWithSpaces>6351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GXR</dc:creator>
  <cp:lastModifiedBy>Administrator</cp:lastModifiedBy>
  <cp:lastPrinted>2025-04-23T09:18:00Z</cp:lastPrinted>
  <dcterms:modified xsi:type="dcterms:W3CDTF">2025-04-28T09:25:38Z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