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焉耆回族自治县查汗采开乡中心学校</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一、关于焉耆回族自治县查汗采开乡中心学校2025年收支预算情况的总体说明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二、关于焉耆回族自治县查汗采开乡中心学校2025年收入预算情况说明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三、关于焉耆回族自治县查汗采开乡中心学校2025年支出预算情况说明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四、关于焉耆回族自治县查汗采开乡中心学校2025年财政拨款收支预算情况的总体说明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五、关于焉耆回族自治县查汗采开乡中心学校2025年一般公共预算当年拨款情况说明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六、关于焉耆回族自治县查汗采开乡中心学校2025年一般公共预算基本支出情况说明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七、关于焉耆回族自治县查汗采开乡中心学校2025年一般公共预算项目支出情况说明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八、关于焉耆回族自治县查汗采开乡中心学校2025年政府性基金预算拨款情况说明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九、关于焉耆回族自治县查汗采开乡中心学校2025年国有资本经营预算拨款情况说明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十、关于焉耆回族自治县查汗采开乡中心学校2025年财政拨款“三公”经费预算情况说明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十一、关于焉耆回族自治县查汗采开乡中心学校2025年上年结转结余预算情况说明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1.全面贯彻落实党和国家方针、政策、法律、法规，按照国家教育教学标准，不断提高教学质量。</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2.制定学校发展规划和学年、学期工作计划，并组织实施。建立、健全安全制度和应急机制，消除安全隐患。</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3.负责执行国家规定的课程计划和教学大纲。遵循教学规律组织教学，积极开展教学改革，建立和完善教学管理制度，搞好教学常规管理，努力提高教学质量。</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4.组织教职工政治学习，教育理论和专业文化知识学习，开展教职工业务培训，优化教师队伍结构、提高教职工综合素质。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5.发挥学校教育的主导作用，努力促进学校教育、家庭教育、社会教育的协调一致，形成“三结合”教育网络。培养学生在德、智、体、美等方面的全面发展。</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6.搞好校园文化建设，优化育人环境，抓好学校治安保卫工作，维护学校和教职工的合法权益。</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7.遵照国家有关规定收取费用并公开收费项目。依法管理和使用学校设施和经费。</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8.完成主管部门交办的其他工作。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焉耆回族自治县查汗采开乡中心学校无下属预算单位，下设5个处室，分别是：教研处、教务处、德育处、总务处、党政办。</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焉耆回族自治县查汗采开乡中心学校编制数75，实有人数98人，其中：在职75人，减少2人；退休23人，减少1人；离休0人，增加0人。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br w:type="page"/>
      </w: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焉耆回族自治县查汗采开乡中心学校</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0"/>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1330.4</w:t>
            </w:r>
            <w:r>
              <w:rPr>
                <w:rFonts w:hint="eastAsia" w:ascii="Times New Roman" w:hAnsi="Times New Roman" w:eastAsia="仿宋_GB2312" w:cs="Times New Roman"/>
                <w:color w:val="auto"/>
                <w:kern w:val="0"/>
                <w:sz w:val="20"/>
                <w:szCs w:val="20"/>
                <w:highlight w:val="none"/>
                <w:lang w:val="en-US" w:eastAsia="zh-CN"/>
              </w:rPr>
              <w:t>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1310.1</w:t>
            </w:r>
            <w:r>
              <w:rPr>
                <w:rFonts w:hint="eastAsia" w:ascii="Times New Roman" w:hAnsi="Times New Roman" w:eastAsia="仿宋_GB2312" w:cs="Times New Roman"/>
                <w:color w:val="auto"/>
                <w:kern w:val="0"/>
                <w:sz w:val="20"/>
                <w:szCs w:val="20"/>
                <w:highlight w:val="none"/>
                <w:lang w:val="en-US" w:eastAsia="zh-CN"/>
              </w:rPr>
              <w:t>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1310.1</w:t>
            </w:r>
            <w:r>
              <w:rPr>
                <w:rFonts w:hint="eastAsia" w:ascii="Times New Roman" w:hAnsi="Times New Roman" w:eastAsia="仿宋_GB2312" w:cs="Times New Roman"/>
                <w:color w:val="auto"/>
                <w:kern w:val="0"/>
                <w:sz w:val="20"/>
                <w:szCs w:val="20"/>
                <w:highlight w:val="none"/>
                <w:lang w:val="en-US" w:eastAsia="zh-CN"/>
              </w:rPr>
              <w:t>1</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eastAsia="zh-CN"/>
              </w:rPr>
            </w:pPr>
            <w:r>
              <w:rPr>
                <w:rFonts w:hint="default" w:ascii="Times New Roman" w:hAnsi="Times New Roman" w:eastAsia="仿宋_GB2312" w:cs="Times New Roman"/>
                <w:color w:val="auto"/>
                <w:kern w:val="0"/>
                <w:sz w:val="20"/>
                <w:szCs w:val="20"/>
                <w:highlight w:val="none"/>
              </w:rPr>
              <w:t>1330.4</w:t>
            </w:r>
            <w:r>
              <w:rPr>
                <w:rFonts w:hint="default" w:ascii="Times New Roman" w:hAnsi="Times New Roman" w:eastAsia="仿宋_GB2312" w:cs="Times New Roman"/>
                <w:color w:val="auto"/>
                <w:kern w:val="0"/>
                <w:sz w:val="20"/>
                <w:szCs w:val="20"/>
                <w:highlight w:val="none"/>
                <w:lang w:val="en-US" w:eastAsia="zh-CN"/>
              </w:rPr>
              <w:t>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20.3</w:t>
            </w:r>
            <w:r>
              <w:rPr>
                <w:rFonts w:hint="default" w:ascii="Times New Roman" w:hAnsi="Times New Roman" w:eastAsia="仿宋_GB2312" w:cs="Times New Roman"/>
                <w:color w:val="auto"/>
                <w:kern w:val="0"/>
                <w:sz w:val="20"/>
                <w:szCs w:val="20"/>
                <w:highlight w:val="none"/>
                <w:lang w:val="en-US" w:eastAsia="zh-CN"/>
              </w:rPr>
              <w:t>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20.3</w:t>
            </w:r>
            <w:r>
              <w:rPr>
                <w:rFonts w:hint="default" w:ascii="Times New Roman" w:hAnsi="Times New Roman" w:eastAsia="仿宋_GB2312" w:cs="Times New Roman"/>
                <w:color w:val="auto"/>
                <w:kern w:val="0"/>
                <w:sz w:val="20"/>
                <w:szCs w:val="20"/>
                <w:highlight w:val="none"/>
                <w:lang w:val="en-US" w:eastAsia="zh-CN"/>
              </w:rPr>
              <w:t>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rPr>
              <w:t>1330.4</w:t>
            </w:r>
            <w:r>
              <w:rPr>
                <w:rFonts w:hint="default" w:ascii="Times New Roman" w:hAnsi="Times New Roman" w:eastAsia="仿宋_GB2312" w:cs="Times New Roman"/>
                <w:b w:val="0"/>
                <w:bCs w:val="0"/>
                <w:color w:val="auto"/>
                <w:kern w:val="0"/>
                <w:sz w:val="20"/>
                <w:szCs w:val="20"/>
                <w:highlight w:val="none"/>
                <w:lang w:val="en-US" w:eastAsia="zh-CN"/>
              </w:rPr>
              <w:t>1</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eastAsia="zh-CN"/>
              </w:rPr>
            </w:pPr>
            <w:r>
              <w:rPr>
                <w:rFonts w:hint="default" w:ascii="Times New Roman" w:hAnsi="Times New Roman" w:eastAsia="仿宋_GB2312" w:cs="Times New Roman"/>
                <w:b w:val="0"/>
                <w:bCs w:val="0"/>
                <w:color w:val="auto"/>
                <w:kern w:val="0"/>
                <w:sz w:val="20"/>
                <w:szCs w:val="20"/>
                <w:highlight w:val="none"/>
              </w:rPr>
              <w:t>1330.4</w:t>
            </w:r>
            <w:r>
              <w:rPr>
                <w:rFonts w:hint="default" w:ascii="Times New Roman" w:hAnsi="Times New Roman" w:eastAsia="仿宋_GB2312" w:cs="Times New Roman"/>
                <w:b w:val="0"/>
                <w:bCs w:val="0"/>
                <w:color w:val="auto"/>
                <w:kern w:val="0"/>
                <w:sz w:val="20"/>
                <w:szCs w:val="20"/>
                <w:highlight w:val="none"/>
                <w:lang w:val="en-US" w:eastAsia="zh-CN"/>
              </w:rPr>
              <w:t>1</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bCs w:val="0"/>
          <w:color w:val="auto"/>
          <w:kern w:val="0"/>
          <w:sz w:val="32"/>
          <w:szCs w:val="32"/>
          <w:highlight w:val="none"/>
        </w:rPr>
      </w:pPr>
      <w:r>
        <w:rPr>
          <w:rFonts w:hint="default" w:ascii="Times New Roman" w:hAnsi="Times New Roman" w:eastAsia="仿宋_GB2312" w:cs="Times New Roman"/>
          <w:b/>
          <w:bCs w:val="0"/>
          <w:color w:val="auto"/>
          <w:kern w:val="0"/>
          <w:sz w:val="32"/>
          <w:szCs w:val="32"/>
          <w:highlight w:val="none"/>
        </w:rPr>
        <w:t>单位收入总体情况表</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 ：</w:t>
      </w:r>
      <w:r>
        <w:rPr>
          <w:rFonts w:hint="default" w:ascii="Times New Roman" w:hAnsi="Times New Roman" w:eastAsia="仿宋_GB2312" w:cs="Times New Roman"/>
          <w:color w:val="auto"/>
          <w:kern w:val="0"/>
          <w:sz w:val="24"/>
          <w:highlight w:val="none"/>
          <w:lang w:val="en-US" w:eastAsia="zh-CN"/>
        </w:rPr>
        <w:t xml:space="preserve">焉耆回族自治县查汗采开乡中心学校                </w:t>
      </w:r>
      <w:r>
        <w:rPr>
          <w:rFonts w:hint="default" w:ascii="Times New Roman" w:hAnsi="Times New Roman" w:eastAsia="仿宋_GB2312" w:cs="Times New Roman"/>
          <w:color w:val="auto"/>
          <w:kern w:val="0"/>
          <w:sz w:val="24"/>
          <w:highlight w:val="none"/>
        </w:rPr>
        <w:t xml:space="preserve">单位：万元                                            </w:t>
      </w:r>
    </w:p>
    <w:tbl>
      <w:tblPr>
        <w:tblStyle w:val="10"/>
        <w:tblpPr w:leftFromText="180" w:rightFromText="180" w:vertAnchor="text" w:horzAnchor="page" w:tblpX="1066" w:tblpY="325"/>
        <w:tblOverlap w:val="never"/>
        <w:tblW w:w="10539" w:type="dxa"/>
        <w:tblInd w:w="0" w:type="dxa"/>
        <w:tblLayout w:type="fixed"/>
        <w:tblCellMar>
          <w:top w:w="0" w:type="dxa"/>
          <w:left w:w="108" w:type="dxa"/>
          <w:bottom w:w="0" w:type="dxa"/>
          <w:right w:w="108" w:type="dxa"/>
        </w:tblCellMar>
      </w:tblPr>
      <w:tblGrid>
        <w:gridCol w:w="564"/>
        <w:gridCol w:w="540"/>
        <w:gridCol w:w="435"/>
        <w:gridCol w:w="945"/>
        <w:gridCol w:w="960"/>
        <w:gridCol w:w="1050"/>
        <w:gridCol w:w="930"/>
        <w:gridCol w:w="722"/>
        <w:gridCol w:w="448"/>
        <w:gridCol w:w="686"/>
        <w:gridCol w:w="386"/>
        <w:gridCol w:w="694"/>
        <w:gridCol w:w="496"/>
        <w:gridCol w:w="768"/>
        <w:gridCol w:w="469"/>
        <w:gridCol w:w="446"/>
      </w:tblGrid>
      <w:tr>
        <w:tblPrEx>
          <w:tblCellMar>
            <w:top w:w="0" w:type="dxa"/>
            <w:left w:w="108" w:type="dxa"/>
            <w:bottom w:w="0" w:type="dxa"/>
            <w:right w:w="108" w:type="dxa"/>
          </w:tblCellMar>
        </w:tblPrEx>
        <w:trPr>
          <w:trHeight w:val="697" w:hRule="atLeast"/>
        </w:trPr>
        <w:tc>
          <w:tcPr>
            <w:tcW w:w="15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94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96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91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9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76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46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4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3077" w:hRule="atLeast"/>
        </w:trPr>
        <w:tc>
          <w:tcPr>
            <w:tcW w:w="564"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54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3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94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6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105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93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72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48"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8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38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9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9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68"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69"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4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750" w:hRule="atLeast"/>
        </w:trPr>
        <w:tc>
          <w:tcPr>
            <w:tcW w:w="564"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205</w:t>
            </w:r>
          </w:p>
        </w:tc>
        <w:tc>
          <w:tcPr>
            <w:tcW w:w="54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p>
        </w:tc>
        <w:tc>
          <w:tcPr>
            <w:tcW w:w="43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p>
        </w:tc>
        <w:tc>
          <w:tcPr>
            <w:tcW w:w="94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18"/>
                <w:szCs w:val="18"/>
                <w:u w:val="none"/>
                <w:lang w:val="en-US" w:eastAsia="zh-CN" w:bidi="ar-SA"/>
              </w:rPr>
            </w:pPr>
            <w:r>
              <w:rPr>
                <w:rFonts w:hint="default" w:ascii="Times New Roman" w:hAnsi="Times New Roman" w:eastAsia="仿宋_GB2312" w:cs="Times New Roman"/>
                <w:b w:val="0"/>
                <w:bCs w:val="0"/>
                <w:i w:val="0"/>
                <w:iCs w:val="0"/>
                <w:color w:val="000000"/>
                <w:kern w:val="0"/>
                <w:sz w:val="18"/>
                <w:szCs w:val="18"/>
                <w:u w:val="none"/>
                <w:lang w:val="en-US" w:eastAsia="zh-CN" w:bidi="ar"/>
              </w:rPr>
              <w:t>教育支出</w:t>
            </w:r>
          </w:p>
        </w:tc>
        <w:tc>
          <w:tcPr>
            <w:tcW w:w="96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1330.4</w:t>
            </w:r>
            <w:r>
              <w:rPr>
                <w:rFonts w:hint="default" w:ascii="Times New Roman" w:hAnsi="Times New Roman" w:eastAsia="仿宋_GB2312" w:cs="Times New Roman"/>
                <w:b w:val="0"/>
                <w:bCs w:val="0"/>
                <w:color w:val="auto"/>
                <w:kern w:val="0"/>
                <w:sz w:val="20"/>
                <w:szCs w:val="20"/>
                <w:highlight w:val="none"/>
                <w:lang w:val="en-US" w:eastAsia="zh-CN"/>
              </w:rPr>
              <w:t>1</w:t>
            </w:r>
            <w:r>
              <w:rPr>
                <w:rFonts w:hint="default" w:ascii="Times New Roman" w:hAnsi="Times New Roman" w:eastAsia="仿宋_GB2312" w:cs="Times New Roman"/>
                <w:b w:val="0"/>
                <w:bCs w:val="0"/>
                <w:color w:val="auto"/>
                <w:sz w:val="20"/>
                <w:szCs w:val="20"/>
                <w:highlight w:val="none"/>
              </w:rPr>
              <w:t>　</w:t>
            </w:r>
          </w:p>
        </w:tc>
        <w:tc>
          <w:tcPr>
            <w:tcW w:w="105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1310.1</w:t>
            </w:r>
            <w:r>
              <w:rPr>
                <w:rFonts w:hint="default" w:ascii="Times New Roman" w:hAnsi="Times New Roman" w:eastAsia="仿宋_GB2312" w:cs="Times New Roman"/>
                <w:b w:val="0"/>
                <w:bCs w:val="0"/>
                <w:color w:val="auto"/>
                <w:sz w:val="20"/>
                <w:szCs w:val="20"/>
                <w:highlight w:val="none"/>
                <w:lang w:val="en-US" w:eastAsia="zh-CN"/>
              </w:rPr>
              <w:t>1</w:t>
            </w:r>
            <w:r>
              <w:rPr>
                <w:rFonts w:hint="default" w:ascii="Times New Roman" w:hAnsi="Times New Roman" w:eastAsia="仿宋_GB2312" w:cs="Times New Roman"/>
                <w:b w:val="0"/>
                <w:bCs w:val="0"/>
                <w:color w:val="auto"/>
                <w:sz w:val="20"/>
                <w:szCs w:val="20"/>
                <w:highlight w:val="none"/>
              </w:rPr>
              <w:t>　　</w:t>
            </w:r>
          </w:p>
        </w:tc>
        <w:tc>
          <w:tcPr>
            <w:tcW w:w="93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1310.1</w:t>
            </w:r>
            <w:r>
              <w:rPr>
                <w:rFonts w:hint="default" w:ascii="Times New Roman" w:hAnsi="Times New Roman" w:eastAsia="仿宋_GB2312" w:cs="Times New Roman"/>
                <w:b w:val="0"/>
                <w:bCs w:val="0"/>
                <w:color w:val="auto"/>
                <w:sz w:val="20"/>
                <w:szCs w:val="20"/>
                <w:highlight w:val="none"/>
                <w:lang w:val="en-US" w:eastAsia="zh-CN"/>
              </w:rPr>
              <w:t>1</w:t>
            </w:r>
            <w:r>
              <w:rPr>
                <w:rFonts w:hint="default" w:ascii="Times New Roman" w:hAnsi="Times New Roman" w:eastAsia="仿宋_GB2312" w:cs="Times New Roman"/>
                <w:b w:val="0"/>
                <w:bCs w:val="0"/>
                <w:color w:val="auto"/>
                <w:sz w:val="20"/>
                <w:szCs w:val="20"/>
                <w:highlight w:val="none"/>
              </w:rPr>
              <w:t>　</w:t>
            </w:r>
          </w:p>
        </w:tc>
        <w:tc>
          <w:tcPr>
            <w:tcW w:w="72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68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38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69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49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p>
        </w:tc>
        <w:tc>
          <w:tcPr>
            <w:tcW w:w="768"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20.3</w:t>
            </w:r>
            <w:r>
              <w:rPr>
                <w:rFonts w:hint="default" w:ascii="Times New Roman" w:hAnsi="Times New Roman" w:eastAsia="仿宋_GB2312" w:cs="Times New Roman"/>
                <w:color w:val="auto"/>
                <w:sz w:val="20"/>
                <w:szCs w:val="20"/>
                <w:highlight w:val="none"/>
                <w:lang w:val="en-US" w:eastAsia="zh-CN"/>
              </w:rPr>
              <w:t>0</w:t>
            </w:r>
          </w:p>
        </w:tc>
        <w:tc>
          <w:tcPr>
            <w:tcW w:w="469"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4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652" w:hRule="atLeast"/>
        </w:trPr>
        <w:tc>
          <w:tcPr>
            <w:tcW w:w="5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205</w:t>
            </w:r>
          </w:p>
        </w:tc>
        <w:tc>
          <w:tcPr>
            <w:tcW w:w="54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02</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18"/>
                <w:szCs w:val="18"/>
                <w:u w:val="none"/>
                <w:lang w:val="en-US" w:eastAsia="zh-CN" w:bidi="ar-SA"/>
              </w:rPr>
            </w:pPr>
            <w:r>
              <w:rPr>
                <w:rFonts w:hint="default" w:ascii="Times New Roman" w:hAnsi="Times New Roman" w:eastAsia="仿宋_GB2312" w:cs="Times New Roman"/>
                <w:b w:val="0"/>
                <w:bCs w:val="0"/>
                <w:i w:val="0"/>
                <w:iCs w:val="0"/>
                <w:color w:val="000000"/>
                <w:kern w:val="0"/>
                <w:sz w:val="18"/>
                <w:szCs w:val="18"/>
                <w:u w:val="none"/>
                <w:lang w:val="en-US" w:eastAsia="zh-CN" w:bidi="ar"/>
              </w:rPr>
              <w:t>普通教育</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1330.4</w:t>
            </w:r>
            <w:r>
              <w:rPr>
                <w:rFonts w:hint="default" w:ascii="Times New Roman" w:hAnsi="Times New Roman" w:eastAsia="仿宋_GB2312" w:cs="Times New Roman"/>
                <w:b w:val="0"/>
                <w:bCs w:val="0"/>
                <w:color w:val="auto"/>
                <w:kern w:val="0"/>
                <w:sz w:val="20"/>
                <w:szCs w:val="20"/>
                <w:highlight w:val="none"/>
                <w:lang w:val="en-US" w:eastAsia="zh-CN"/>
              </w:rPr>
              <w:t>1</w:t>
            </w:r>
            <w:r>
              <w:rPr>
                <w:rFonts w:hint="default" w:ascii="Times New Roman" w:hAnsi="Times New Roman" w:eastAsia="仿宋_GB2312" w:cs="Times New Roman"/>
                <w:b w:val="0"/>
                <w:bCs w:val="0"/>
                <w:color w:val="auto"/>
                <w:sz w:val="20"/>
                <w:szCs w:val="20"/>
                <w:highlight w:val="none"/>
              </w:rPr>
              <w:t>　</w:t>
            </w:r>
          </w:p>
        </w:tc>
        <w:tc>
          <w:tcPr>
            <w:tcW w:w="10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1310.1</w:t>
            </w:r>
            <w:r>
              <w:rPr>
                <w:rFonts w:hint="default" w:ascii="Times New Roman" w:hAnsi="Times New Roman" w:eastAsia="仿宋_GB2312" w:cs="Times New Roman"/>
                <w:b w:val="0"/>
                <w:bCs w:val="0"/>
                <w:color w:val="auto"/>
                <w:sz w:val="20"/>
                <w:szCs w:val="20"/>
                <w:highlight w:val="none"/>
                <w:lang w:val="en-US" w:eastAsia="zh-CN"/>
              </w:rPr>
              <w:t>1</w:t>
            </w:r>
            <w:r>
              <w:rPr>
                <w:rFonts w:hint="default" w:ascii="Times New Roman" w:hAnsi="Times New Roman" w:eastAsia="仿宋_GB2312" w:cs="Times New Roman"/>
                <w:b w:val="0"/>
                <w:bCs w:val="0"/>
                <w:color w:val="auto"/>
                <w:sz w:val="20"/>
                <w:szCs w:val="20"/>
                <w:highlight w:val="none"/>
              </w:rPr>
              <w:t>　　</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1310.1</w:t>
            </w:r>
            <w:r>
              <w:rPr>
                <w:rFonts w:hint="default" w:ascii="Times New Roman" w:hAnsi="Times New Roman" w:eastAsia="仿宋_GB2312" w:cs="Times New Roman"/>
                <w:b w:val="0"/>
                <w:bCs w:val="0"/>
                <w:color w:val="auto"/>
                <w:sz w:val="20"/>
                <w:szCs w:val="20"/>
                <w:highlight w:val="none"/>
                <w:lang w:val="en-US" w:eastAsia="zh-CN"/>
              </w:rPr>
              <w:t>1</w:t>
            </w:r>
            <w:r>
              <w:rPr>
                <w:rFonts w:hint="default" w:ascii="Times New Roman" w:hAnsi="Times New Roman" w:eastAsia="仿宋_GB2312" w:cs="Times New Roman"/>
                <w:b w:val="0"/>
                <w:bCs w:val="0"/>
                <w:color w:val="auto"/>
                <w:sz w:val="20"/>
                <w:szCs w:val="20"/>
                <w:highlight w:val="none"/>
              </w:rPr>
              <w:t>　</w:t>
            </w:r>
          </w:p>
        </w:tc>
        <w:tc>
          <w:tcPr>
            <w:tcW w:w="72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6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3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4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p>
        </w:tc>
        <w:tc>
          <w:tcPr>
            <w:tcW w:w="76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20.3</w:t>
            </w:r>
            <w:r>
              <w:rPr>
                <w:rFonts w:hint="default" w:ascii="Times New Roman" w:hAnsi="Times New Roman" w:eastAsia="仿宋_GB2312" w:cs="Times New Roman"/>
                <w:color w:val="auto"/>
                <w:sz w:val="20"/>
                <w:szCs w:val="20"/>
                <w:highlight w:val="none"/>
                <w:lang w:val="en-US" w:eastAsia="zh-CN"/>
              </w:rPr>
              <w:t>0</w:t>
            </w:r>
          </w:p>
        </w:tc>
        <w:tc>
          <w:tcPr>
            <w:tcW w:w="46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638" w:hRule="atLeast"/>
        </w:trPr>
        <w:tc>
          <w:tcPr>
            <w:tcW w:w="564"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205</w:t>
            </w:r>
          </w:p>
        </w:tc>
        <w:tc>
          <w:tcPr>
            <w:tcW w:w="54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02</w:t>
            </w:r>
          </w:p>
        </w:tc>
        <w:tc>
          <w:tcPr>
            <w:tcW w:w="435"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02</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18"/>
                <w:szCs w:val="18"/>
                <w:u w:val="none"/>
                <w:lang w:val="en-US" w:eastAsia="zh-CN" w:bidi="ar-SA"/>
              </w:rPr>
            </w:pPr>
            <w:r>
              <w:rPr>
                <w:rFonts w:hint="default" w:ascii="Times New Roman" w:hAnsi="Times New Roman" w:eastAsia="仿宋_GB2312" w:cs="Times New Roman"/>
                <w:b w:val="0"/>
                <w:bCs w:val="0"/>
                <w:i w:val="0"/>
                <w:iCs w:val="0"/>
                <w:color w:val="000000"/>
                <w:kern w:val="0"/>
                <w:sz w:val="18"/>
                <w:szCs w:val="18"/>
                <w:u w:val="none"/>
                <w:lang w:val="en-US" w:eastAsia="zh-CN" w:bidi="ar"/>
              </w:rPr>
              <w:t>小学教育</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1330.4</w:t>
            </w:r>
            <w:r>
              <w:rPr>
                <w:rFonts w:hint="default" w:ascii="Times New Roman" w:hAnsi="Times New Roman" w:eastAsia="仿宋_GB2312" w:cs="Times New Roman"/>
                <w:b w:val="0"/>
                <w:bCs w:val="0"/>
                <w:color w:val="auto"/>
                <w:kern w:val="0"/>
                <w:sz w:val="20"/>
                <w:szCs w:val="20"/>
                <w:highlight w:val="none"/>
                <w:lang w:val="en-US" w:eastAsia="zh-CN"/>
              </w:rPr>
              <w:t>1</w:t>
            </w:r>
            <w:r>
              <w:rPr>
                <w:rFonts w:hint="default" w:ascii="Times New Roman" w:hAnsi="Times New Roman" w:eastAsia="仿宋_GB2312" w:cs="Times New Roman"/>
                <w:b w:val="0"/>
                <w:bCs w:val="0"/>
                <w:color w:val="auto"/>
                <w:sz w:val="20"/>
                <w:szCs w:val="20"/>
                <w:highlight w:val="none"/>
              </w:rPr>
              <w:t>　</w:t>
            </w:r>
          </w:p>
        </w:tc>
        <w:tc>
          <w:tcPr>
            <w:tcW w:w="10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1310.1</w:t>
            </w:r>
            <w:r>
              <w:rPr>
                <w:rFonts w:hint="default" w:ascii="Times New Roman" w:hAnsi="Times New Roman" w:eastAsia="仿宋_GB2312" w:cs="Times New Roman"/>
                <w:b w:val="0"/>
                <w:bCs w:val="0"/>
                <w:color w:val="auto"/>
                <w:sz w:val="20"/>
                <w:szCs w:val="20"/>
                <w:highlight w:val="none"/>
                <w:lang w:val="en-US" w:eastAsia="zh-CN"/>
              </w:rPr>
              <w:t>1</w:t>
            </w:r>
            <w:r>
              <w:rPr>
                <w:rFonts w:hint="default" w:ascii="Times New Roman" w:hAnsi="Times New Roman" w:eastAsia="仿宋_GB2312" w:cs="Times New Roman"/>
                <w:b w:val="0"/>
                <w:bCs w:val="0"/>
                <w:color w:val="auto"/>
                <w:sz w:val="20"/>
                <w:szCs w:val="20"/>
                <w:highlight w:val="none"/>
              </w:rPr>
              <w:t>　　</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1310.1</w:t>
            </w:r>
            <w:r>
              <w:rPr>
                <w:rFonts w:hint="default" w:ascii="Times New Roman" w:hAnsi="Times New Roman" w:eastAsia="仿宋_GB2312" w:cs="Times New Roman"/>
                <w:b w:val="0"/>
                <w:bCs w:val="0"/>
                <w:color w:val="auto"/>
                <w:sz w:val="20"/>
                <w:szCs w:val="20"/>
                <w:highlight w:val="none"/>
                <w:lang w:val="en-US" w:eastAsia="zh-CN"/>
              </w:rPr>
              <w:t>1</w:t>
            </w:r>
            <w:r>
              <w:rPr>
                <w:rFonts w:hint="default" w:ascii="Times New Roman" w:hAnsi="Times New Roman" w:eastAsia="仿宋_GB2312" w:cs="Times New Roman"/>
                <w:b w:val="0"/>
                <w:bCs w:val="0"/>
                <w:color w:val="auto"/>
                <w:sz w:val="20"/>
                <w:szCs w:val="20"/>
                <w:highlight w:val="none"/>
              </w:rPr>
              <w:t>　</w:t>
            </w:r>
          </w:p>
        </w:tc>
        <w:tc>
          <w:tcPr>
            <w:tcW w:w="72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6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3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4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p>
        </w:tc>
        <w:tc>
          <w:tcPr>
            <w:tcW w:w="76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20.3</w:t>
            </w:r>
            <w:r>
              <w:rPr>
                <w:rFonts w:hint="default" w:ascii="Times New Roman" w:hAnsi="Times New Roman" w:eastAsia="仿宋_GB2312" w:cs="Times New Roman"/>
                <w:color w:val="auto"/>
                <w:sz w:val="20"/>
                <w:szCs w:val="20"/>
                <w:highlight w:val="none"/>
                <w:lang w:val="en-US" w:eastAsia="zh-CN"/>
              </w:rPr>
              <w:t>0</w:t>
            </w:r>
          </w:p>
        </w:tc>
        <w:tc>
          <w:tcPr>
            <w:tcW w:w="46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5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10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9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72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6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3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r>
              <w:rPr>
                <w:rFonts w:hint="default" w:ascii="Times New Roman" w:hAnsi="Times New Roman" w:eastAsia="仿宋_GB2312" w:cs="Times New Roman"/>
                <w:b w:val="0"/>
                <w:bCs w:val="0"/>
                <w:color w:val="auto"/>
                <w:sz w:val="20"/>
                <w:szCs w:val="20"/>
                <w:highlight w:val="none"/>
              </w:rPr>
              <w:t>　</w:t>
            </w:r>
          </w:p>
        </w:tc>
        <w:tc>
          <w:tcPr>
            <w:tcW w:w="4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20"/>
                <w:szCs w:val="20"/>
                <w:highlight w:val="none"/>
              </w:rPr>
            </w:pPr>
          </w:p>
        </w:tc>
        <w:tc>
          <w:tcPr>
            <w:tcW w:w="76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46" w:hRule="atLeast"/>
        </w:trPr>
        <w:tc>
          <w:tcPr>
            <w:tcW w:w="56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0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72" w:hRule="atLeast"/>
        </w:trPr>
        <w:tc>
          <w:tcPr>
            <w:tcW w:w="56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0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512" w:hRule="atLeast"/>
        </w:trPr>
        <w:tc>
          <w:tcPr>
            <w:tcW w:w="56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0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72" w:hRule="atLeast"/>
        </w:trPr>
        <w:tc>
          <w:tcPr>
            <w:tcW w:w="56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0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19" w:hRule="atLeast"/>
        </w:trPr>
        <w:tc>
          <w:tcPr>
            <w:tcW w:w="56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0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85" w:hRule="atLeast"/>
        </w:trPr>
        <w:tc>
          <w:tcPr>
            <w:tcW w:w="56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0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85" w:hRule="atLeast"/>
        </w:trPr>
        <w:tc>
          <w:tcPr>
            <w:tcW w:w="56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0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3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22"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8"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bCs/>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96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1330.4</w:t>
            </w:r>
            <w:r>
              <w:rPr>
                <w:rFonts w:hint="default" w:ascii="Times New Roman" w:hAnsi="Times New Roman" w:eastAsia="仿宋_GB2312" w:cs="Times New Roman"/>
                <w:b w:val="0"/>
                <w:bCs w:val="0"/>
                <w:color w:val="auto"/>
                <w:kern w:val="0"/>
                <w:sz w:val="20"/>
                <w:szCs w:val="20"/>
                <w:highlight w:val="none"/>
                <w:lang w:val="en-US" w:eastAsia="zh-CN"/>
              </w:rPr>
              <w:t>1</w:t>
            </w:r>
            <w:r>
              <w:rPr>
                <w:rFonts w:hint="default" w:ascii="Times New Roman" w:hAnsi="Times New Roman" w:eastAsia="仿宋_GB2312" w:cs="Times New Roman"/>
                <w:b w:val="0"/>
                <w:bCs w:val="0"/>
                <w:color w:val="auto"/>
                <w:sz w:val="20"/>
                <w:szCs w:val="20"/>
                <w:highlight w:val="none"/>
              </w:rPr>
              <w:t>　</w:t>
            </w:r>
          </w:p>
        </w:tc>
        <w:tc>
          <w:tcPr>
            <w:tcW w:w="10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1310.1</w:t>
            </w:r>
            <w:r>
              <w:rPr>
                <w:rFonts w:hint="default" w:ascii="Times New Roman" w:hAnsi="Times New Roman" w:eastAsia="仿宋_GB2312" w:cs="Times New Roman"/>
                <w:b w:val="0"/>
                <w:bCs w:val="0"/>
                <w:color w:val="auto"/>
                <w:sz w:val="20"/>
                <w:szCs w:val="20"/>
                <w:highlight w:val="none"/>
                <w:lang w:val="en-US" w:eastAsia="zh-CN"/>
              </w:rPr>
              <w:t>1</w:t>
            </w:r>
            <w:r>
              <w:rPr>
                <w:rFonts w:hint="default" w:ascii="Times New Roman" w:hAnsi="Times New Roman" w:eastAsia="仿宋_GB2312" w:cs="Times New Roman"/>
                <w:b w:val="0"/>
                <w:bCs w:val="0"/>
                <w:color w:val="auto"/>
                <w:sz w:val="20"/>
                <w:szCs w:val="20"/>
                <w:highlight w:val="none"/>
              </w:rPr>
              <w:t>　　</w:t>
            </w:r>
          </w:p>
        </w:tc>
        <w:tc>
          <w:tcPr>
            <w:tcW w:w="93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1310.1</w:t>
            </w:r>
            <w:r>
              <w:rPr>
                <w:rFonts w:hint="default" w:ascii="Times New Roman" w:hAnsi="Times New Roman" w:eastAsia="仿宋_GB2312" w:cs="Times New Roman"/>
                <w:b w:val="0"/>
                <w:bCs w:val="0"/>
                <w:color w:val="auto"/>
                <w:sz w:val="20"/>
                <w:szCs w:val="20"/>
                <w:highlight w:val="none"/>
                <w:lang w:val="en-US" w:eastAsia="zh-CN"/>
              </w:rPr>
              <w:t>1</w:t>
            </w:r>
            <w:r>
              <w:rPr>
                <w:rFonts w:hint="default" w:ascii="Times New Roman" w:hAnsi="Times New Roman" w:eastAsia="仿宋_GB2312" w:cs="Times New Roman"/>
                <w:b w:val="0"/>
                <w:bCs w:val="0"/>
                <w:color w:val="auto"/>
                <w:sz w:val="20"/>
                <w:szCs w:val="20"/>
                <w:highlight w:val="none"/>
              </w:rPr>
              <w:t>　</w:t>
            </w:r>
          </w:p>
        </w:tc>
        <w:tc>
          <w:tcPr>
            <w:tcW w:w="72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p>
        </w:tc>
        <w:tc>
          <w:tcPr>
            <w:tcW w:w="44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6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38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69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　</w:t>
            </w:r>
          </w:p>
        </w:tc>
        <w:tc>
          <w:tcPr>
            <w:tcW w:w="49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p>
        </w:tc>
        <w:tc>
          <w:tcPr>
            <w:tcW w:w="76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20.3</w:t>
            </w:r>
          </w:p>
        </w:tc>
        <w:tc>
          <w:tcPr>
            <w:tcW w:w="469"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4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焉耆回族自治县查汗采开乡中心学校</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单位：万元                                       </w:t>
      </w:r>
    </w:p>
    <w:tbl>
      <w:tblPr>
        <w:tblStyle w:val="10"/>
        <w:tblW w:w="9420" w:type="dxa"/>
        <w:tblInd w:w="-240" w:type="dxa"/>
        <w:tblLayout w:type="fixed"/>
        <w:tblCellMar>
          <w:top w:w="0" w:type="dxa"/>
          <w:left w:w="108" w:type="dxa"/>
          <w:bottom w:w="0" w:type="dxa"/>
          <w:right w:w="108" w:type="dxa"/>
        </w:tblCellMar>
      </w:tblPr>
      <w:tblGrid>
        <w:gridCol w:w="533"/>
        <w:gridCol w:w="428"/>
        <w:gridCol w:w="428"/>
        <w:gridCol w:w="2530"/>
        <w:gridCol w:w="1820"/>
        <w:gridCol w:w="1821"/>
        <w:gridCol w:w="1860"/>
      </w:tblGrid>
      <w:tr>
        <w:tblPrEx>
          <w:tblCellMar>
            <w:top w:w="0" w:type="dxa"/>
            <w:left w:w="108" w:type="dxa"/>
            <w:bottom w:w="0" w:type="dxa"/>
            <w:right w:w="108" w:type="dxa"/>
          </w:tblCellMar>
        </w:tblPrEx>
        <w:trPr>
          <w:trHeight w:val="328" w:hRule="atLeast"/>
        </w:trPr>
        <w:tc>
          <w:tcPr>
            <w:tcW w:w="391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501"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8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3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82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6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3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6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205</w:t>
            </w: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p>
        </w:tc>
        <w:tc>
          <w:tcPr>
            <w:tcW w:w="253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2"/>
                <w:sz w:val="12"/>
                <w:szCs w:val="12"/>
                <w:u w:val="none"/>
                <w:lang w:val="en-US" w:eastAsia="zh-CN" w:bidi="ar-SA"/>
              </w:rPr>
            </w:pPr>
            <w:r>
              <w:rPr>
                <w:rFonts w:hint="default" w:ascii="Times New Roman" w:hAnsi="Times New Roman" w:eastAsia="仿宋_GB2312" w:cs="Times New Roman"/>
                <w:b w:val="0"/>
                <w:bCs w:val="0"/>
                <w:i w:val="0"/>
                <w:iCs w:val="0"/>
                <w:color w:val="000000"/>
                <w:kern w:val="0"/>
                <w:sz w:val="18"/>
                <w:szCs w:val="18"/>
                <w:u w:val="none"/>
                <w:lang w:val="en-US" w:eastAsia="zh-CN" w:bidi="ar"/>
              </w:rPr>
              <w:t>教育支出</w:t>
            </w: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1330.4</w:t>
            </w:r>
            <w:r>
              <w:rPr>
                <w:rFonts w:hint="default" w:ascii="Times New Roman" w:hAnsi="Times New Roman" w:eastAsia="仿宋_GB2312" w:cs="Times New Roman"/>
                <w:b w:val="0"/>
                <w:bCs w:val="0"/>
                <w:color w:val="auto"/>
                <w:kern w:val="0"/>
                <w:sz w:val="20"/>
                <w:szCs w:val="20"/>
                <w:highlight w:val="none"/>
                <w:lang w:val="en-US" w:eastAsia="zh-CN"/>
              </w:rPr>
              <w:t>1</w:t>
            </w: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1330.4</w:t>
            </w:r>
            <w:r>
              <w:rPr>
                <w:rFonts w:hint="default" w:ascii="Times New Roman" w:hAnsi="Times New Roman" w:eastAsia="仿宋_GB2312" w:cs="Times New Roman"/>
                <w:b w:val="0"/>
                <w:bCs w:val="0"/>
                <w:color w:val="auto"/>
                <w:kern w:val="0"/>
                <w:sz w:val="20"/>
                <w:szCs w:val="20"/>
                <w:highlight w:val="none"/>
                <w:lang w:val="en-US" w:eastAsia="zh-CN"/>
              </w:rPr>
              <w:t>1</w:t>
            </w:r>
            <w:r>
              <w:rPr>
                <w:rFonts w:hint="default" w:ascii="Times New Roman" w:hAnsi="Times New Roman" w:eastAsia="仿宋_GB2312" w:cs="Times New Roman"/>
                <w:b w:val="0"/>
                <w:bCs w:val="0"/>
                <w:color w:val="auto"/>
                <w:kern w:val="0"/>
                <w:sz w:val="22"/>
                <w:szCs w:val="22"/>
                <w:highlight w:val="none"/>
              </w:rPr>
              <w:t>　</w:t>
            </w: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lang w:val="en-US" w:eastAsia="zh-CN"/>
              </w:rPr>
            </w:pPr>
          </w:p>
        </w:tc>
      </w:tr>
      <w:tr>
        <w:tblPrEx>
          <w:tblCellMar>
            <w:top w:w="0" w:type="dxa"/>
            <w:left w:w="108" w:type="dxa"/>
            <w:bottom w:w="0" w:type="dxa"/>
            <w:right w:w="108" w:type="dxa"/>
          </w:tblCellMar>
        </w:tblPrEx>
        <w:trPr>
          <w:trHeight w:val="472"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205</w:t>
            </w: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02</w:t>
            </w: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p>
        </w:tc>
        <w:tc>
          <w:tcPr>
            <w:tcW w:w="253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2"/>
                <w:sz w:val="12"/>
                <w:szCs w:val="12"/>
                <w:u w:val="none"/>
                <w:lang w:val="en-US" w:eastAsia="zh-CN" w:bidi="ar-SA"/>
              </w:rPr>
            </w:pPr>
            <w:r>
              <w:rPr>
                <w:rFonts w:hint="default" w:ascii="Times New Roman" w:hAnsi="Times New Roman" w:eastAsia="仿宋_GB2312" w:cs="Times New Roman"/>
                <w:b w:val="0"/>
                <w:bCs w:val="0"/>
                <w:i w:val="0"/>
                <w:iCs w:val="0"/>
                <w:color w:val="000000"/>
                <w:kern w:val="0"/>
                <w:sz w:val="18"/>
                <w:szCs w:val="18"/>
                <w:u w:val="none"/>
                <w:lang w:val="en-US" w:eastAsia="zh-CN" w:bidi="ar"/>
              </w:rPr>
              <w:t>普通教育</w:t>
            </w: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1330.4</w:t>
            </w:r>
            <w:r>
              <w:rPr>
                <w:rFonts w:hint="default" w:ascii="Times New Roman" w:hAnsi="Times New Roman" w:eastAsia="仿宋_GB2312" w:cs="Times New Roman"/>
                <w:b w:val="0"/>
                <w:bCs w:val="0"/>
                <w:color w:val="auto"/>
                <w:kern w:val="0"/>
                <w:sz w:val="20"/>
                <w:szCs w:val="20"/>
                <w:highlight w:val="none"/>
                <w:lang w:val="en-US" w:eastAsia="zh-CN"/>
              </w:rPr>
              <w:t>1</w:t>
            </w: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1330.4</w:t>
            </w:r>
            <w:r>
              <w:rPr>
                <w:rFonts w:hint="default" w:ascii="Times New Roman" w:hAnsi="Times New Roman" w:eastAsia="仿宋_GB2312" w:cs="Times New Roman"/>
                <w:b w:val="0"/>
                <w:bCs w:val="0"/>
                <w:color w:val="auto"/>
                <w:kern w:val="0"/>
                <w:sz w:val="20"/>
                <w:szCs w:val="20"/>
                <w:highlight w:val="none"/>
                <w:lang w:val="en-US" w:eastAsia="zh-CN"/>
              </w:rPr>
              <w:t>1</w:t>
            </w:r>
            <w:r>
              <w:rPr>
                <w:rFonts w:hint="default" w:ascii="Times New Roman" w:hAnsi="Times New Roman" w:eastAsia="仿宋_GB2312" w:cs="Times New Roman"/>
                <w:b w:val="0"/>
                <w:bCs w:val="0"/>
                <w:color w:val="auto"/>
                <w:sz w:val="20"/>
                <w:szCs w:val="20"/>
                <w:highlight w:val="none"/>
              </w:rPr>
              <w:t>　</w:t>
            </w:r>
            <w:r>
              <w:rPr>
                <w:rFonts w:hint="default" w:ascii="Times New Roman" w:hAnsi="Times New Roman" w:eastAsia="仿宋_GB2312" w:cs="Times New Roman"/>
                <w:b w:val="0"/>
                <w:bCs w:val="0"/>
                <w:color w:val="auto"/>
                <w:kern w:val="0"/>
                <w:sz w:val="22"/>
                <w:szCs w:val="22"/>
                <w:highlight w:val="none"/>
              </w:rPr>
              <w:t>　</w:t>
            </w: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lang w:val="en-US" w:eastAsia="zh-CN"/>
              </w:rPr>
            </w:pPr>
          </w:p>
        </w:tc>
      </w:tr>
      <w:tr>
        <w:tblPrEx>
          <w:tblCellMar>
            <w:top w:w="0" w:type="dxa"/>
            <w:left w:w="108" w:type="dxa"/>
            <w:bottom w:w="0" w:type="dxa"/>
            <w:right w:w="108" w:type="dxa"/>
          </w:tblCellMar>
        </w:tblPrEx>
        <w:trPr>
          <w:trHeight w:val="506"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205</w:t>
            </w: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02</w:t>
            </w:r>
          </w:p>
        </w:tc>
        <w:tc>
          <w:tcPr>
            <w:tcW w:w="42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val="0"/>
                <w:bCs w:val="0"/>
                <w:i w:val="0"/>
                <w:iCs w:val="0"/>
                <w:color w:val="000000"/>
                <w:kern w:val="0"/>
                <w:sz w:val="18"/>
                <w:szCs w:val="18"/>
                <w:u w:val="none"/>
                <w:lang w:val="en-US" w:eastAsia="zh-CN" w:bidi="ar"/>
              </w:rPr>
              <w:t>02</w:t>
            </w:r>
          </w:p>
        </w:tc>
        <w:tc>
          <w:tcPr>
            <w:tcW w:w="253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000000"/>
                <w:kern w:val="2"/>
                <w:sz w:val="12"/>
                <w:szCs w:val="12"/>
                <w:u w:val="none"/>
                <w:lang w:val="en-US" w:eastAsia="zh-CN" w:bidi="ar-SA"/>
              </w:rPr>
            </w:pPr>
            <w:r>
              <w:rPr>
                <w:rFonts w:hint="default" w:ascii="Times New Roman" w:hAnsi="Times New Roman" w:eastAsia="仿宋_GB2312" w:cs="Times New Roman"/>
                <w:b w:val="0"/>
                <w:bCs w:val="0"/>
                <w:i w:val="0"/>
                <w:iCs w:val="0"/>
                <w:color w:val="000000"/>
                <w:kern w:val="0"/>
                <w:sz w:val="18"/>
                <w:szCs w:val="18"/>
                <w:u w:val="none"/>
                <w:lang w:val="en-US" w:eastAsia="zh-CN" w:bidi="ar"/>
              </w:rPr>
              <w:t>小学教育</w:t>
            </w: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1330.4</w:t>
            </w:r>
            <w:r>
              <w:rPr>
                <w:rFonts w:hint="default" w:ascii="Times New Roman" w:hAnsi="Times New Roman" w:eastAsia="仿宋_GB2312" w:cs="Times New Roman"/>
                <w:b w:val="0"/>
                <w:bCs w:val="0"/>
                <w:color w:val="auto"/>
                <w:kern w:val="0"/>
                <w:sz w:val="20"/>
                <w:szCs w:val="20"/>
                <w:highlight w:val="none"/>
                <w:lang w:val="en-US" w:eastAsia="zh-CN"/>
              </w:rPr>
              <w:t>1</w:t>
            </w:r>
            <w:r>
              <w:rPr>
                <w:rFonts w:hint="default" w:ascii="Times New Roman" w:hAnsi="Times New Roman" w:eastAsia="仿宋_GB2312" w:cs="Times New Roman"/>
                <w:b w:val="0"/>
                <w:bCs w:val="0"/>
                <w:color w:val="auto"/>
                <w:kern w:val="0"/>
                <w:sz w:val="22"/>
                <w:szCs w:val="22"/>
                <w:highlight w:val="none"/>
              </w:rPr>
              <w:t>　</w:t>
            </w: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1330.4</w:t>
            </w:r>
            <w:r>
              <w:rPr>
                <w:rFonts w:hint="default" w:ascii="Times New Roman" w:hAnsi="Times New Roman" w:eastAsia="仿宋_GB2312" w:cs="Times New Roman"/>
                <w:b w:val="0"/>
                <w:bCs w:val="0"/>
                <w:color w:val="auto"/>
                <w:kern w:val="0"/>
                <w:sz w:val="20"/>
                <w:szCs w:val="20"/>
                <w:highlight w:val="none"/>
                <w:lang w:val="en-US" w:eastAsia="zh-CN"/>
              </w:rPr>
              <w:t>1</w:t>
            </w:r>
            <w:r>
              <w:rPr>
                <w:rFonts w:hint="default" w:ascii="Times New Roman" w:hAnsi="Times New Roman" w:eastAsia="仿宋_GB2312" w:cs="Times New Roman"/>
                <w:b w:val="0"/>
                <w:bCs w:val="0"/>
                <w:color w:val="auto"/>
                <w:kern w:val="0"/>
                <w:sz w:val="22"/>
                <w:szCs w:val="22"/>
                <w:highlight w:val="none"/>
              </w:rPr>
              <w:t>　</w:t>
            </w: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2"/>
                <w:szCs w:val="22"/>
                <w:highlight w:val="none"/>
                <w:lang w:val="en-US" w:eastAsia="zh-CN"/>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86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42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428"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2530"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b w:val="0"/>
                <w:bCs w:val="0"/>
                <w:color w:val="auto"/>
                <w:highlight w:val="none"/>
              </w:rPr>
            </w:pPr>
          </w:p>
        </w:tc>
        <w:tc>
          <w:tcPr>
            <w:tcW w:w="1820"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b w:val="0"/>
                <w:bCs w:val="0"/>
                <w:color w:val="auto"/>
                <w:highlight w:val="none"/>
              </w:rPr>
            </w:pPr>
          </w:p>
        </w:tc>
        <w:tc>
          <w:tcPr>
            <w:tcW w:w="1821"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b w:val="0"/>
                <w:bCs w:val="0"/>
                <w:color w:val="auto"/>
                <w:highlight w:val="none"/>
              </w:rPr>
            </w:pPr>
          </w:p>
        </w:tc>
        <w:tc>
          <w:tcPr>
            <w:tcW w:w="1860"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b w:val="0"/>
                <w:bCs w:val="0"/>
                <w:color w:val="auto"/>
                <w:highlight w:val="none"/>
              </w:rPr>
            </w:pPr>
          </w:p>
        </w:tc>
      </w:tr>
      <w:tr>
        <w:tblPrEx>
          <w:tblCellMar>
            <w:top w:w="0" w:type="dxa"/>
            <w:left w:w="108" w:type="dxa"/>
            <w:bottom w:w="0" w:type="dxa"/>
            <w:right w:w="108" w:type="dxa"/>
          </w:tblCellMar>
        </w:tblPrEx>
        <w:trPr>
          <w:trHeight w:val="405" w:hRule="atLeast"/>
        </w:trPr>
        <w:tc>
          <w:tcPr>
            <w:tcW w:w="53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2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253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val="0"/>
                <w:bCs w:val="0"/>
                <w:color w:val="auto"/>
                <w:kern w:val="0"/>
                <w:sz w:val="22"/>
                <w:szCs w:val="2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82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宋体" w:cs="Times New Roman"/>
                <w:b w:val="0"/>
                <w:bCs w:val="0"/>
                <w:color w:val="auto"/>
                <w:kern w:val="0"/>
                <w:sz w:val="22"/>
                <w:szCs w:val="22"/>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1330.4</w:t>
            </w:r>
            <w:r>
              <w:rPr>
                <w:rFonts w:hint="default" w:ascii="Times New Roman" w:hAnsi="Times New Roman" w:eastAsia="仿宋_GB2312" w:cs="Times New Roman"/>
                <w:b w:val="0"/>
                <w:bCs w:val="0"/>
                <w:color w:val="auto"/>
                <w:kern w:val="0"/>
                <w:sz w:val="20"/>
                <w:szCs w:val="20"/>
                <w:highlight w:val="none"/>
                <w:lang w:val="en-US" w:eastAsia="zh-CN"/>
              </w:rPr>
              <w:t>1</w:t>
            </w:r>
            <w:r>
              <w:rPr>
                <w:rFonts w:hint="default" w:ascii="Times New Roman" w:hAnsi="Times New Roman" w:cs="Times New Roman"/>
                <w:b w:val="0"/>
                <w:bCs w:val="0"/>
                <w:color w:val="auto"/>
                <w:kern w:val="0"/>
                <w:sz w:val="22"/>
                <w:szCs w:val="22"/>
                <w:highlight w:val="none"/>
              </w:rPr>
              <w:t>　</w:t>
            </w:r>
          </w:p>
        </w:tc>
        <w:tc>
          <w:tcPr>
            <w:tcW w:w="1821"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宋体" w:cs="Times New Roman"/>
                <w:b w:val="0"/>
                <w:bCs w:val="0"/>
                <w:color w:val="auto"/>
                <w:kern w:val="0"/>
                <w:sz w:val="22"/>
                <w:szCs w:val="22"/>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1330.4</w:t>
            </w:r>
            <w:r>
              <w:rPr>
                <w:rFonts w:hint="default" w:ascii="Times New Roman" w:hAnsi="Times New Roman" w:eastAsia="仿宋_GB2312" w:cs="Times New Roman"/>
                <w:b w:val="0"/>
                <w:bCs w:val="0"/>
                <w:color w:val="auto"/>
                <w:kern w:val="0"/>
                <w:sz w:val="20"/>
                <w:szCs w:val="20"/>
                <w:highlight w:val="none"/>
                <w:lang w:val="en-US" w:eastAsia="zh-CN"/>
              </w:rPr>
              <w:t>1</w:t>
            </w:r>
          </w:p>
        </w:tc>
        <w:tc>
          <w:tcPr>
            <w:tcW w:w="1860"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宋体" w:cs="Times New Roman"/>
                <w:b w:val="0"/>
                <w:bCs w:val="0"/>
                <w:color w:val="auto"/>
                <w:kern w:val="0"/>
                <w:sz w:val="22"/>
                <w:szCs w:val="22"/>
                <w:highlight w:val="none"/>
                <w:lang w:val="en-US" w:eastAsia="zh-CN" w:bidi="ar-SA"/>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line="280" w:lineRule="exact"/>
        <w:jc w:val="lef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w:t>
      </w:r>
      <w:r>
        <w:rPr>
          <w:rFonts w:hint="default" w:ascii="Times New Roman" w:hAnsi="Times New Roman" w:eastAsia="仿宋_GB2312" w:cs="Times New Roman"/>
          <w:color w:val="auto"/>
          <w:kern w:val="0"/>
          <w:sz w:val="24"/>
          <w:highlight w:val="none"/>
        </w:rPr>
        <w:t>制单位：</w:t>
      </w:r>
      <w:r>
        <w:rPr>
          <w:rFonts w:hint="default" w:ascii="Times New Roman" w:hAnsi="Times New Roman" w:eastAsia="仿宋_GB2312" w:cs="Times New Roman"/>
          <w:color w:val="auto"/>
          <w:kern w:val="0"/>
          <w:sz w:val="24"/>
          <w:highlight w:val="none"/>
          <w:lang w:val="en-US" w:eastAsia="zh-CN"/>
        </w:rPr>
        <w:t>焉耆回族自治县查汗采开乡中心学校</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单位：万元                                  </w:t>
      </w:r>
    </w:p>
    <w:tbl>
      <w:tblPr>
        <w:tblStyle w:val="10"/>
        <w:tblW w:w="9531" w:type="dxa"/>
        <w:tblInd w:w="-240" w:type="dxa"/>
        <w:tblLayout w:type="fixed"/>
        <w:tblCellMar>
          <w:top w:w="0" w:type="dxa"/>
          <w:left w:w="108" w:type="dxa"/>
          <w:bottom w:w="0" w:type="dxa"/>
          <w:right w:w="108" w:type="dxa"/>
        </w:tblCellMar>
      </w:tblPr>
      <w:tblGrid>
        <w:gridCol w:w="1935"/>
        <w:gridCol w:w="916"/>
        <w:gridCol w:w="2579"/>
        <w:gridCol w:w="1162"/>
        <w:gridCol w:w="1133"/>
        <w:gridCol w:w="820"/>
        <w:gridCol w:w="986"/>
      </w:tblGrid>
      <w:tr>
        <w:tblPrEx>
          <w:tblCellMar>
            <w:top w:w="0" w:type="dxa"/>
            <w:left w:w="108" w:type="dxa"/>
            <w:bottom w:w="0" w:type="dxa"/>
            <w:right w:w="108" w:type="dxa"/>
          </w:tblCellMar>
        </w:tblPrEx>
        <w:trPr>
          <w:trHeight w:val="285" w:hRule="atLeast"/>
        </w:trPr>
        <w:tc>
          <w:tcPr>
            <w:tcW w:w="2851"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680"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680" w:hRule="atLeast"/>
        </w:trPr>
        <w:tc>
          <w:tcPr>
            <w:tcW w:w="19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1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98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1310.1</w:t>
            </w:r>
            <w:r>
              <w:rPr>
                <w:rFonts w:hint="default" w:ascii="Times New Roman" w:hAnsi="Times New Roman" w:eastAsia="仿宋_GB2312" w:cs="Times New Roman"/>
                <w:color w:val="auto"/>
                <w:sz w:val="20"/>
                <w:szCs w:val="20"/>
                <w:highlight w:val="none"/>
                <w:lang w:val="en-US" w:eastAsia="zh-CN"/>
              </w:rPr>
              <w:t>1</w:t>
            </w:r>
            <w:r>
              <w:rPr>
                <w:rFonts w:hint="default" w:ascii="Times New Roman" w:hAnsi="Times New Roman" w:eastAsia="仿宋_GB2312" w:cs="Times New Roman"/>
                <w:color w:val="auto"/>
                <w:kern w:val="0"/>
                <w:sz w:val="20"/>
                <w:szCs w:val="20"/>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1310.1</w:t>
            </w:r>
            <w:r>
              <w:rPr>
                <w:rFonts w:hint="default" w:ascii="Times New Roman" w:hAnsi="Times New Roman" w:eastAsia="仿宋_GB2312" w:cs="Times New Roman"/>
                <w:color w:val="auto"/>
                <w:sz w:val="20"/>
                <w:szCs w:val="20"/>
                <w:highlight w:val="none"/>
                <w:lang w:val="en-US" w:eastAsia="zh-CN"/>
              </w:rPr>
              <w:t>1</w:t>
            </w:r>
            <w:r>
              <w:rPr>
                <w:rFonts w:hint="default" w:ascii="Times New Roman" w:hAnsi="Times New Roman" w:eastAsia="仿宋_GB2312" w:cs="Times New Roman"/>
                <w:color w:val="auto"/>
                <w:kern w:val="0"/>
                <w:sz w:val="20"/>
                <w:szCs w:val="20"/>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rPr>
              <w:t>1310.1</w:t>
            </w:r>
            <w:r>
              <w:rPr>
                <w:rFonts w:hint="default" w:ascii="Times New Roman" w:hAnsi="Times New Roman" w:cs="Times New Roman"/>
                <w:color w:val="auto"/>
                <w:kern w:val="0"/>
                <w:sz w:val="20"/>
                <w:szCs w:val="20"/>
                <w:highlight w:val="none"/>
                <w:lang w:val="en-US" w:eastAsia="zh-CN"/>
              </w:rPr>
              <w:t>1</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1310.1</w:t>
            </w:r>
            <w:r>
              <w:rPr>
                <w:rFonts w:hint="default" w:ascii="Times New Roman" w:hAnsi="Times New Roman" w:cs="Times New Roman"/>
                <w:color w:val="auto"/>
                <w:kern w:val="0"/>
                <w:sz w:val="20"/>
                <w:szCs w:val="20"/>
                <w:highlight w:val="none"/>
                <w:lang w:val="en-US" w:eastAsia="zh-CN"/>
              </w:rPr>
              <w:t>1</w:t>
            </w: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116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1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sz w:val="20"/>
                <w:szCs w:val="20"/>
                <w:highlight w:val="none"/>
              </w:rPr>
              <w:t>1310.1</w:t>
            </w:r>
            <w:r>
              <w:rPr>
                <w:rFonts w:hint="default" w:ascii="Times New Roman" w:hAnsi="Times New Roman" w:eastAsia="仿宋_GB2312" w:cs="Times New Roman"/>
                <w:color w:val="auto"/>
                <w:sz w:val="20"/>
                <w:szCs w:val="20"/>
                <w:highlight w:val="none"/>
                <w:lang w:val="en-US" w:eastAsia="zh-CN"/>
              </w:rPr>
              <w:t>1</w:t>
            </w:r>
            <w:r>
              <w:rPr>
                <w:rFonts w:hint="default" w:ascii="Times New Roman" w:hAnsi="Times New Roman" w:eastAsia="仿宋_GB2312" w:cs="Times New Roman"/>
                <w:b/>
                <w:bCs/>
                <w:color w:val="auto"/>
                <w:kern w:val="0"/>
                <w:sz w:val="20"/>
                <w:szCs w:val="20"/>
                <w:highlight w:val="none"/>
              </w:rPr>
              <w:t>　</w:t>
            </w:r>
          </w:p>
        </w:tc>
        <w:tc>
          <w:tcPr>
            <w:tcW w:w="2579"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16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1310.1</w:t>
            </w:r>
            <w:r>
              <w:rPr>
                <w:rFonts w:hint="default" w:ascii="Times New Roman" w:hAnsi="Times New Roman" w:cs="Times New Roman"/>
                <w:color w:val="auto"/>
                <w:kern w:val="0"/>
                <w:sz w:val="20"/>
                <w:szCs w:val="20"/>
                <w:highlight w:val="none"/>
                <w:lang w:val="en-US" w:eastAsia="zh-CN"/>
              </w:rPr>
              <w:t>1</w:t>
            </w:r>
          </w:p>
        </w:tc>
        <w:tc>
          <w:tcPr>
            <w:tcW w:w="113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1310.1</w:t>
            </w:r>
            <w:r>
              <w:rPr>
                <w:rFonts w:hint="default" w:ascii="Times New Roman" w:hAnsi="Times New Roman" w:cs="Times New Roman"/>
                <w:color w:val="auto"/>
                <w:kern w:val="0"/>
                <w:sz w:val="20"/>
                <w:szCs w:val="20"/>
                <w:highlight w:val="none"/>
                <w:lang w:val="en-US" w:eastAsia="zh-CN"/>
              </w:rPr>
              <w:t>1</w:t>
            </w:r>
            <w:r>
              <w:rPr>
                <w:rFonts w:hint="default" w:ascii="Times New Roman" w:hAnsi="Times New Roman" w:cs="Times New Roman"/>
                <w:color w:val="auto"/>
                <w:kern w:val="0"/>
                <w:sz w:val="20"/>
                <w:szCs w:val="20"/>
                <w:highlight w:val="none"/>
              </w:rPr>
              <w:t>　</w:t>
            </w:r>
          </w:p>
        </w:tc>
        <w:tc>
          <w:tcPr>
            <w:tcW w:w="8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0"/>
                <w:szCs w:val="20"/>
                <w:highlight w:val="none"/>
              </w:rPr>
            </w:pPr>
          </w:p>
        </w:tc>
        <w:tc>
          <w:tcPr>
            <w:tcW w:w="98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微软雅黑" w:cs="Times New Roman"/>
                <w:i w:val="0"/>
                <w:iCs w:val="0"/>
                <w:color w:val="000000"/>
                <w:kern w:val="0"/>
                <w:sz w:val="18"/>
                <w:szCs w:val="18"/>
                <w:u w:val="none"/>
                <w:lang w:val="en-US" w:eastAsia="zh-CN" w:bidi="ar"/>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fixed"/>
        <w:tblCellMar>
          <w:top w:w="0" w:type="dxa"/>
          <w:left w:w="108" w:type="dxa"/>
          <w:bottom w:w="0" w:type="dxa"/>
          <w:right w:w="108" w:type="dxa"/>
        </w:tblCellMar>
      </w:tblPr>
      <w:tblGrid>
        <w:gridCol w:w="533"/>
        <w:gridCol w:w="499"/>
        <w:gridCol w:w="502"/>
        <w:gridCol w:w="2486"/>
        <w:gridCol w:w="1675"/>
        <w:gridCol w:w="1832"/>
        <w:gridCol w:w="1687"/>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noWrap w:val="0"/>
            <w:vAlign w:val="center"/>
          </w:tcPr>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p>
            <w:pPr>
              <w:widowControl/>
              <w:spacing w:line="280" w:lineRule="exact"/>
              <w:jc w:val="left"/>
              <w:outlineLvl w:val="1"/>
              <w:rPr>
                <w:rFonts w:hint="default" w:ascii="Times New Roman" w:hAnsi="Times New Roman" w:cs="Times New Roman"/>
              </w:rPr>
            </w:pPr>
            <w:r>
              <w:rPr>
                <w:rFonts w:hint="default" w:ascii="Times New Roman" w:hAnsi="Times New Roman" w:eastAsia="仿宋_GB2312" w:cs="Times New Roman"/>
                <w:color w:val="auto"/>
                <w:kern w:val="0"/>
                <w:sz w:val="24"/>
                <w:szCs w:val="24"/>
                <w:highlight w:val="none"/>
              </w:rPr>
              <w:t>编</w:t>
            </w:r>
            <w:r>
              <w:rPr>
                <w:rFonts w:hint="default" w:ascii="Times New Roman" w:hAnsi="Times New Roman" w:eastAsia="仿宋_GB2312" w:cs="Times New Roman"/>
                <w:color w:val="auto"/>
                <w:kern w:val="0"/>
                <w:sz w:val="24"/>
                <w:highlight w:val="none"/>
              </w:rPr>
              <w:t>制单位：</w:t>
            </w:r>
            <w:r>
              <w:rPr>
                <w:rFonts w:hint="default" w:ascii="Times New Roman" w:hAnsi="Times New Roman" w:eastAsia="仿宋_GB2312" w:cs="Times New Roman"/>
                <w:color w:val="auto"/>
                <w:kern w:val="0"/>
                <w:sz w:val="24"/>
                <w:highlight w:val="none"/>
                <w:lang w:val="en-US" w:eastAsia="zh-CN"/>
              </w:rPr>
              <w:t>焉耆回族自治县查汗采开乡中心学校</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单位：万元                                          </w:t>
            </w:r>
          </w:p>
        </w:tc>
      </w:tr>
      <w:tr>
        <w:tblPrEx>
          <w:tblCellMar>
            <w:top w:w="0" w:type="dxa"/>
            <w:left w:w="108" w:type="dxa"/>
            <w:bottom w:w="0" w:type="dxa"/>
            <w:right w:w="108" w:type="dxa"/>
          </w:tblCellMar>
        </w:tblPrEx>
        <w:trPr>
          <w:trHeight w:val="405" w:hRule="atLeast"/>
        </w:trPr>
        <w:tc>
          <w:tcPr>
            <w:tcW w:w="4020"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194"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53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8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7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3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8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8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3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8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205</w:t>
            </w:r>
          </w:p>
        </w:tc>
        <w:tc>
          <w:tcPr>
            <w:tcW w:w="49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50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486"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教育支出</w:t>
            </w:r>
          </w:p>
        </w:tc>
        <w:tc>
          <w:tcPr>
            <w:tcW w:w="16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color w:val="auto"/>
                <w:sz w:val="20"/>
                <w:szCs w:val="20"/>
                <w:highlight w:val="none"/>
              </w:rPr>
              <w:t>1310.1</w:t>
            </w:r>
            <w:r>
              <w:rPr>
                <w:rFonts w:hint="default" w:ascii="Times New Roman" w:hAnsi="Times New Roman" w:eastAsia="仿宋_GB2312" w:cs="Times New Roman"/>
                <w:color w:val="auto"/>
                <w:sz w:val="20"/>
                <w:szCs w:val="20"/>
                <w:highlight w:val="none"/>
                <w:lang w:val="en-US" w:eastAsia="zh-CN"/>
              </w:rPr>
              <w:t>1</w:t>
            </w:r>
          </w:p>
        </w:tc>
        <w:tc>
          <w:tcPr>
            <w:tcW w:w="18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color w:val="auto"/>
                <w:sz w:val="20"/>
                <w:szCs w:val="20"/>
                <w:highlight w:val="none"/>
              </w:rPr>
              <w:t>1310.1</w:t>
            </w:r>
            <w:r>
              <w:rPr>
                <w:rFonts w:hint="default" w:ascii="Times New Roman" w:hAnsi="Times New Roman" w:eastAsia="仿宋_GB2312" w:cs="Times New Roman"/>
                <w:color w:val="auto"/>
                <w:sz w:val="20"/>
                <w:szCs w:val="20"/>
                <w:highlight w:val="none"/>
                <w:lang w:val="en-US" w:eastAsia="zh-CN"/>
              </w:rPr>
              <w:t>1</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205</w:t>
            </w:r>
          </w:p>
        </w:tc>
        <w:tc>
          <w:tcPr>
            <w:tcW w:w="49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50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2486"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普通教育</w:t>
            </w:r>
          </w:p>
        </w:tc>
        <w:tc>
          <w:tcPr>
            <w:tcW w:w="16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1310.1</w:t>
            </w:r>
            <w:r>
              <w:rPr>
                <w:rFonts w:hint="default" w:ascii="Times New Roman" w:hAnsi="Times New Roman" w:eastAsia="仿宋_GB2312" w:cs="Times New Roman"/>
                <w:color w:val="auto"/>
                <w:sz w:val="20"/>
                <w:szCs w:val="20"/>
                <w:highlight w:val="none"/>
                <w:lang w:val="en-US" w:eastAsia="zh-CN"/>
              </w:rPr>
              <w:t>1</w:t>
            </w:r>
          </w:p>
        </w:tc>
        <w:tc>
          <w:tcPr>
            <w:tcW w:w="18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1310.1</w:t>
            </w:r>
            <w:r>
              <w:rPr>
                <w:rFonts w:hint="default" w:ascii="Times New Roman" w:hAnsi="Times New Roman" w:eastAsia="仿宋_GB2312" w:cs="Times New Roman"/>
                <w:color w:val="auto"/>
                <w:sz w:val="20"/>
                <w:szCs w:val="20"/>
                <w:highlight w:val="none"/>
                <w:lang w:val="en-US" w:eastAsia="zh-CN"/>
              </w:rPr>
              <w:t>1</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205</w:t>
            </w:r>
          </w:p>
        </w:tc>
        <w:tc>
          <w:tcPr>
            <w:tcW w:w="499"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50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2486" w:type="dxa"/>
            <w:tcBorders>
              <w:top w:val="nil"/>
              <w:left w:val="nil"/>
              <w:bottom w:val="single" w:color="auto" w:sz="4" w:space="0"/>
              <w:right w:val="single" w:color="auto" w:sz="4" w:space="0"/>
            </w:tcBorders>
            <w:shd w:val="clear" w:color="auto" w:fill="auto"/>
            <w:noWrap w:val="0"/>
            <w:vAlign w:val="center"/>
          </w:tcPr>
          <w:p>
            <w:pPr>
              <w:spacing w:beforeLines="0" w:afterLines="0"/>
              <w:jc w:val="center"/>
              <w:rPr>
                <w:rFonts w:hint="default" w:ascii="Times New Roman" w:hAnsi="Times New Roman" w:eastAsia="仿宋_GB2312" w:cs="Times New Roman"/>
                <w:color w:val="000000"/>
                <w:kern w:val="2"/>
                <w:sz w:val="18"/>
                <w:szCs w:val="24"/>
                <w:lang w:val="en-US" w:eastAsia="zh-CN" w:bidi="ar-SA"/>
              </w:rPr>
            </w:pPr>
            <w:r>
              <w:rPr>
                <w:rFonts w:hint="default" w:ascii="Times New Roman" w:hAnsi="Times New Roman" w:eastAsia="仿宋_GB2312" w:cs="Times New Roman"/>
                <w:color w:val="000000"/>
                <w:sz w:val="18"/>
                <w:szCs w:val="24"/>
              </w:rPr>
              <w:t>小学教育</w:t>
            </w:r>
          </w:p>
        </w:tc>
        <w:tc>
          <w:tcPr>
            <w:tcW w:w="167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1310.1</w:t>
            </w:r>
            <w:r>
              <w:rPr>
                <w:rFonts w:hint="default" w:ascii="Times New Roman" w:hAnsi="Times New Roman" w:eastAsia="仿宋_GB2312" w:cs="Times New Roman"/>
                <w:color w:val="auto"/>
                <w:sz w:val="20"/>
                <w:szCs w:val="20"/>
                <w:highlight w:val="none"/>
                <w:lang w:val="en-US" w:eastAsia="zh-CN"/>
              </w:rPr>
              <w:t>1</w:t>
            </w:r>
          </w:p>
        </w:tc>
        <w:tc>
          <w:tcPr>
            <w:tcW w:w="183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sz w:val="20"/>
                <w:szCs w:val="20"/>
                <w:highlight w:val="none"/>
              </w:rPr>
              <w:t>1310.1</w:t>
            </w:r>
            <w:r>
              <w:rPr>
                <w:rFonts w:hint="default" w:ascii="Times New Roman" w:hAnsi="Times New Roman" w:eastAsia="仿宋_GB2312" w:cs="Times New Roman"/>
                <w:color w:val="auto"/>
                <w:sz w:val="20"/>
                <w:szCs w:val="20"/>
                <w:highlight w:val="none"/>
                <w:lang w:val="en-US" w:eastAsia="zh-CN"/>
              </w:rPr>
              <w:t>1</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8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7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83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533"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8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75"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仿宋_GB2312" w:cs="Times New Roman"/>
                <w:color w:val="auto"/>
                <w:sz w:val="20"/>
                <w:szCs w:val="20"/>
                <w:highlight w:val="none"/>
              </w:rPr>
              <w:t>1310.1</w:t>
            </w:r>
            <w:r>
              <w:rPr>
                <w:rFonts w:hint="default" w:ascii="Times New Roman" w:hAnsi="Times New Roman" w:eastAsia="仿宋_GB2312" w:cs="Times New Roman"/>
                <w:color w:val="auto"/>
                <w:sz w:val="20"/>
                <w:szCs w:val="20"/>
                <w:highlight w:val="none"/>
                <w:lang w:val="en-US" w:eastAsia="zh-CN"/>
              </w:rPr>
              <w:t>1</w:t>
            </w:r>
          </w:p>
        </w:tc>
        <w:tc>
          <w:tcPr>
            <w:tcW w:w="1832"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eastAsia="仿宋_GB2312" w:cs="Times New Roman"/>
                <w:color w:val="auto"/>
                <w:sz w:val="20"/>
                <w:szCs w:val="20"/>
                <w:highlight w:val="none"/>
              </w:rPr>
              <w:t>1310.1</w:t>
            </w:r>
            <w:r>
              <w:rPr>
                <w:rFonts w:hint="default" w:ascii="Times New Roman" w:hAnsi="Times New Roman" w:eastAsia="仿宋_GB2312" w:cs="Times New Roman"/>
                <w:color w:val="auto"/>
                <w:sz w:val="20"/>
                <w:szCs w:val="20"/>
                <w:highlight w:val="none"/>
                <w:lang w:val="en-US" w:eastAsia="zh-CN"/>
              </w:rPr>
              <w:t>1</w:t>
            </w:r>
          </w:p>
        </w:tc>
        <w:tc>
          <w:tcPr>
            <w:tcW w:w="1687"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0"/>
                <w:szCs w:val="20"/>
                <w:highlight w:val="none"/>
                <w:lang w:val="en-US" w:eastAsia="zh-CN" w:bidi="ar-SA"/>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fixed"/>
        <w:tblCellMar>
          <w:top w:w="0" w:type="dxa"/>
          <w:left w:w="108" w:type="dxa"/>
          <w:bottom w:w="0" w:type="dxa"/>
          <w:right w:w="108" w:type="dxa"/>
        </w:tblCellMar>
      </w:tblPr>
      <w:tblGrid>
        <w:gridCol w:w="757"/>
        <w:gridCol w:w="577"/>
        <w:gridCol w:w="2891"/>
        <w:gridCol w:w="1701"/>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p>
            <w:pPr>
              <w:widowControl/>
              <w:spacing w:line="280" w:lineRule="exact"/>
              <w:jc w:val="left"/>
              <w:outlineLvl w:val="1"/>
              <w:rPr>
                <w:rFonts w:hint="default" w:ascii="Times New Roman" w:hAnsi="Times New Roman" w:cs="Times New Roman"/>
              </w:rPr>
            </w:pPr>
            <w:r>
              <w:rPr>
                <w:rFonts w:hint="default" w:ascii="Times New Roman" w:hAnsi="Times New Roman" w:eastAsia="仿宋_GB2312" w:cs="Times New Roman"/>
                <w:color w:val="auto"/>
                <w:kern w:val="0"/>
                <w:sz w:val="24"/>
                <w:szCs w:val="24"/>
                <w:highlight w:val="none"/>
              </w:rPr>
              <w:t>编</w:t>
            </w:r>
            <w:r>
              <w:rPr>
                <w:rFonts w:hint="default" w:ascii="Times New Roman" w:hAnsi="Times New Roman" w:eastAsia="仿宋_GB2312" w:cs="Times New Roman"/>
                <w:color w:val="auto"/>
                <w:kern w:val="0"/>
                <w:sz w:val="24"/>
                <w:highlight w:val="none"/>
              </w:rPr>
              <w:t>制单位：</w:t>
            </w:r>
            <w:r>
              <w:rPr>
                <w:rFonts w:hint="default" w:ascii="Times New Roman" w:hAnsi="Times New Roman" w:eastAsia="仿宋_GB2312" w:cs="Times New Roman"/>
                <w:color w:val="auto"/>
                <w:kern w:val="0"/>
                <w:sz w:val="24"/>
                <w:highlight w:val="none"/>
                <w:lang w:val="en-US" w:eastAsia="zh-CN"/>
              </w:rPr>
              <w:t>焉耆回族自治县查汗采开乡中心学校</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单位：万元                                       </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000000"/>
                <w:sz w:val="18"/>
                <w:szCs w:val="24"/>
              </w:rPr>
              <w:t>301</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lang w:val="en-US" w:eastAsia="zh-CN"/>
              </w:rPr>
            </w:pP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工资福利支出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1294.35</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1294.3</w:t>
            </w:r>
            <w:r>
              <w:rPr>
                <w:rFonts w:hint="eastAsia" w:ascii="Times New Roman" w:hAnsi="Times New Roman" w:eastAsia="仿宋_GB2312" w:cs="Times New Roman"/>
                <w:i w:val="0"/>
                <w:iCs w:val="0"/>
                <w:color w:val="000000"/>
                <w:kern w:val="0"/>
                <w:sz w:val="20"/>
                <w:szCs w:val="20"/>
                <w:u w:val="none"/>
                <w:lang w:val="en-US" w:eastAsia="zh-CN" w:bidi="ar"/>
              </w:rPr>
              <w:t>5</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301</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000000"/>
                <w:sz w:val="18"/>
                <w:szCs w:val="24"/>
              </w:rPr>
              <w:t>01</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基本工资</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453.04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453.04</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301</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02</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津贴补贴</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464.7</w:t>
            </w:r>
            <w:r>
              <w:rPr>
                <w:rFonts w:hint="eastAsia"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i w:val="0"/>
                <w:iCs w:val="0"/>
                <w:color w:val="000000"/>
                <w:kern w:val="0"/>
                <w:sz w:val="20"/>
                <w:szCs w:val="20"/>
                <w:u w:val="none"/>
                <w:lang w:val="en-US" w:eastAsia="zh-CN" w:bidi="ar"/>
              </w:rPr>
              <w:t>464.7</w:t>
            </w:r>
            <w:r>
              <w:rPr>
                <w:rFonts w:hint="eastAsia" w:ascii="Times New Roman" w:hAnsi="Times New Roman" w:eastAsia="仿宋_GB2312" w:cs="Times New Roman"/>
                <w:i w:val="0"/>
                <w:iCs w:val="0"/>
                <w:color w:val="000000"/>
                <w:kern w:val="0"/>
                <w:sz w:val="20"/>
                <w:szCs w:val="20"/>
                <w:u w:val="none"/>
                <w:lang w:val="en-US" w:eastAsia="zh-CN" w:bidi="ar"/>
              </w:rPr>
              <w:t>3</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301</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08</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机关事业单位基本养老保险缴费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137.16</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137.16</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301</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09</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职业年金缴费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68.58</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68.58</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301</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10</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职工基本医疗保险缴费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61.90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61.90</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301</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12</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其他社会保障缴费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6.07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6.07</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301</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13</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住房公积金</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102.87</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102.87</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302</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商品与服务支出</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9.76</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9.77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302</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08</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取暖费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6.45</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6.45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302</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16</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培训费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3.00</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3.00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302</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28</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工会经费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0.17</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0.17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302</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29</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福利费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0.15</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0.15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303</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对个人和家庭补助</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5.99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lang w:val="en-US"/>
              </w:rPr>
            </w:pPr>
            <w:r>
              <w:rPr>
                <w:rFonts w:hint="eastAsia" w:ascii="Times New Roman" w:hAnsi="Times New Roman" w:eastAsia="仿宋_GB2312" w:cs="Times New Roman"/>
                <w:i w:val="0"/>
                <w:iCs w:val="0"/>
                <w:color w:val="000000"/>
                <w:kern w:val="0"/>
                <w:sz w:val="20"/>
                <w:szCs w:val="20"/>
                <w:u w:val="none"/>
                <w:lang w:val="en-US" w:eastAsia="zh-CN" w:bidi="ar"/>
              </w:rPr>
              <w:t>5.99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303</w:t>
            </w:r>
          </w:p>
        </w:tc>
        <w:tc>
          <w:tcPr>
            <w:tcW w:w="577" w:type="dxa"/>
            <w:tcBorders>
              <w:top w:val="nil"/>
              <w:left w:val="nil"/>
              <w:bottom w:val="single" w:color="auto" w:sz="4" w:space="0"/>
              <w:right w:val="single" w:color="auto" w:sz="4" w:space="0"/>
            </w:tcBorders>
            <w:noWrap w:val="0"/>
            <w:vAlign w:val="center"/>
          </w:tcPr>
          <w:p>
            <w:pPr>
              <w:spacing w:beforeLines="0" w:afterLines="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02</w:t>
            </w:r>
          </w:p>
        </w:tc>
        <w:tc>
          <w:tcPr>
            <w:tcW w:w="2891" w:type="dxa"/>
            <w:tcBorders>
              <w:top w:val="nil"/>
              <w:left w:val="nil"/>
              <w:bottom w:val="single" w:color="auto" w:sz="4" w:space="0"/>
              <w:right w:val="single" w:color="auto" w:sz="4" w:space="0"/>
            </w:tcBorders>
            <w:noWrap w:val="0"/>
            <w:vAlign w:val="center"/>
          </w:tcPr>
          <w:p>
            <w:pPr>
              <w:spacing w:beforeLines="0" w:afterLines="0"/>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000000"/>
                <w:sz w:val="18"/>
                <w:szCs w:val="24"/>
              </w:rPr>
              <w:t>退休费</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3.69</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3.69</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05</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生活补助</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2.30</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2.30</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top"/>
          </w:tcPr>
          <w:p>
            <w:pPr>
              <w:spacing w:beforeLines="0" w:afterLines="0"/>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top"/>
          </w:tcPr>
          <w:p>
            <w:pPr>
              <w:spacing w:beforeLines="0" w:afterLines="0"/>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top"/>
          </w:tcPr>
          <w:p>
            <w:pPr>
              <w:spacing w:beforeLines="0" w:afterLines="0"/>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top"/>
          </w:tcPr>
          <w:p>
            <w:pPr>
              <w:spacing w:beforeLines="0" w:afterLines="0"/>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spacing w:beforeLines="0" w:afterLines="0"/>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top"/>
          </w:tcPr>
          <w:p>
            <w:pPr>
              <w:spacing w:beforeLines="0" w:afterLines="0"/>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top"/>
          </w:tcPr>
          <w:p>
            <w:pPr>
              <w:spacing w:beforeLines="0" w:afterLines="0"/>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1310.11</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1300.34</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i w:val="0"/>
                <w:iCs w:val="0"/>
                <w:color w:val="000000"/>
                <w:kern w:val="0"/>
                <w:sz w:val="20"/>
                <w:szCs w:val="20"/>
                <w:u w:val="none"/>
                <w:lang w:val="en-US" w:eastAsia="zh-CN" w:bidi="ar"/>
              </w:rPr>
              <w:t>9.77</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540" w:type="dxa"/>
        <w:tblInd w:w="-360" w:type="dxa"/>
        <w:tblLayout w:type="fixed"/>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618"/>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6"/>
            <w:tcBorders>
              <w:top w:val="nil"/>
              <w:left w:val="nil"/>
              <w:bottom w:val="nil"/>
              <w:right w:val="nil"/>
            </w:tcBorders>
            <w:noWrap w:val="0"/>
            <w:vAlign w:val="center"/>
          </w:tcPr>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p>
            <w:pPr>
              <w:widowControl/>
              <w:spacing w:line="280" w:lineRule="exact"/>
              <w:jc w:val="left"/>
              <w:outlineLvl w:val="1"/>
              <w:rPr>
                <w:rFonts w:hint="default" w:ascii="Times New Roman" w:hAnsi="Times New Roman" w:cs="Times New Roman"/>
              </w:rPr>
            </w:pPr>
            <w:r>
              <w:rPr>
                <w:rFonts w:hint="default" w:ascii="Times New Roman" w:hAnsi="Times New Roman" w:eastAsia="仿宋_GB2312" w:cs="Times New Roman"/>
                <w:color w:val="auto"/>
                <w:kern w:val="0"/>
                <w:sz w:val="24"/>
                <w:szCs w:val="24"/>
                <w:highlight w:val="none"/>
              </w:rPr>
              <w:t>编</w:t>
            </w:r>
            <w:r>
              <w:rPr>
                <w:rFonts w:hint="default" w:ascii="Times New Roman" w:hAnsi="Times New Roman" w:eastAsia="仿宋_GB2312" w:cs="Times New Roman"/>
                <w:color w:val="auto"/>
                <w:kern w:val="0"/>
                <w:sz w:val="24"/>
                <w:highlight w:val="none"/>
              </w:rPr>
              <w:t>制单位：</w:t>
            </w:r>
            <w:r>
              <w:rPr>
                <w:rFonts w:hint="default" w:ascii="Times New Roman" w:hAnsi="Times New Roman" w:eastAsia="仿宋_GB2312" w:cs="Times New Roman"/>
                <w:color w:val="auto"/>
                <w:kern w:val="0"/>
                <w:sz w:val="24"/>
                <w:highlight w:val="none"/>
                <w:lang w:val="en-US" w:eastAsia="zh-CN"/>
              </w:rPr>
              <w:t>焉耆回族自治县查汗采开乡中心学校</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32" w:type="dxa"/>
            <w:noWrap w:val="0"/>
            <w:vAlign w:val="center"/>
          </w:tcPr>
          <w:p>
            <w:pPr>
              <w:widowControl/>
              <w:jc w:val="center"/>
              <w:outlineLvl w:val="1"/>
              <w:rPr>
                <w:rFonts w:hint="default" w:ascii="Times New Roman" w:hAnsi="Times New Roman" w:eastAsia="仿宋_GB2312" w:cs="Times New Roman"/>
                <w:color w:val="auto"/>
                <w:kern w:val="0"/>
                <w:szCs w:val="21"/>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lang w:eastAsia="zh-CN"/>
        </w:rPr>
        <w:t>202</w:t>
      </w:r>
      <w:r>
        <w:rPr>
          <w:rFonts w:hint="eastAsia"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rPr>
        <w:t>年</w:t>
      </w:r>
      <w:r>
        <w:rPr>
          <w:rFonts w:hint="eastAsia" w:eastAsia="仿宋_GB2312" w:cs="Times New Roman"/>
          <w:b/>
          <w:color w:val="auto"/>
          <w:kern w:val="0"/>
          <w:sz w:val="28"/>
          <w:szCs w:val="32"/>
          <w:highlight w:val="none"/>
          <w:lang w:eastAsia="zh-CN"/>
        </w:rPr>
        <w:t>本单位无一般公共</w:t>
      </w:r>
      <w:r>
        <w:rPr>
          <w:rFonts w:hint="default" w:ascii="Times New Roman" w:hAnsi="Times New Roman" w:eastAsia="仿宋_GB2312" w:cs="Times New Roman"/>
          <w:b/>
          <w:color w:val="auto"/>
          <w:kern w:val="0"/>
          <w:sz w:val="28"/>
          <w:szCs w:val="32"/>
          <w:highlight w:val="none"/>
        </w:rPr>
        <w:t>预算</w:t>
      </w:r>
      <w:r>
        <w:rPr>
          <w:rFonts w:hint="eastAsia" w:eastAsia="仿宋_GB2312" w:cs="Times New Roman"/>
          <w:b/>
          <w:color w:val="auto"/>
          <w:kern w:val="0"/>
          <w:sz w:val="28"/>
          <w:szCs w:val="32"/>
          <w:highlight w:val="none"/>
          <w:lang w:eastAsia="zh-CN"/>
        </w:rPr>
        <w:t>项目</w:t>
      </w:r>
      <w:r>
        <w:rPr>
          <w:rFonts w:hint="default" w:ascii="Times New Roman" w:hAnsi="Times New Roman" w:eastAsia="仿宋_GB2312" w:cs="Times New Roman"/>
          <w:b/>
          <w:color w:val="auto"/>
          <w:kern w:val="0"/>
          <w:sz w:val="28"/>
          <w:szCs w:val="32"/>
          <w:highlight w:val="none"/>
          <w:lang w:eastAsia="zh-CN"/>
        </w:rPr>
        <w:t>支出</w:t>
      </w:r>
      <w:r>
        <w:rPr>
          <w:rFonts w:hint="default" w:ascii="Times New Roman" w:hAnsi="Times New Roman" w:eastAsia="仿宋_GB2312" w:cs="Times New Roman"/>
          <w:b/>
          <w:color w:val="auto"/>
          <w:kern w:val="0"/>
          <w:sz w:val="28"/>
          <w:szCs w:val="32"/>
          <w:highlight w:val="none"/>
        </w:rPr>
        <w:t>，</w:t>
      </w:r>
      <w:r>
        <w:rPr>
          <w:rFonts w:hint="default" w:ascii="Times New Roman" w:hAnsi="Times New Roman" w:eastAsia="仿宋_GB2312" w:cs="Times New Roman"/>
          <w:b/>
          <w:color w:val="auto"/>
          <w:kern w:val="0"/>
          <w:sz w:val="28"/>
          <w:szCs w:val="32"/>
          <w:highlight w:val="none"/>
          <w:lang w:eastAsia="zh-CN"/>
        </w:rPr>
        <w:t>此</w:t>
      </w:r>
      <w:r>
        <w:rPr>
          <w:rFonts w:hint="default" w:ascii="Times New Roman" w:hAnsi="Times New Roman" w:eastAsia="仿宋_GB2312" w:cs="Times New Roman"/>
          <w:b/>
          <w:color w:val="auto"/>
          <w:kern w:val="0"/>
          <w:sz w:val="28"/>
          <w:szCs w:val="32"/>
          <w:highlight w:val="none"/>
        </w:rPr>
        <w:t>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焉耆回族自治县查汗采开乡中心学校</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单位：万元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lang w:val="en-US" w:eastAsia="zh-CN"/>
        </w:rPr>
        <w:t>备注：</w:t>
      </w:r>
      <w:r>
        <w:rPr>
          <w:rFonts w:hint="default" w:ascii="Times New Roman" w:hAnsi="Times New Roman" w:eastAsia="仿宋_GB2312" w:cs="Times New Roman"/>
          <w:b/>
          <w:color w:val="auto"/>
          <w:kern w:val="0"/>
          <w:sz w:val="28"/>
          <w:szCs w:val="32"/>
          <w:highlight w:val="none"/>
          <w:lang w:val="en-US" w:eastAsia="zh-CN"/>
        </w:rPr>
        <w:t>202</w:t>
      </w:r>
      <w:r>
        <w:rPr>
          <w:rFonts w:hint="eastAsia" w:ascii="Times New Roman" w:hAnsi="Times New Roman"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lang w:val="en-US" w:eastAsia="zh-CN"/>
        </w:rPr>
        <w:t>年</w:t>
      </w:r>
      <w:r>
        <w:rPr>
          <w:rFonts w:hint="eastAsia" w:eastAsia="仿宋_GB2312" w:cs="Times New Roman"/>
          <w:b/>
          <w:color w:val="auto"/>
          <w:kern w:val="0"/>
          <w:sz w:val="28"/>
          <w:szCs w:val="32"/>
          <w:highlight w:val="none"/>
          <w:lang w:val="en-US" w:eastAsia="zh-CN"/>
        </w:rPr>
        <w:t>本单位无</w:t>
      </w:r>
      <w:r>
        <w:rPr>
          <w:rFonts w:hint="default" w:ascii="Times New Roman" w:hAnsi="Times New Roman" w:eastAsia="仿宋_GB2312" w:cs="Times New Roman"/>
          <w:b/>
          <w:color w:val="auto"/>
          <w:kern w:val="0"/>
          <w:sz w:val="28"/>
          <w:szCs w:val="32"/>
          <w:highlight w:val="none"/>
          <w:lang w:val="en-US" w:eastAsia="zh-CN"/>
        </w:rPr>
        <w:t>政府性基金预算，此表为空表</w:t>
      </w:r>
      <w:r>
        <w:rPr>
          <w:rFonts w:hint="eastAsia" w:eastAsia="仿宋_GB2312" w:cs="Times New Roman"/>
          <w:b/>
          <w:color w:val="auto"/>
          <w:kern w:val="0"/>
          <w:sz w:val="28"/>
          <w:szCs w:val="32"/>
          <w:highlight w:val="none"/>
          <w:lang w:val="en-US" w:eastAsia="zh-CN"/>
        </w:rPr>
        <w:t>。</w:t>
      </w:r>
    </w:p>
    <w:p>
      <w:pPr>
        <w:widowControl/>
        <w:jc w:val="both"/>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lang w:val="en-US" w:eastAsia="zh-CN"/>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szCs w:val="24"/>
          <w:highlight w:val="none"/>
        </w:rPr>
        <w:t>编</w:t>
      </w:r>
      <w:r>
        <w:rPr>
          <w:rFonts w:hint="eastAsia" w:ascii="仿宋_GB2312" w:hAnsi="宋体" w:eastAsia="仿宋_GB2312"/>
          <w:color w:val="auto"/>
          <w:kern w:val="0"/>
          <w:sz w:val="24"/>
          <w:highlight w:val="none"/>
        </w:rPr>
        <w:t>制单位：</w:t>
      </w:r>
      <w:r>
        <w:rPr>
          <w:rFonts w:hint="eastAsia" w:ascii="仿宋_GB2312" w:hAnsi="宋体" w:eastAsia="仿宋_GB2312"/>
          <w:color w:val="auto"/>
          <w:kern w:val="0"/>
          <w:sz w:val="24"/>
          <w:highlight w:val="none"/>
          <w:lang w:val="en-US" w:eastAsia="zh-CN"/>
        </w:rPr>
        <w:t>焉耆回族自治县查汗采开乡中心学校</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单位：万元                                  </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val="en-US" w:eastAsia="zh-CN"/>
        </w:rPr>
        <w:t>202</w:t>
      </w:r>
      <w:r>
        <w:rPr>
          <w:rFonts w:hint="eastAsia" w:ascii="Times New Roman" w:hAnsi="Times New Roman"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lang w:val="en-US" w:eastAsia="zh-CN"/>
        </w:rPr>
        <w:t>年</w:t>
      </w:r>
      <w:r>
        <w:rPr>
          <w:rFonts w:hint="eastAsia" w:eastAsia="仿宋_GB2312" w:cs="Times New Roman"/>
          <w:b/>
          <w:color w:val="auto"/>
          <w:kern w:val="0"/>
          <w:sz w:val="28"/>
          <w:szCs w:val="32"/>
          <w:highlight w:val="none"/>
          <w:lang w:val="en-US" w:eastAsia="zh-CN"/>
        </w:rPr>
        <w:t>本单位无</w:t>
      </w:r>
      <w:r>
        <w:rPr>
          <w:rFonts w:hint="default" w:ascii="Times New Roman" w:hAnsi="Times New Roman" w:eastAsia="仿宋_GB2312" w:cs="Times New Roman"/>
          <w:b/>
          <w:color w:val="auto"/>
          <w:kern w:val="0"/>
          <w:sz w:val="28"/>
          <w:szCs w:val="32"/>
          <w:highlight w:val="none"/>
          <w:lang w:val="en-US" w:eastAsia="zh-CN"/>
        </w:rPr>
        <w:t>国有资本经营预算，此表为空表。</w:t>
      </w: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szCs w:val="24"/>
          <w:highlight w:val="none"/>
        </w:rPr>
        <w:t>编</w:t>
      </w:r>
      <w:r>
        <w:rPr>
          <w:rFonts w:hint="eastAsia" w:ascii="仿宋_GB2312" w:hAnsi="宋体" w:eastAsia="仿宋_GB2312"/>
          <w:color w:val="auto"/>
          <w:kern w:val="0"/>
          <w:sz w:val="24"/>
          <w:highlight w:val="none"/>
        </w:rPr>
        <w:t>制单位：</w:t>
      </w:r>
      <w:r>
        <w:rPr>
          <w:rFonts w:hint="eastAsia" w:ascii="仿宋_GB2312" w:hAnsi="宋体" w:eastAsia="仿宋_GB2312"/>
          <w:color w:val="auto"/>
          <w:kern w:val="0"/>
          <w:sz w:val="24"/>
          <w:highlight w:val="none"/>
          <w:lang w:val="en-US" w:eastAsia="zh-CN"/>
        </w:rPr>
        <w:t>焉耆回族自治县查汗采开乡中心学校</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单位：万元                                                                              </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5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spacing w:line="600" w:lineRule="exact"/>
        <w:jc w:val="both"/>
        <w:rPr>
          <w:rFonts w:hint="eastAsia" w:ascii="仿宋" w:hAnsi="仿宋" w:eastAsia="仿宋" w:cs="仿宋_GB2312"/>
          <w:bCs/>
          <w:color w:val="auto"/>
          <w:kern w:val="0"/>
          <w:sz w:val="28"/>
          <w:szCs w:val="28"/>
          <w:highlight w:val="none"/>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202</w:t>
      </w:r>
      <w:r>
        <w:rPr>
          <w:rFonts w:hint="eastAsia"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rPr>
        <w:t>年</w:t>
      </w:r>
      <w:r>
        <w:rPr>
          <w:rFonts w:hint="eastAsia" w:eastAsia="仿宋_GB2312" w:cs="Times New Roman"/>
          <w:b/>
          <w:bCs/>
          <w:sz w:val="28"/>
          <w:szCs w:val="28"/>
          <w:lang w:eastAsia="zh-CN"/>
        </w:rPr>
        <w:t>本单位无</w:t>
      </w:r>
      <w:r>
        <w:rPr>
          <w:rFonts w:hint="default" w:ascii="Times New Roman" w:hAnsi="Times New Roman" w:eastAsia="仿宋_GB2312" w:cs="Times New Roman"/>
          <w:b/>
          <w:bCs/>
          <w:sz w:val="28"/>
          <w:szCs w:val="28"/>
        </w:rPr>
        <w:t>“三公”经费支出,此表为空表。</w:t>
      </w: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spacing w:line="240" w:lineRule="auto"/>
        <w:jc w:val="left"/>
        <w:outlineLvl w:val="1"/>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焉耆回族自治县查汗采开乡中心学校</w:t>
      </w:r>
      <w:r>
        <w:rPr>
          <w:rFonts w:hint="eastAsia" w:ascii="仿宋_GB2312" w:hAnsi="宋体" w:eastAsia="仿宋_GB2312"/>
          <w:color w:val="auto"/>
          <w:kern w:val="0"/>
          <w:sz w:val="24"/>
          <w:highlight w:val="none"/>
        </w:rPr>
        <w:t xml:space="preserve">             单位：万元</w:t>
      </w:r>
    </w:p>
    <w:tbl>
      <w:tblPr>
        <w:tblStyle w:val="11"/>
        <w:tblpPr w:leftFromText="180" w:rightFromText="180" w:vertAnchor="text" w:horzAnchor="page" w:tblpX="1155" w:tblpY="326"/>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outlineLvl w:val="1"/>
        <w:rPr>
          <w:rFonts w:hint="eastAsia" w:ascii="仿宋_GB2312" w:hAnsi="宋体" w:eastAsia="仿宋_GB2312"/>
          <w:b/>
          <w:color w:val="auto"/>
          <w:kern w:val="0"/>
          <w:sz w:val="28"/>
          <w:szCs w:val="32"/>
          <w:highlight w:val="none"/>
        </w:rPr>
      </w:pPr>
    </w:p>
    <w:p>
      <w:pPr>
        <w:widowControl/>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bCs/>
          <w:sz w:val="28"/>
          <w:szCs w:val="28"/>
          <w:lang w:val="en-US" w:eastAsia="zh-CN"/>
        </w:rPr>
        <w:t xml:space="preserve"> 20</w:t>
      </w:r>
      <w:r>
        <w:rPr>
          <w:rFonts w:hint="default" w:ascii="Times New Roman" w:hAnsi="Times New Roman" w:eastAsia="仿宋_GB2312" w:cs="Times New Roman"/>
          <w:b/>
          <w:bCs/>
          <w:sz w:val="28"/>
          <w:szCs w:val="28"/>
        </w:rPr>
        <w:t>2</w:t>
      </w:r>
      <w:r>
        <w:rPr>
          <w:rFonts w:hint="eastAsia" w:ascii="Times New Roman" w:hAnsi="Times New Roman" w:eastAsia="仿宋_GB2312" w:cs="Times New Roman"/>
          <w:b/>
          <w:bCs/>
          <w:sz w:val="28"/>
          <w:szCs w:val="28"/>
          <w:lang w:val="en-US" w:eastAsia="zh-CN"/>
        </w:rPr>
        <w:t>5</w:t>
      </w:r>
      <w:r>
        <w:rPr>
          <w:rFonts w:hint="default" w:ascii="Times New Roman" w:hAnsi="Times New Roman" w:eastAsia="仿宋_GB2312" w:cs="Times New Roman"/>
          <w:b/>
          <w:bCs/>
          <w:sz w:val="28"/>
          <w:szCs w:val="28"/>
        </w:rPr>
        <w:t>年</w:t>
      </w:r>
      <w:r>
        <w:rPr>
          <w:rFonts w:hint="eastAsia" w:eastAsia="仿宋_GB2312" w:cs="Times New Roman"/>
          <w:b/>
          <w:bCs/>
          <w:sz w:val="28"/>
          <w:szCs w:val="28"/>
          <w:lang w:eastAsia="zh-CN"/>
        </w:rPr>
        <w:t>本单位</w:t>
      </w:r>
      <w:r>
        <w:rPr>
          <w:rFonts w:hint="default" w:ascii="Times New Roman" w:hAnsi="Times New Roman" w:eastAsia="仿宋_GB2312" w:cs="Times New Roman"/>
          <w:b/>
          <w:bCs/>
          <w:sz w:val="28"/>
          <w:szCs w:val="28"/>
        </w:rPr>
        <w:t>无上年结转结余情况,此表为空表。</w:t>
      </w:r>
    </w:p>
    <w:p>
      <w:pPr>
        <w:spacing w:line="600" w:lineRule="exact"/>
        <w:jc w:val="left"/>
        <w:rPr>
          <w:rFonts w:hint="eastAsia" w:ascii="仿宋_GB2312" w:hAnsi="宋体" w:eastAsia="仿宋_GB2312"/>
          <w:b/>
          <w:color w:val="auto"/>
          <w:kern w:val="0"/>
          <w:sz w:val="32"/>
          <w:szCs w:val="32"/>
          <w:highlight w:val="none"/>
          <w:lang w:val="en-US" w:eastAsia="zh-CN"/>
        </w:rPr>
      </w:pP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w:t>
      </w:r>
      <w:r>
        <w:rPr>
          <w:rFonts w:hint="eastAsia" w:eastAsia="黑体" w:cs="Times New Roman"/>
          <w:color w:val="auto"/>
          <w:kern w:val="0"/>
          <w:sz w:val="32"/>
          <w:szCs w:val="32"/>
          <w:highlight w:val="none"/>
          <w:lang w:val="en-US" w:eastAsia="zh-CN"/>
        </w:rPr>
        <w:t>单位</w:t>
      </w:r>
      <w:r>
        <w:rPr>
          <w:rFonts w:hint="default" w:ascii="Times New Roman" w:hAnsi="Times New Roman" w:eastAsia="黑体" w:cs="Times New Roman"/>
          <w:color w:val="auto"/>
          <w:kern w:val="0"/>
          <w:sz w:val="32"/>
          <w:szCs w:val="32"/>
          <w:highlight w:val="none"/>
          <w:lang w:val="en-US" w:eastAsia="zh-CN"/>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一、关于焉耆回族自治县查汗采开乡中心学校2025年收支预算情况的总体说明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按照全口径预算的原则，焉耆回族自治县查汗采开乡中心学校2025年所有收入和支出均纳入单位预算管理。收支总预算1330.41万元。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支出预算包括:教育支出。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二、关于焉耆回族自治县查汗采开乡中心学校2025年收入预算情况说明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焉耆回族自治县查汗采开乡中心学校收入预算1330.41万元，其中：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一般公共预算1310.11万元，占98.47%，比上年预算减少4.09万元，下降0.31%，主要原因</w:t>
      </w:r>
      <w:r>
        <w:rPr>
          <w:rFonts w:hint="eastAsia" w:eastAsia="仿宋_GB2312" w:cs="Times New Roman"/>
          <w:color w:val="auto"/>
          <w:kern w:val="0"/>
          <w:sz w:val="32"/>
          <w:szCs w:val="32"/>
          <w:highlight w:val="none"/>
          <w:lang w:val="en-US" w:eastAsia="zh-CN"/>
        </w:rPr>
        <w:t>是人员减少，工资社保经费减少。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%，比上年预算减少</w:t>
      </w:r>
      <w:r>
        <w:rPr>
          <w:rFonts w:hint="eastAsia" w:eastAsia="仿宋_GB2312" w:cs="Times New Roman"/>
          <w:color w:val="auto"/>
          <w:kern w:val="0"/>
          <w:sz w:val="32"/>
          <w:szCs w:val="32"/>
          <w:highlight w:val="none"/>
          <w:lang w:val="en-US" w:eastAsia="zh-CN"/>
        </w:rPr>
        <w:t>45.98</w:t>
      </w:r>
      <w:r>
        <w:rPr>
          <w:rFonts w:hint="default"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%，主要原因是本年度项目预算资金由主管部门负责填报，故项目支出减少；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单位资金20.3</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万元，占1.53%，比上年预算增加5.3</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万元，增长35.33%，主要原因</w:t>
      </w:r>
      <w:r>
        <w:rPr>
          <w:rFonts w:hint="eastAsia" w:eastAsia="仿宋_GB2312" w:cs="Times New Roman"/>
          <w:color w:val="auto"/>
          <w:kern w:val="0"/>
          <w:sz w:val="32"/>
          <w:szCs w:val="32"/>
          <w:highlight w:val="none"/>
          <w:lang w:val="en-US" w:eastAsia="zh-CN"/>
        </w:rPr>
        <w:t>是本年度其他事业收入增加</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三、关于焉耆回族自治县查汗采开乡中心学校2025年支出预算情况说明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焉耆回族自治县查汗采开乡中心学校</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年支出预算    1330.41</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基本支出1330.41万元，占</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w:t>
      </w:r>
      <w:r>
        <w:rPr>
          <w:rFonts w:hint="eastAsia" w:eastAsia="仿宋_GB2312" w:cs="Times New Roman"/>
          <w:color w:val="auto"/>
          <w:kern w:val="0"/>
          <w:sz w:val="32"/>
          <w:szCs w:val="32"/>
          <w:highlight w:val="none"/>
          <w:lang w:val="en-US" w:eastAsia="zh-CN"/>
        </w:rPr>
        <w:t>增加1.21</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增长</w:t>
      </w:r>
      <w:r>
        <w:rPr>
          <w:rFonts w:hint="eastAsia" w:eastAsia="仿宋_GB2312" w:cs="Times New Roman"/>
          <w:color w:val="auto"/>
          <w:kern w:val="0"/>
          <w:sz w:val="32"/>
          <w:szCs w:val="32"/>
          <w:highlight w:val="none"/>
          <w:lang w:val="en-US" w:eastAsia="zh-CN"/>
        </w:rPr>
        <w:t>0.09</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eastAsia" w:eastAsia="仿宋_GB2312" w:cs="Times New Roman"/>
          <w:color w:val="auto"/>
          <w:kern w:val="0"/>
          <w:sz w:val="32"/>
          <w:szCs w:val="32"/>
          <w:highlight w:val="none"/>
          <w:lang w:eastAsia="zh-CN"/>
        </w:rPr>
        <w:t>工资社保基数调增。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highlight w:val="yellow"/>
        </w:rPr>
      </w:pPr>
      <w:r>
        <w:rPr>
          <w:rFonts w:hint="default" w:ascii="Times New Roman" w:hAnsi="Times New Roman" w:eastAsia="仿宋_GB2312" w:cs="Times New Roman"/>
          <w:color w:val="auto"/>
          <w:kern w:val="0"/>
          <w:sz w:val="32"/>
          <w:szCs w:val="32"/>
          <w:highlight w:val="none"/>
        </w:rPr>
        <w:t>项目支出</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w:t>
      </w:r>
      <w:r>
        <w:rPr>
          <w:rFonts w:hint="eastAsia" w:eastAsia="仿宋_GB2312" w:cs="Times New Roman"/>
          <w:color w:val="auto"/>
          <w:kern w:val="0"/>
          <w:sz w:val="32"/>
          <w:szCs w:val="32"/>
          <w:highlight w:val="none"/>
          <w:lang w:eastAsia="zh-CN"/>
        </w:rPr>
        <w:t>减少</w:t>
      </w:r>
      <w:r>
        <w:rPr>
          <w:rFonts w:hint="eastAsia" w:eastAsia="仿宋_GB2312" w:cs="Times New Roman"/>
          <w:color w:val="auto"/>
          <w:kern w:val="0"/>
          <w:sz w:val="32"/>
          <w:szCs w:val="32"/>
          <w:highlight w:val="none"/>
          <w:lang w:val="en-US" w:eastAsia="zh-CN"/>
        </w:rPr>
        <w:t>45.98</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四、关于焉耆回族自治县查汗采开乡中心学校2025年财政拨款收支预算情况的总体说明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2025年财政拨款收支总预算1310.11万元。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收入预算包括：一般公共预算拨款1310.11万元。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一般公共预算支出包括:教育支出1310.11万元，主要用于人员支出和公用经费支出。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五、关于焉耆回族自治县查汗采开乡中心学校2025年一般公共预算当年拨款情况说明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焉耆回族自治县查汗采开乡中心学校2025年一般公共预算拨款合计1310.11万元,其中：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基本支出1310.11万元，比上年预算减少4.09万元，减少</w:t>
      </w:r>
      <w:r>
        <w:rPr>
          <w:rFonts w:hint="eastAsia" w:eastAsia="仿宋_GB2312" w:cs="Times New Roman"/>
          <w:color w:val="auto"/>
          <w:kern w:val="0"/>
          <w:sz w:val="32"/>
          <w:szCs w:val="32"/>
          <w:highlight w:val="none"/>
          <w:lang w:val="en-US" w:eastAsia="zh-CN"/>
        </w:rPr>
        <w:t>0.31</w:t>
      </w:r>
      <w:r>
        <w:rPr>
          <w:rFonts w:hint="default" w:ascii="Times New Roman" w:hAnsi="Times New Roman" w:eastAsia="仿宋_GB2312" w:cs="Times New Roman"/>
          <w:color w:val="auto"/>
          <w:kern w:val="0"/>
          <w:sz w:val="32"/>
          <w:szCs w:val="32"/>
          <w:highlight w:val="none"/>
          <w:lang w:val="en-US" w:eastAsia="zh-CN"/>
        </w:rPr>
        <w:t>%，主要原因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学生和教师人数减少。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highlight w:val="yellow"/>
        </w:rPr>
      </w:pPr>
      <w:r>
        <w:rPr>
          <w:rFonts w:hint="default" w:ascii="Times New Roman" w:hAnsi="Times New Roman" w:eastAsia="仿宋_GB2312" w:cs="Times New Roman"/>
          <w:color w:val="auto"/>
          <w:kern w:val="0"/>
          <w:sz w:val="32"/>
          <w:szCs w:val="32"/>
          <w:highlight w:val="none"/>
        </w:rPr>
        <w:t>项目支出</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万元，比上年预算</w:t>
      </w:r>
      <w:r>
        <w:rPr>
          <w:rFonts w:hint="eastAsia" w:eastAsia="仿宋_GB2312" w:cs="Times New Roman"/>
          <w:color w:val="auto"/>
          <w:kern w:val="0"/>
          <w:sz w:val="32"/>
          <w:szCs w:val="32"/>
          <w:highlight w:val="none"/>
          <w:lang w:eastAsia="zh-CN"/>
        </w:rPr>
        <w:t>减少</w:t>
      </w:r>
      <w:r>
        <w:rPr>
          <w:rFonts w:hint="eastAsia" w:eastAsia="仿宋_GB2312" w:cs="Times New Roman"/>
          <w:color w:val="auto"/>
          <w:kern w:val="0"/>
          <w:sz w:val="32"/>
          <w:szCs w:val="32"/>
          <w:highlight w:val="none"/>
          <w:lang w:val="en-US" w:eastAsia="zh-CN"/>
        </w:rPr>
        <w:t>45.98</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val="en-US" w:eastAsia="zh-CN"/>
        </w:rPr>
        <w:t>下降100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1.教育支出（类）</w:t>
      </w:r>
      <w:r>
        <w:rPr>
          <w:rFonts w:hint="default" w:ascii="Times New Roman" w:hAnsi="Times New Roman" w:eastAsia="仿宋_GB2312" w:cs="Times New Roman"/>
          <w:color w:val="auto"/>
          <w:kern w:val="0"/>
          <w:sz w:val="32"/>
          <w:szCs w:val="32"/>
          <w:highlight w:val="none"/>
          <w:lang w:val="en-US" w:eastAsia="zh-CN"/>
        </w:rPr>
        <w:t>1310.11</w:t>
      </w:r>
      <w:r>
        <w:rPr>
          <w:rFonts w:hint="default" w:ascii="Times New Roman" w:hAnsi="Times New Roman" w:eastAsia="仿宋_GB2312" w:cs="Times New Roman"/>
          <w:color w:val="auto"/>
          <w:sz w:val="32"/>
          <w:szCs w:val="32"/>
          <w:highlight w:val="none"/>
          <w:lang w:val="en-US" w:eastAsia="zh-CN"/>
        </w:rPr>
        <w:t>万元，占100%</w:t>
      </w:r>
      <w:r>
        <w:rPr>
          <w:rFonts w:hint="eastAsia" w:eastAsia="仿宋_GB2312" w:cs="Times New Roman"/>
          <w:color w:val="auto"/>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一般公共预算当年拨款具体使用情况</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教育支出（类）普通教育（款）学前教育（项）:2025年预算数为1310.11万元，比上年预算</w:t>
      </w:r>
      <w:r>
        <w:rPr>
          <w:rFonts w:hint="eastAsia" w:eastAsia="仿宋_GB2312" w:cs="Times New Roman"/>
          <w:color w:val="auto"/>
          <w:kern w:val="0"/>
          <w:sz w:val="32"/>
          <w:szCs w:val="32"/>
          <w:highlight w:val="none"/>
          <w:lang w:val="en-US" w:eastAsia="zh-CN"/>
        </w:rPr>
        <w:t>增加567.62</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增长76.45</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w:t>
      </w:r>
      <w:r>
        <w:rPr>
          <w:rFonts w:hint="default" w:ascii="Times New Roman" w:hAnsi="Times New Roman" w:eastAsia="仿宋_GB2312" w:cs="Times New Roman"/>
          <w:color w:val="auto"/>
          <w:kern w:val="0"/>
          <w:sz w:val="32"/>
          <w:szCs w:val="32"/>
          <w:highlight w:val="none"/>
          <w:lang w:val="en-US" w:eastAsia="zh-CN"/>
        </w:rPr>
        <w:t>教育支出（类）普通教育（款）</w:t>
      </w:r>
      <w:r>
        <w:rPr>
          <w:rFonts w:hint="eastAsia" w:eastAsia="仿宋_GB2312" w:cs="Times New Roman"/>
          <w:color w:val="auto"/>
          <w:kern w:val="0"/>
          <w:sz w:val="32"/>
          <w:szCs w:val="32"/>
          <w:highlight w:val="none"/>
          <w:lang w:val="en-US" w:eastAsia="zh-CN"/>
        </w:rPr>
        <w:t>学前</w:t>
      </w:r>
      <w:r>
        <w:rPr>
          <w:rFonts w:hint="default" w:ascii="Times New Roman" w:hAnsi="Times New Roman" w:eastAsia="仿宋_GB2312" w:cs="Times New Roman"/>
          <w:color w:val="auto"/>
          <w:kern w:val="0"/>
          <w:sz w:val="32"/>
          <w:szCs w:val="32"/>
          <w:highlight w:val="none"/>
          <w:lang w:val="en-US" w:eastAsia="zh-CN"/>
        </w:rPr>
        <w:t>教育（项）</w:t>
      </w:r>
      <w:r>
        <w:rPr>
          <w:rFonts w:hint="eastAsia" w:eastAsia="仿宋_GB2312" w:cs="Times New Roman"/>
          <w:color w:val="auto"/>
          <w:kern w:val="0"/>
          <w:sz w:val="32"/>
          <w:szCs w:val="32"/>
          <w:highlight w:val="none"/>
          <w:lang w:val="en-US" w:eastAsia="zh-CN"/>
        </w:rPr>
        <w:t>合并至此类款项</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教育支出（类）普通教育（款）学前教育（项）： 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减少617.69</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下降100</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此类款项合并至</w:t>
      </w:r>
      <w:r>
        <w:rPr>
          <w:rFonts w:hint="default" w:ascii="Times New Roman" w:hAnsi="Times New Roman" w:eastAsia="仿宋_GB2312" w:cs="Times New Roman"/>
          <w:color w:val="auto"/>
          <w:kern w:val="0"/>
          <w:sz w:val="32"/>
          <w:szCs w:val="32"/>
          <w:highlight w:val="none"/>
          <w:lang w:val="en-US" w:eastAsia="zh-CN"/>
        </w:rPr>
        <w:t>教育支出（类）普通教育（款）学前教育（项）</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六、关于焉耆回族自治县查汗采开乡中心学校2025年一般公共预算基本支出情况说明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焉耆回族自治县查汗采开乡中心学校2025年一般公共预算基本支出1310.11万元，其中：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w:t>
      </w:r>
      <w:r>
        <w:rPr>
          <w:rFonts w:hint="eastAsia" w:eastAsia="仿宋_GB2312" w:cs="Times New Roman"/>
          <w:color w:val="auto"/>
          <w:spacing w:val="-6"/>
          <w:kern w:val="0"/>
          <w:sz w:val="32"/>
          <w:szCs w:val="32"/>
          <w:highlight w:val="none"/>
          <w:lang w:val="en-US" w:eastAsia="zh-CN"/>
        </w:rPr>
        <w:t>1300.34万元，主要</w:t>
      </w:r>
      <w:r>
        <w:rPr>
          <w:rFonts w:hint="default" w:ascii="Times New Roman" w:hAnsi="Times New Roman" w:eastAsia="仿宋_GB2312" w:cs="Times New Roman"/>
          <w:color w:val="auto"/>
          <w:spacing w:val="-6"/>
          <w:kern w:val="0"/>
          <w:sz w:val="32"/>
          <w:szCs w:val="32"/>
          <w:highlight w:val="none"/>
          <w:lang w:val="en-US" w:eastAsia="zh-CN"/>
        </w:rPr>
        <w:t>包括:基本工资、津贴补贴、机关事业单位基本养老保险缴费、职业年金缴费、职工基本医疗保险缴费、其他社会保障缴费、住房公积金、退休费、生活补助。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w:t>
      </w:r>
      <w:r>
        <w:rPr>
          <w:rFonts w:hint="eastAsia" w:eastAsia="仿宋_GB2312" w:cs="Times New Roman"/>
          <w:color w:val="auto"/>
          <w:spacing w:val="-6"/>
          <w:kern w:val="0"/>
          <w:sz w:val="32"/>
          <w:szCs w:val="32"/>
          <w:highlight w:val="none"/>
          <w:lang w:val="en-US" w:eastAsia="zh-CN"/>
        </w:rPr>
        <w:t>9.77万元，主要</w:t>
      </w:r>
      <w:r>
        <w:rPr>
          <w:rFonts w:hint="default" w:ascii="Times New Roman" w:hAnsi="Times New Roman" w:eastAsia="仿宋_GB2312" w:cs="Times New Roman"/>
          <w:color w:val="auto"/>
          <w:spacing w:val="-6"/>
          <w:kern w:val="0"/>
          <w:sz w:val="32"/>
          <w:szCs w:val="32"/>
          <w:highlight w:val="none"/>
          <w:lang w:val="en-US" w:eastAsia="zh-CN"/>
        </w:rPr>
        <w:t>包括:取暖费、</w:t>
      </w:r>
      <w:r>
        <w:rPr>
          <w:rFonts w:hint="eastAsia" w:eastAsia="仿宋_GB2312" w:cs="Times New Roman"/>
          <w:color w:val="auto"/>
          <w:spacing w:val="-6"/>
          <w:kern w:val="0"/>
          <w:sz w:val="32"/>
          <w:szCs w:val="32"/>
          <w:highlight w:val="none"/>
          <w:lang w:val="en-US" w:eastAsia="zh-CN"/>
        </w:rPr>
        <w:t>培训费、</w:t>
      </w:r>
      <w:r>
        <w:rPr>
          <w:rFonts w:hint="default" w:ascii="Times New Roman" w:hAnsi="Times New Roman" w:eastAsia="仿宋_GB2312" w:cs="Times New Roman"/>
          <w:color w:val="auto"/>
          <w:spacing w:val="-6"/>
          <w:kern w:val="0"/>
          <w:sz w:val="32"/>
          <w:szCs w:val="32"/>
          <w:highlight w:val="none"/>
          <w:lang w:val="en-US" w:eastAsia="zh-CN"/>
        </w:rPr>
        <w:t>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七、关于焉耆回族自治县查汗采开乡中心学校2025年一般公共预算项目支出情况说明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焉耆回族自治县查汗采开乡中心学校2025年没有使用一般公共预算项目支出，一般公共预算项目支出情况表为空表。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八、关于焉耆回族自治县查汗采开乡中心学校2025年政府性基金预算支出情况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焉耆回族自治县查汗采开乡中心学校2025年没有使用政府性基金预算拨款安排的支出，政府性基金预算支出情况表为空表。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九、关于焉耆回族自治县查汗采开乡中心学校2025年国有资本经营预算拨款情况说明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焉耆回族自治县查汗采开乡中心学校2025年没有使用国有资本经营预算拨款安排的支出，国有资本经营预算支出情况表为空表。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十、关于焉耆回族自治县查汗采开乡中心学校2025年财政拨款“三公”经费预算情况说明</w:t>
      </w:r>
    </w:p>
    <w:p>
      <w:pPr>
        <w:spacing w:line="600" w:lineRule="exact"/>
        <w:ind w:firstLine="640" w:firstLineChars="200"/>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焉耆回族自治县查汗采开乡中心学校</w:t>
      </w: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“三公”经费数为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万元，其中：因公出国（境）费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万元，公务用车购置</w:t>
      </w:r>
      <w:r>
        <w:rPr>
          <w:rFonts w:hint="default" w:ascii="Times New Roman" w:hAnsi="Times New Roman" w:eastAsia="仿宋_GB2312" w:cs="Times New Roman"/>
          <w:color w:val="auto"/>
          <w:kern w:val="0"/>
          <w:sz w:val="32"/>
          <w:szCs w:val="32"/>
          <w:highlight w:val="none"/>
          <w:lang w:eastAsia="zh-CN"/>
        </w:rPr>
        <w:t>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万元，公务用车运行费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万元，公务接待费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年财政拨款"三公"经费比上年预算增加0万元，增长0%，其中：因公出国（境）费增加0万元，增长0%、主要原因是</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无因公出国（境）人员；公务用车购置费增加0万元，增长0%，主要原因是本年度未安排公务用车购置费预算；公务用车运行费增加0万元，增长0%，主要原因是</w:t>
      </w:r>
      <w:r>
        <w:rPr>
          <w:rFonts w:hint="default" w:ascii="Times New Roman" w:hAnsi="Times New Roman" w:eastAsia="仿宋_GB2312" w:cs="Times New Roman"/>
          <w:kern w:val="0"/>
          <w:sz w:val="32"/>
          <w:szCs w:val="32"/>
          <w:highlight w:val="none"/>
          <w:lang w:val="en-US" w:eastAsia="zh-CN"/>
        </w:rPr>
        <w:t>未安排预算；</w:t>
      </w:r>
      <w:r>
        <w:rPr>
          <w:rFonts w:hint="default" w:ascii="Times New Roman" w:hAnsi="Times New Roman" w:eastAsia="仿宋_GB2312" w:cs="Times New Roman"/>
          <w:kern w:val="0"/>
          <w:sz w:val="32"/>
          <w:szCs w:val="32"/>
          <w:highlight w:val="none"/>
        </w:rPr>
        <w:t>公务接待费增加0万元，增长0%，主要原因是</w:t>
      </w:r>
      <w:r>
        <w:rPr>
          <w:rFonts w:hint="default" w:ascii="Times New Roman" w:hAnsi="Times New Roman" w:eastAsia="仿宋_GB2312" w:cs="Times New Roman"/>
          <w:kern w:val="0"/>
          <w:sz w:val="32"/>
          <w:szCs w:val="32"/>
          <w:highlight w:val="none"/>
          <w:lang w:val="en-US" w:eastAsia="zh-CN"/>
        </w:rPr>
        <w:t>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、关于焉耆回族自治县查汗采开乡中心学校</w:t>
      </w:r>
      <w:r>
        <w:rPr>
          <w:rFonts w:hint="default" w:ascii="Times New Roman" w:hAnsi="Times New Roman" w:eastAsia="楷体_GB2312" w:cs="Times New Roman"/>
          <w:b/>
          <w:bCs/>
          <w:color w:val="auto"/>
          <w:kern w:val="0"/>
          <w:sz w:val="32"/>
          <w:szCs w:val="32"/>
          <w:highlight w:val="none"/>
          <w:lang w:val="en-US" w:eastAsia="zh-CN"/>
        </w:rPr>
        <w:t>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焉耆县</w:t>
      </w:r>
      <w:r>
        <w:rPr>
          <w:rFonts w:hint="default" w:ascii="Times New Roman" w:hAnsi="Times New Roman" w:eastAsia="仿宋_GB2312" w:cs="Times New Roman"/>
          <w:kern w:val="0"/>
          <w:sz w:val="32"/>
          <w:szCs w:val="32"/>
          <w:lang w:val="en-US" w:eastAsia="zh-CN"/>
        </w:rPr>
        <w:t>查汗采开乡中心学校</w:t>
      </w: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年无上年结转结余预算的支出，结转结余预算支出情况</w:t>
      </w:r>
      <w:r>
        <w:rPr>
          <w:rFonts w:hint="eastAsia" w:eastAsia="仿宋_GB2312" w:cs="Times New Roman"/>
          <w:kern w:val="0"/>
          <w:sz w:val="32"/>
          <w:szCs w:val="32"/>
          <w:lang w:eastAsia="zh-CN"/>
        </w:rPr>
        <w:t>明细</w:t>
      </w:r>
      <w:r>
        <w:rPr>
          <w:rFonts w:hint="default" w:ascii="Times New Roman" w:hAnsi="Times New Roman" w:eastAsia="仿宋_GB2312" w:cs="Times New Roman"/>
          <w:kern w:val="0"/>
          <w:sz w:val="32"/>
          <w:szCs w:val="32"/>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焉耆回族自治县查汗采开乡中心学校2025年的事业单位运行经费9.7</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减少6.09</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下降38.40</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人员减少，相应公用经费减少。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2025年，焉耆回族自治县查汗采开乡中心学校政府采购预算27.1万元，其中：政府采购货物预算27.1万元，政府采购工程预算0万元，政府采购服务预算0万元。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w:t>
      </w:r>
      <w:bookmarkStart w:id="0" w:name="_GoBack"/>
      <w:bookmarkEnd w:id="0"/>
      <w:r>
        <w:rPr>
          <w:rFonts w:hint="default" w:ascii="Times New Roman" w:hAnsi="Times New Roman" w:eastAsia="仿宋_GB2312" w:cs="Times New Roman"/>
          <w:color w:val="auto"/>
          <w:kern w:val="0"/>
          <w:sz w:val="32"/>
          <w:szCs w:val="32"/>
          <w:highlight w:val="none"/>
          <w:lang w:val="en-US" w:eastAsia="zh-CN"/>
        </w:rPr>
        <w:t>县查汗采开乡中心学校面向中小企业预留政府采购项目预算金额27.1万元，小微企业预留政府采购项目预算金额27.1万元。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截至2024年底，焉耆回族自治县查汗采开乡中心学校及下属各预算单位占用使用国有资产总体情况为：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房屋12050.05平方米，价值1550.17万元。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 0 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w:t>
      </w: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整体预算绩效目标1个，涉及预算金额1330.41万元；当年预算安排项目共</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w:t>
      </w:r>
      <w:r>
        <w:rPr>
          <w:rFonts w:hint="eastAsia" w:eastAsia="仿宋_GB2312" w:cs="Times New Roman"/>
          <w:color w:val="auto"/>
          <w:kern w:val="0"/>
          <w:sz w:val="32"/>
          <w:szCs w:val="32"/>
          <w:highlight w:val="none"/>
          <w:lang w:eastAsia="zh-CN"/>
        </w:rPr>
        <w:t>（</w:t>
      </w:r>
      <w:r>
        <w:rPr>
          <w:rFonts w:hint="eastAsia" w:eastAsia="仿宋_GB2312" w:cs="Times New Roman"/>
          <w:color w:val="auto"/>
          <w:kern w:val="0"/>
          <w:sz w:val="32"/>
          <w:szCs w:val="32"/>
          <w:highlight w:val="none"/>
          <w:lang w:val="en-US" w:eastAsia="zh-CN"/>
        </w:rPr>
        <w:t>按项目分别填报</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tbl>
      <w:tblPr>
        <w:tblStyle w:val="10"/>
        <w:tblpPr w:leftFromText="180" w:rightFromText="180" w:vertAnchor="text" w:horzAnchor="page" w:tblpX="1483" w:tblpY="-108"/>
        <w:tblOverlap w:val="never"/>
        <w:tblW w:w="8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1"/>
        <w:gridCol w:w="1232"/>
        <w:gridCol w:w="1493"/>
        <w:gridCol w:w="1146"/>
        <w:gridCol w:w="1905"/>
        <w:gridCol w:w="1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842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2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22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177"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焉耆回族自治县查汗采开乡中心学校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22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639"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艾克热木</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18509966230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2243"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17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面贯彻党的教育方针，培养德、智、体、美、劳全面发展的二十一世纪新型人才，促进</w:t>
            </w:r>
            <w:r>
              <w:rPr>
                <w:rFonts w:hint="eastAsia" w:ascii="宋体" w:hAnsi="宋体" w:cs="宋体"/>
                <w:i w:val="0"/>
                <w:iCs w:val="0"/>
                <w:color w:val="000000"/>
                <w:sz w:val="20"/>
                <w:szCs w:val="20"/>
                <w:highlight w:val="none"/>
                <w:u w:val="none"/>
                <w:lang w:val="en-US" w:eastAsia="zh-CN"/>
              </w:rPr>
              <w:t>焉耆回族自治县查汗采开乡中心学校</w:t>
            </w:r>
            <w:r>
              <w:rPr>
                <w:rFonts w:hint="eastAsia" w:ascii="宋体" w:hAnsi="宋体" w:cs="宋体"/>
                <w:color w:val="000000"/>
                <w:sz w:val="20"/>
                <w:szCs w:val="20"/>
              </w:rPr>
              <w:t>教育教学事业又好又快发展，保障学校教育教学工作的有效提升，为广大师生提供优质的教育教学环境，办好让人民满意的教育。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224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63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53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2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53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22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53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1310.11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224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53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kern w:val="0"/>
                <w:sz w:val="20"/>
                <w:szCs w:val="20"/>
              </w:rPr>
              <w:t>履职效能</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数量指标</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开设班级数量</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w:t>
            </w:r>
            <w:r>
              <w:rPr>
                <w:rFonts w:hint="eastAsia" w:ascii="宋体" w:hAnsi="宋体" w:cs="宋体"/>
                <w:color w:val="000000"/>
                <w:sz w:val="20"/>
                <w:szCs w:val="20"/>
                <w:lang w:val="en-US" w:eastAsia="zh-CN"/>
              </w:rPr>
              <w:t>17</w:t>
            </w:r>
            <w:r>
              <w:rPr>
                <w:rFonts w:hint="eastAsia" w:ascii="宋体" w:hAnsi="宋体" w:cs="宋体"/>
                <w:color w:val="000000"/>
                <w:sz w:val="20"/>
                <w:szCs w:val="20"/>
              </w:rPr>
              <w:t>个</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202</w:t>
            </w:r>
            <w:r>
              <w:rPr>
                <w:rFonts w:hint="eastAsia" w:ascii="宋体" w:hAnsi="宋体" w:cs="宋体"/>
                <w:color w:val="000000"/>
                <w:sz w:val="20"/>
                <w:szCs w:val="20"/>
                <w:lang w:val="en-US" w:eastAsia="zh-CN"/>
              </w:rPr>
              <w:t>5</w:t>
            </w:r>
            <w:r>
              <w:rPr>
                <w:rFonts w:hint="eastAsia" w:ascii="宋体" w:hAnsi="宋体" w:cs="宋体"/>
                <w:color w:val="000000"/>
                <w:sz w:val="20"/>
                <w:szCs w:val="20"/>
              </w:rPr>
              <w:t>年工作计划</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r>
              <w:rPr>
                <w:rFonts w:hint="eastAsia" w:ascii="宋体" w:hAnsi="宋体" w:cs="宋体"/>
                <w:color w:val="000000"/>
                <w:sz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kern w:val="0"/>
                <w:sz w:val="20"/>
                <w:szCs w:val="20"/>
              </w:rPr>
              <w:t>履职效能</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数量指标</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培育学生数量</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w:t>
            </w:r>
            <w:r>
              <w:rPr>
                <w:rFonts w:hint="eastAsia" w:ascii="宋体" w:hAnsi="宋体" w:cs="宋体"/>
                <w:color w:val="000000"/>
                <w:sz w:val="20"/>
                <w:szCs w:val="20"/>
                <w:lang w:val="en-US" w:eastAsia="zh-CN"/>
              </w:rPr>
              <w:t>534</w:t>
            </w:r>
            <w:r>
              <w:rPr>
                <w:rFonts w:hint="eastAsia" w:ascii="宋体" w:hAnsi="宋体" w:cs="宋体"/>
                <w:color w:val="000000"/>
                <w:sz w:val="20"/>
                <w:szCs w:val="20"/>
              </w:rPr>
              <w:t>人</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202</w:t>
            </w:r>
            <w:r>
              <w:rPr>
                <w:rFonts w:hint="eastAsia" w:ascii="宋体" w:hAnsi="宋体" w:cs="宋体"/>
                <w:color w:val="000000"/>
                <w:sz w:val="20"/>
                <w:szCs w:val="20"/>
                <w:lang w:val="en-US" w:eastAsia="zh-CN"/>
              </w:rPr>
              <w:t>5</w:t>
            </w:r>
            <w:r>
              <w:rPr>
                <w:rFonts w:hint="eastAsia" w:ascii="宋体" w:hAnsi="宋体" w:cs="宋体"/>
                <w:color w:val="000000"/>
                <w:sz w:val="20"/>
                <w:szCs w:val="20"/>
              </w:rPr>
              <w:t>年工作计划</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r>
              <w:rPr>
                <w:rFonts w:hint="eastAsia" w:ascii="宋体" w:hAnsi="宋体" w:cs="宋体"/>
                <w:color w:val="000000"/>
                <w:sz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kern w:val="0"/>
                <w:sz w:val="20"/>
                <w:szCs w:val="20"/>
              </w:rPr>
              <w:t>履职效能</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数量指标</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受资助补助政策学生数</w:t>
            </w:r>
          </w:p>
        </w:tc>
        <w:tc>
          <w:tcPr>
            <w:tcW w:w="11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w:t>
            </w:r>
            <w:r>
              <w:rPr>
                <w:rFonts w:hint="eastAsia" w:ascii="宋体" w:hAnsi="宋体" w:cs="宋体"/>
                <w:color w:val="000000"/>
                <w:sz w:val="20"/>
                <w:szCs w:val="20"/>
                <w:lang w:val="en-US" w:eastAsia="zh-CN"/>
              </w:rPr>
              <w:t>168</w:t>
            </w:r>
            <w:r>
              <w:rPr>
                <w:rFonts w:hint="eastAsia" w:ascii="宋体" w:hAnsi="宋体" w:cs="宋体"/>
                <w:color w:val="000000"/>
                <w:sz w:val="20"/>
                <w:szCs w:val="20"/>
              </w:rPr>
              <w:t>人</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color w:val="000000"/>
                <w:sz w:val="20"/>
                <w:szCs w:val="20"/>
              </w:rPr>
              <w:t>202</w:t>
            </w:r>
            <w:r>
              <w:rPr>
                <w:rFonts w:hint="eastAsia" w:ascii="宋体" w:hAnsi="宋体" w:cs="宋体"/>
                <w:color w:val="000000"/>
                <w:sz w:val="20"/>
                <w:szCs w:val="20"/>
                <w:lang w:val="en-US" w:eastAsia="zh-CN"/>
              </w:rPr>
              <w:t>5</w:t>
            </w:r>
            <w:r>
              <w:rPr>
                <w:rFonts w:hint="eastAsia" w:ascii="宋体" w:hAnsi="宋体" w:cs="宋体"/>
                <w:color w:val="000000"/>
                <w:sz w:val="20"/>
                <w:szCs w:val="20"/>
              </w:rPr>
              <w:t>年工作计划</w:t>
            </w:r>
          </w:p>
        </w:tc>
        <w:tc>
          <w:tcPr>
            <w:tcW w:w="163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r>
              <w:rPr>
                <w:rFonts w:hint="eastAsia" w:ascii="宋体" w:hAnsi="宋体" w:cs="宋体"/>
                <w:color w:val="000000"/>
                <w:sz w:val="24"/>
              </w:rPr>
              <w:t>30</w:t>
            </w:r>
          </w:p>
        </w:tc>
      </w:tr>
    </w:tbl>
    <w:p>
      <w:pPr>
        <w:pStyle w:val="2"/>
        <w:rPr>
          <w:rFonts w:hint="eastAsia" w:eastAsia="仿宋_GB2312" w:cs="Times New Roman"/>
          <w:color w:val="auto"/>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600" w:lineRule="exact"/>
        <w:ind w:left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lang w:eastAsia="zh-CN"/>
        </w:rPr>
        <w:t>（五）</w:t>
      </w:r>
      <w:r>
        <w:rPr>
          <w:rFonts w:hint="eastAsia" w:ascii="楷体_GB2312" w:hAnsi="宋体" w:eastAsia="楷体_GB2312" w:cs="宋体"/>
          <w:b/>
          <w:kern w:val="0"/>
          <w:sz w:val="32"/>
          <w:szCs w:val="32"/>
          <w:highlight w:val="none"/>
        </w:rPr>
        <w:t>其他需说明的事项</w:t>
      </w:r>
    </w:p>
    <w:p>
      <w:pPr>
        <w:pStyle w:val="2"/>
        <w:numPr>
          <w:ilvl w:val="0"/>
          <w:numId w:val="0"/>
        </w:numPr>
        <w:ind w:leftChars="20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本单位无其他需说明的事项。</w:t>
      </w:r>
    </w:p>
    <w:p>
      <w:pPr>
        <w:pStyle w:val="2"/>
        <w:numPr>
          <w:ilvl w:val="0"/>
          <w:numId w:val="0"/>
        </w:numPr>
        <w:ind w:leftChars="200"/>
        <w:rPr>
          <w:rFonts w:hint="eastAsia"/>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3200" w:firstLineChars="1000"/>
        <w:jc w:val="both"/>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color w:val="auto"/>
          <w:sz w:val="32"/>
          <w:szCs w:val="32"/>
          <w:highlight w:val="none"/>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焉耆回族自治县查汗采开乡中心学校</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00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1"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FMc/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MgRVCeG/40lPx7Il6W2Z8+UsVlj/GA8444&#10;zGKHFn3+ZxliGD29PntqhiQ0J5fr1Xpdst2az24bxilePo9I6asBL3JQS+SmjV6qyz2lqfRWkm8L&#10;sLfOcV5VLrxKMGbOFJnxxDFHaTgOM/EjNFeWizDNAUW9t3znvaJ0UMiNZ578NNIDL62DvpYwR1J0&#10;gL/+lc/13A8+laLnQapl4HcjhfsWuE955m4B3oLjLVBB84e1TFKcI9pTN/LKmih+OScWOurPKibq&#10;szgehtHBeXDztP25H6teHuv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AFhTHP5gEAAPQD&#10;AAAOAAAAAAAAAAEAIAAAAB8BAABkcnMvZTJvRG9jLnhtbFBLBQYAAAAABgAGAFkBAAB3BQ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000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LD3SX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U8uVFEF5bvjTUPLviXhZZX/6SBWXPcYDzjvi&#10;MIsdWvT5n2WIYfT0+uypGZLQnFyuV+t1yXZrPrttGKd4+Twipa8GvMhBLZGbNnqpLveUptJbSb4t&#10;wN46x3lVufAqwZg5U2TGE8ccpeE4zMSP0FxZLsI0BxT13vKd94rSQSE3nnny00gPvLQO+lrCHEnR&#10;Af76Vz7Xcz/4VIqeB6mWgd+NFO5b4D7lmbsFeAuOt0AFzR/WMklxjmhP3cgra6L45ZxY6Kg/q5io&#10;z+J4GEYH58HN0/bnfqx6eaz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Diw90l5gEAAPQD&#10;AAAOAAAAAAAAAAEAIAAAAB8BAABkcnMvZTJvRG9jLnhtbFBLBQYAAAAABgAGAFkBAAB3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1B2DE"/>
    <w:multiLevelType w:val="singleLevel"/>
    <w:tmpl w:val="C391B2DE"/>
    <w:lvl w:ilvl="0" w:tentative="0">
      <w:start w:val="1"/>
      <w:numFmt w:val="decimal"/>
      <w:lvlText w:val="%1."/>
      <w:lvlJc w:val="left"/>
      <w:pPr>
        <w:tabs>
          <w:tab w:val="left" w:pos="312"/>
        </w:tabs>
      </w:pPr>
    </w:lvl>
  </w:abstractNum>
  <w:abstractNum w:abstractNumId="1">
    <w:nsid w:val="1C187154"/>
    <w:multiLevelType w:val="singleLevel"/>
    <w:tmpl w:val="1C18715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1993051"/>
    <w:rsid w:val="01BD3468"/>
    <w:rsid w:val="02FD59E0"/>
    <w:rsid w:val="050D3F2D"/>
    <w:rsid w:val="05CB773D"/>
    <w:rsid w:val="05D0030E"/>
    <w:rsid w:val="0768050E"/>
    <w:rsid w:val="07CE422C"/>
    <w:rsid w:val="0939367A"/>
    <w:rsid w:val="0B0E41C3"/>
    <w:rsid w:val="0B2A6A7B"/>
    <w:rsid w:val="0B60227B"/>
    <w:rsid w:val="0B6300F1"/>
    <w:rsid w:val="0B90793D"/>
    <w:rsid w:val="0CEB36BD"/>
    <w:rsid w:val="0D5420AD"/>
    <w:rsid w:val="0DBE0200"/>
    <w:rsid w:val="0E446959"/>
    <w:rsid w:val="10066A3C"/>
    <w:rsid w:val="10154CFD"/>
    <w:rsid w:val="10F6492E"/>
    <w:rsid w:val="11485529"/>
    <w:rsid w:val="134A25D8"/>
    <w:rsid w:val="1586265A"/>
    <w:rsid w:val="1664738A"/>
    <w:rsid w:val="17A35E70"/>
    <w:rsid w:val="1885253A"/>
    <w:rsid w:val="18E13EED"/>
    <w:rsid w:val="19D76F43"/>
    <w:rsid w:val="1B33410E"/>
    <w:rsid w:val="1C0105C9"/>
    <w:rsid w:val="1CBF2475"/>
    <w:rsid w:val="1E6E1BE8"/>
    <w:rsid w:val="20914AD6"/>
    <w:rsid w:val="20BA05A8"/>
    <w:rsid w:val="21331829"/>
    <w:rsid w:val="230E714B"/>
    <w:rsid w:val="23A92556"/>
    <w:rsid w:val="243940A9"/>
    <w:rsid w:val="245C45C9"/>
    <w:rsid w:val="2478187D"/>
    <w:rsid w:val="24B96A7D"/>
    <w:rsid w:val="24BF55F8"/>
    <w:rsid w:val="260321B7"/>
    <w:rsid w:val="266C5BC0"/>
    <w:rsid w:val="269663DA"/>
    <w:rsid w:val="278D0433"/>
    <w:rsid w:val="296D312C"/>
    <w:rsid w:val="29890093"/>
    <w:rsid w:val="2A207E29"/>
    <w:rsid w:val="2A8343AD"/>
    <w:rsid w:val="2B1E29BA"/>
    <w:rsid w:val="2E7567EA"/>
    <w:rsid w:val="2F113850"/>
    <w:rsid w:val="2F44320D"/>
    <w:rsid w:val="2FED5116"/>
    <w:rsid w:val="31F2276D"/>
    <w:rsid w:val="32021F5D"/>
    <w:rsid w:val="322D12BA"/>
    <w:rsid w:val="32807969"/>
    <w:rsid w:val="32FC33B6"/>
    <w:rsid w:val="33092206"/>
    <w:rsid w:val="3318350B"/>
    <w:rsid w:val="334602D2"/>
    <w:rsid w:val="33B07D30"/>
    <w:rsid w:val="33D07D64"/>
    <w:rsid w:val="356E4289"/>
    <w:rsid w:val="35C410DB"/>
    <w:rsid w:val="36A0765A"/>
    <w:rsid w:val="373735F9"/>
    <w:rsid w:val="390C2146"/>
    <w:rsid w:val="3BA92A5A"/>
    <w:rsid w:val="3BF4171E"/>
    <w:rsid w:val="3C0B1BBF"/>
    <w:rsid w:val="3C3F1B50"/>
    <w:rsid w:val="3D0A4A35"/>
    <w:rsid w:val="3D625794"/>
    <w:rsid w:val="3F47373B"/>
    <w:rsid w:val="3F485EA2"/>
    <w:rsid w:val="3F4A5AE3"/>
    <w:rsid w:val="3F6579D1"/>
    <w:rsid w:val="3FB7580C"/>
    <w:rsid w:val="3FEB336E"/>
    <w:rsid w:val="4240073C"/>
    <w:rsid w:val="42916B89"/>
    <w:rsid w:val="42BD5B64"/>
    <w:rsid w:val="43844B92"/>
    <w:rsid w:val="43F20EC7"/>
    <w:rsid w:val="443824C2"/>
    <w:rsid w:val="453D1D30"/>
    <w:rsid w:val="45CE68B6"/>
    <w:rsid w:val="45EF12F6"/>
    <w:rsid w:val="46FA1149"/>
    <w:rsid w:val="47154B2B"/>
    <w:rsid w:val="47F50A75"/>
    <w:rsid w:val="48464FB6"/>
    <w:rsid w:val="48896603"/>
    <w:rsid w:val="491F08D4"/>
    <w:rsid w:val="49317939"/>
    <w:rsid w:val="4A2B05A5"/>
    <w:rsid w:val="4A423BBB"/>
    <w:rsid w:val="4A7C5CC0"/>
    <w:rsid w:val="4BAE4F5E"/>
    <w:rsid w:val="4CAE182C"/>
    <w:rsid w:val="4CCF22AA"/>
    <w:rsid w:val="4DF264E4"/>
    <w:rsid w:val="4DFD1A97"/>
    <w:rsid w:val="4E544D2A"/>
    <w:rsid w:val="4FDC5898"/>
    <w:rsid w:val="503E0D7F"/>
    <w:rsid w:val="51092501"/>
    <w:rsid w:val="51942385"/>
    <w:rsid w:val="51995135"/>
    <w:rsid w:val="51C21AE4"/>
    <w:rsid w:val="51C673C0"/>
    <w:rsid w:val="51D6463F"/>
    <w:rsid w:val="52120D9B"/>
    <w:rsid w:val="54474542"/>
    <w:rsid w:val="55842A2D"/>
    <w:rsid w:val="56517F07"/>
    <w:rsid w:val="56995821"/>
    <w:rsid w:val="58500460"/>
    <w:rsid w:val="5ADE798F"/>
    <w:rsid w:val="5B987519"/>
    <w:rsid w:val="5C29388D"/>
    <w:rsid w:val="5C543173"/>
    <w:rsid w:val="5D1D15B6"/>
    <w:rsid w:val="5D7454BB"/>
    <w:rsid w:val="5EB64AB7"/>
    <w:rsid w:val="5EC01086"/>
    <w:rsid w:val="5ED43023"/>
    <w:rsid w:val="5EE51D0E"/>
    <w:rsid w:val="5EFE1478"/>
    <w:rsid w:val="605D2477"/>
    <w:rsid w:val="613244DE"/>
    <w:rsid w:val="61FF0747"/>
    <w:rsid w:val="64A51677"/>
    <w:rsid w:val="64E71414"/>
    <w:rsid w:val="651C58D4"/>
    <w:rsid w:val="654D0000"/>
    <w:rsid w:val="661B07DA"/>
    <w:rsid w:val="66460A21"/>
    <w:rsid w:val="66E31C69"/>
    <w:rsid w:val="67222678"/>
    <w:rsid w:val="67F017A5"/>
    <w:rsid w:val="68037470"/>
    <w:rsid w:val="681B0629"/>
    <w:rsid w:val="6BE267BA"/>
    <w:rsid w:val="6C0D5E7A"/>
    <w:rsid w:val="6C330D2D"/>
    <w:rsid w:val="6C35668F"/>
    <w:rsid w:val="6C4362C4"/>
    <w:rsid w:val="6CC00A89"/>
    <w:rsid w:val="6E530A40"/>
    <w:rsid w:val="6E9D5DB8"/>
    <w:rsid w:val="6F455F94"/>
    <w:rsid w:val="6FD337A2"/>
    <w:rsid w:val="700673D5"/>
    <w:rsid w:val="70204188"/>
    <w:rsid w:val="714B6B95"/>
    <w:rsid w:val="727E4E7B"/>
    <w:rsid w:val="72C325D5"/>
    <w:rsid w:val="732F1A9A"/>
    <w:rsid w:val="75050F5B"/>
    <w:rsid w:val="75E30962"/>
    <w:rsid w:val="76B4068C"/>
    <w:rsid w:val="777D50A6"/>
    <w:rsid w:val="78514286"/>
    <w:rsid w:val="78AA35EA"/>
    <w:rsid w:val="78E116B5"/>
    <w:rsid w:val="78F8375D"/>
    <w:rsid w:val="799C06D4"/>
    <w:rsid w:val="799E3643"/>
    <w:rsid w:val="7A557AA8"/>
    <w:rsid w:val="7A7E6BF6"/>
    <w:rsid w:val="7B2A0DD8"/>
    <w:rsid w:val="7BE35C52"/>
    <w:rsid w:val="7C092767"/>
    <w:rsid w:val="7C4D29E0"/>
    <w:rsid w:val="7D2F3BEC"/>
    <w:rsid w:val="7D353EC1"/>
    <w:rsid w:val="7D626876"/>
    <w:rsid w:val="7D8434F8"/>
    <w:rsid w:val="7E49436C"/>
    <w:rsid w:val="7E5F3604"/>
    <w:rsid w:val="7F7B68C5"/>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e2538f-5f47-41cd-afff-8c3e6ee064aa}">
  <ds:schemaRefs/>
</ds:datastoreItem>
</file>

<file path=customXml/itemProps3.xml><?xml version="1.0" encoding="utf-8"?>
<ds:datastoreItem xmlns:ds="http://schemas.openxmlformats.org/officeDocument/2006/customXml" ds:itemID="{cc4052ec-3d2c-4ef1-9f9f-16672089287e}">
  <ds:schemaRefs/>
</ds:datastoreItem>
</file>

<file path=customXml/itemProps4.xml><?xml version="1.0" encoding="utf-8"?>
<ds:datastoreItem xmlns:ds="http://schemas.openxmlformats.org/officeDocument/2006/customXml" ds:itemID="{f9635772-3f85-4f58-abf0-31f57dcef9c3}">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5041</Words>
  <Characters>5987</Characters>
  <Lines>0</Lines>
  <Paragraphs>0</Paragraphs>
  <TotalTime>1</TotalTime>
  <ScaleCrop>false</ScaleCrop>
  <LinksUpToDate>false</LinksUpToDate>
  <CharactersWithSpaces>7719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2025-04-01T10:06:00Z</cp:lastPrinted>
  <dcterms:modified xsi:type="dcterms:W3CDTF">2025-04-23T03:33:54Z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eyJoZGlkIjoiMzEwNTM5NzYwMDRjMzkwZTVkZjY2ODkwMGIxNGU0OTUiLCJ1c2VySWQiOiIzMDI1OTY5NjYifQ==</vt:lpwstr>
  </property>
  <property fmtid="{D5CDD505-2E9C-101B-9397-08002B2CF9AE}" pid="4" name="ICV">
    <vt:lpwstr>E0815B459D894EB690805A54559D9F38_13</vt:lpwstr>
  </property>
</Properties>
</file>