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焉耆回族自治县文工团</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一、关于焉耆回族自治县文工团2025年收支预算情况的总体说明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二、关于焉耆回族自治县文工团2025年收入预算情况说明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三、关于焉耆回族自治县文工团2025年支出预算情况说明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四、关于焉耆回族自治县文工团2025年财政拨款收支预算情况的总体说明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五、关于焉耆回族自治县文工团2025年一般公共预算当年拨款情况说明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六、关于焉耆回族自治县文工团2025年一般公共预算基本支出情况说明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七、关于焉耆回族自治县文工团2025年一般公共预算项目支出情况说明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八、关于焉耆回族自治县文工团2025年政府性基金预算拨款情况说明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九、关于焉耆回族自治县文工团2025年国有资本经营预算拨款情况说明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十、关于焉耆回族自治县文工团2025年财政拨款“三公”经费预算情况说明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十一、关于焉耆回族自治县文工团2025年上年结转结余预算情况说明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bCs w:val="0"/>
          <w:color w:val="auto"/>
          <w:kern w:val="0"/>
          <w:sz w:val="32"/>
          <w:szCs w:val="32"/>
          <w:highlight w:val="none"/>
          <w:lang w:val="en-US" w:eastAsia="zh-CN"/>
        </w:rPr>
      </w:pPr>
      <w:r>
        <w:rPr>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1.</w:t>
      </w:r>
      <w:r>
        <w:rPr>
          <w:rFonts w:hint="eastAsia" w:ascii="仿宋_GB2312" w:hAnsi="宋体" w:eastAsia="仿宋_GB2312" w:cs="宋体"/>
          <w:bCs/>
          <w:color w:val="auto"/>
          <w:kern w:val="0"/>
          <w:sz w:val="32"/>
          <w:szCs w:val="32"/>
          <w:highlight w:val="none"/>
          <w:lang w:eastAsia="zh-CN"/>
        </w:rPr>
        <w:t>创作演出优秀（京剧、芭蕾舞、民族歌舞等）剧目，为观众服务。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2.</w:t>
      </w:r>
      <w:r>
        <w:rPr>
          <w:rFonts w:hint="eastAsia" w:ascii="仿宋_GB2312" w:hAnsi="宋体" w:eastAsia="仿宋_GB2312" w:cs="宋体"/>
          <w:bCs/>
          <w:color w:val="auto"/>
          <w:kern w:val="0"/>
          <w:sz w:val="32"/>
          <w:szCs w:val="32"/>
          <w:highlight w:val="none"/>
          <w:lang w:eastAsia="zh-CN"/>
        </w:rPr>
        <w:t>舞台艺术作品创作、传统艺术整理加工与保护、艺术音像作品录制、国内外舞台艺术作品演出、艺术研究与评论、艺术普及及推广与交流、艺术创作表演、人才培养。</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16"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lang w:val="en-US" w:eastAsia="zh-CN"/>
        </w:rPr>
        <w:t>焉耆回族自治县文工团</w:t>
      </w:r>
      <w:r>
        <w:rPr>
          <w:rFonts w:hint="eastAsia" w:ascii="仿宋_GB2312" w:hAnsi="黑体" w:eastAsia="仿宋_GB2312" w:cs="宋体"/>
          <w:bCs/>
          <w:color w:val="auto"/>
          <w:kern w:val="0"/>
          <w:sz w:val="32"/>
          <w:szCs w:val="32"/>
          <w:highlight w:val="none"/>
          <w:lang w:val="en-US" w:eastAsia="zh-CN"/>
        </w:rPr>
        <w:t>无下属预算单位,下设1个处室,</w:t>
      </w:r>
      <w:r>
        <w:rPr>
          <w:rFonts w:hint="eastAsia" w:ascii="仿宋_GB2312" w:hAnsi="黑体" w:eastAsia="仿宋_GB2312" w:cs="宋体"/>
          <w:bCs/>
          <w:color w:val="auto"/>
          <w:kern w:val="0"/>
          <w:sz w:val="32"/>
          <w:szCs w:val="32"/>
          <w:highlight w:val="none"/>
        </w:rPr>
        <w:t>分别是：</w:t>
      </w:r>
      <w:r>
        <w:rPr>
          <w:rFonts w:hint="eastAsia" w:ascii="仿宋_GB2312" w:hAnsi="黑体" w:eastAsia="仿宋_GB2312" w:cs="宋体"/>
          <w:bCs/>
          <w:color w:val="auto"/>
          <w:kern w:val="0"/>
          <w:sz w:val="32"/>
          <w:szCs w:val="32"/>
          <w:highlight w:val="none"/>
          <w:lang w:val="en-US" w:eastAsia="zh-CN"/>
        </w:rPr>
        <w:t>文工团。</w:t>
      </w:r>
    </w:p>
    <w:p>
      <w:pPr>
        <w:keepNext w:val="0"/>
        <w:keepLines w:val="0"/>
        <w:pageBreakBefore w:val="0"/>
        <w:widowControl/>
        <w:kinsoku/>
        <w:wordWrap/>
        <w:overflowPunct/>
        <w:topLinePunct w:val="0"/>
        <w:autoSpaceDE/>
        <w:autoSpaceDN/>
        <w:bidi w:val="0"/>
        <w:adjustRightInd/>
        <w:snapToGrid/>
        <w:spacing w:beforeLines="0" w:line="540" w:lineRule="exact"/>
        <w:ind w:firstLine="616"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lang w:val="en-US" w:eastAsia="zh-CN"/>
        </w:rPr>
        <w:t>焉耆回族自治县文工团</w:t>
      </w:r>
      <w:r>
        <w:rPr>
          <w:rFonts w:hint="eastAsia" w:ascii="仿宋_GB2312" w:hAnsi="黑体" w:eastAsia="仿宋_GB2312" w:cs="宋体"/>
          <w:bCs/>
          <w:color w:val="auto"/>
          <w:kern w:val="0"/>
          <w:sz w:val="32"/>
          <w:szCs w:val="32"/>
          <w:highlight w:val="none"/>
          <w:lang w:val="en-US" w:eastAsia="zh-CN"/>
        </w:rPr>
        <w:t>单位编制数7，实有人数2人，其中：在职2人，增加2人；退休0人，增加0人；离休0人，增加0人。</w:t>
      </w:r>
    </w:p>
    <w:p>
      <w:pPr>
        <w:keepNext w:val="0"/>
        <w:keepLines w:val="0"/>
        <w:pageBreakBefore w:val="0"/>
        <w:widowControl/>
        <w:numPr>
          <w:ilvl w:val="0"/>
          <w:numId w:val="1"/>
        </w:numPr>
        <w:kinsoku/>
        <w:wordWrap/>
        <w:overflowPunct/>
        <w:topLinePunct w:val="0"/>
        <w:autoSpaceDE/>
        <w:autoSpaceDN/>
        <w:bidi w:val="0"/>
        <w:adjustRightInd/>
        <w:snapToGrid/>
        <w:spacing w:beforeLines="0" w:line="540" w:lineRule="exact"/>
        <w:jc w:val="center"/>
        <w:textAlignment w:val="auto"/>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27.49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27.49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27.49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27.49</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27.49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3"/>
        <w:tblW w:w="10695" w:type="dxa"/>
        <w:tblInd w:w="-589" w:type="dxa"/>
        <w:tblLayout w:type="fixed"/>
        <w:tblCellMar>
          <w:top w:w="0" w:type="dxa"/>
          <w:left w:w="108" w:type="dxa"/>
          <w:bottom w:w="0" w:type="dxa"/>
          <w:right w:w="108" w:type="dxa"/>
        </w:tblCellMar>
      </w:tblPr>
      <w:tblGrid>
        <w:gridCol w:w="556"/>
        <w:gridCol w:w="417"/>
        <w:gridCol w:w="417"/>
        <w:gridCol w:w="1578"/>
        <w:gridCol w:w="720"/>
        <w:gridCol w:w="765"/>
        <w:gridCol w:w="765"/>
        <w:gridCol w:w="765"/>
        <w:gridCol w:w="465"/>
        <w:gridCol w:w="705"/>
        <w:gridCol w:w="510"/>
        <w:gridCol w:w="960"/>
        <w:gridCol w:w="615"/>
        <w:gridCol w:w="450"/>
        <w:gridCol w:w="375"/>
        <w:gridCol w:w="600"/>
        <w:gridCol w:w="32"/>
      </w:tblGrid>
      <w:tr>
        <w:tblPrEx>
          <w:tblCellMar>
            <w:top w:w="0" w:type="dxa"/>
            <w:left w:w="108" w:type="dxa"/>
            <w:bottom w:w="0" w:type="dxa"/>
            <w:right w:w="108" w:type="dxa"/>
          </w:tblCellMar>
        </w:tblPrEx>
        <w:trPr>
          <w:gridAfter w:val="1"/>
          <w:wAfter w:w="32" w:type="dxa"/>
          <w:trHeight w:val="492" w:hRule="atLeast"/>
        </w:trPr>
        <w:tc>
          <w:tcPr>
            <w:tcW w:w="13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57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7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93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61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6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gridAfter w:val="1"/>
          <w:wAfter w:w="32" w:type="dxa"/>
          <w:trHeight w:val="2520" w:hRule="atLeast"/>
        </w:trPr>
        <w:tc>
          <w:tcPr>
            <w:tcW w:w="55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57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1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9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61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5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gridAfter w:val="1"/>
          <w:wAfter w:w="32" w:type="dxa"/>
          <w:trHeight w:val="465" w:hRule="atLeast"/>
        </w:trPr>
        <w:tc>
          <w:tcPr>
            <w:tcW w:w="55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文化旅游体育与传媒</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19.76 </w:t>
            </w:r>
          </w:p>
        </w:tc>
        <w:tc>
          <w:tcPr>
            <w:tcW w:w="76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19.76 </w:t>
            </w:r>
          </w:p>
        </w:tc>
        <w:tc>
          <w:tcPr>
            <w:tcW w:w="76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19.76 </w:t>
            </w:r>
          </w:p>
        </w:tc>
        <w:tc>
          <w:tcPr>
            <w:tcW w:w="76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文化和旅游</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群众文化</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19.76</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4.29 </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4.29 </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4.29 </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4.29</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4.29</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4.29</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基本养老保险缴费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职业年金缴费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1.43</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1.43</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1.43</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1.30</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73"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55" w:hRule="atLeast"/>
        </w:trPr>
        <w:tc>
          <w:tcPr>
            <w:tcW w:w="55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157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7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2.14</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kern w:val="0"/>
                <w:sz w:val="18"/>
                <w:szCs w:val="18"/>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157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合计</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18"/>
                <w:szCs w:val="18"/>
                <w:u w:val="none"/>
                <w:lang w:val="en-US" w:eastAsia="zh-CN" w:bidi="ar"/>
              </w:rPr>
            </w:pPr>
            <w:r>
              <w:rPr>
                <w:rFonts w:hint="default" w:ascii="Times New Roman" w:hAnsi="Times New Roman" w:eastAsia="仿宋_GB2312" w:cs="Times New Roman"/>
                <w:b/>
                <w:bCs/>
                <w:i w:val="0"/>
                <w:color w:val="000000"/>
                <w:kern w:val="0"/>
                <w:sz w:val="18"/>
                <w:szCs w:val="18"/>
                <w:u w:val="none"/>
                <w:lang w:val="en-US" w:eastAsia="zh-CN" w:bidi="ar"/>
              </w:rPr>
              <w:t>27.49</w:t>
            </w:r>
          </w:p>
        </w:tc>
        <w:tc>
          <w:tcPr>
            <w:tcW w:w="7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18"/>
                <w:szCs w:val="18"/>
                <w:u w:val="none"/>
                <w:lang w:val="en-US" w:eastAsia="zh-CN" w:bidi="ar"/>
              </w:rPr>
            </w:pPr>
            <w:r>
              <w:rPr>
                <w:rFonts w:hint="default" w:ascii="Times New Roman" w:hAnsi="Times New Roman" w:eastAsia="仿宋_GB2312" w:cs="Times New Roman"/>
                <w:b/>
                <w:bCs/>
                <w:i w:val="0"/>
                <w:color w:val="000000"/>
                <w:kern w:val="0"/>
                <w:sz w:val="18"/>
                <w:szCs w:val="18"/>
                <w:u w:val="none"/>
                <w:lang w:val="en-US" w:eastAsia="zh-CN" w:bidi="ar"/>
              </w:rPr>
              <w:t>27.49</w:t>
            </w:r>
          </w:p>
        </w:tc>
        <w:tc>
          <w:tcPr>
            <w:tcW w:w="7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18"/>
                <w:szCs w:val="18"/>
                <w:u w:val="none"/>
                <w:lang w:val="en-US" w:eastAsia="zh-CN" w:bidi="ar"/>
              </w:rPr>
            </w:pPr>
            <w:r>
              <w:rPr>
                <w:rFonts w:hint="default" w:ascii="Times New Roman" w:hAnsi="Times New Roman" w:eastAsia="仿宋_GB2312" w:cs="Times New Roman"/>
                <w:b/>
                <w:bCs/>
                <w:i w:val="0"/>
                <w:color w:val="000000"/>
                <w:kern w:val="0"/>
                <w:sz w:val="18"/>
                <w:szCs w:val="18"/>
                <w:u w:val="none"/>
                <w:lang w:val="en-US" w:eastAsia="zh-CN" w:bidi="ar"/>
              </w:rPr>
              <w:t>27.49</w:t>
            </w:r>
          </w:p>
        </w:tc>
        <w:tc>
          <w:tcPr>
            <w:tcW w:w="7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2" w:type="dxa"/>
            <w:gridSpan w:val="2"/>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bl>
      <w:tblPr>
        <w:tblStyle w:val="13"/>
        <w:tblW w:w="9839" w:type="dxa"/>
        <w:tblInd w:w="-240" w:type="dxa"/>
        <w:tblLayout w:type="fixed"/>
        <w:tblCellMar>
          <w:top w:w="0" w:type="dxa"/>
          <w:left w:w="108" w:type="dxa"/>
          <w:bottom w:w="0" w:type="dxa"/>
          <w:right w:w="108" w:type="dxa"/>
        </w:tblCellMar>
      </w:tblPr>
      <w:tblGrid>
        <w:gridCol w:w="507"/>
        <w:gridCol w:w="435"/>
        <w:gridCol w:w="436"/>
        <w:gridCol w:w="2677"/>
        <w:gridCol w:w="1911"/>
        <w:gridCol w:w="1912"/>
        <w:gridCol w:w="1961"/>
      </w:tblGrid>
      <w:tr>
        <w:tblPrEx>
          <w:tblCellMar>
            <w:top w:w="0" w:type="dxa"/>
            <w:left w:w="108" w:type="dxa"/>
            <w:bottom w:w="0" w:type="dxa"/>
            <w:right w:w="108" w:type="dxa"/>
          </w:tblCellMar>
        </w:tblPrEx>
        <w:trPr>
          <w:trHeight w:val="519" w:hRule="atLeast"/>
        </w:trPr>
        <w:tc>
          <w:tcPr>
            <w:tcW w:w="40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784"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876" w:hRule="atLeast"/>
        </w:trPr>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67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91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91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96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45"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67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1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1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6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04"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文化旅游体育与传媒</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531"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文化和旅游</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78"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群众文化</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530"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530"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92"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基本养老保险缴费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90"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职业年金缴费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543"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7"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7"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7"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517"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531" w:hRule="atLeast"/>
        </w:trPr>
        <w:tc>
          <w:tcPr>
            <w:tcW w:w="50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3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67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9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1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53" w:hRule="atLeast"/>
        </w:trPr>
        <w:tc>
          <w:tcPr>
            <w:tcW w:w="50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4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kern w:val="0"/>
                <w:sz w:val="18"/>
                <w:szCs w:val="18"/>
                <w:u w:val="none"/>
                <w:lang w:val="en-US" w:eastAsia="zh-CN" w:bidi="ar"/>
              </w:rPr>
            </w:pPr>
          </w:p>
        </w:tc>
        <w:tc>
          <w:tcPr>
            <w:tcW w:w="43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26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合  计</w:t>
            </w:r>
          </w:p>
        </w:tc>
        <w:tc>
          <w:tcPr>
            <w:tcW w:w="1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27.49</w:t>
            </w:r>
          </w:p>
        </w:tc>
        <w:tc>
          <w:tcPr>
            <w:tcW w:w="19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27.49</w:t>
            </w:r>
          </w:p>
        </w:tc>
        <w:tc>
          <w:tcPr>
            <w:tcW w:w="196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                                          </w:t>
      </w:r>
    </w:p>
    <w:tbl>
      <w:tblPr>
        <w:tblStyle w:val="13"/>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8"/>
        <w:gridCol w:w="11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27.49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27.49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27.49</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27.49</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27.49</w:t>
            </w:r>
            <w:r>
              <w:rPr>
                <w:rFonts w:hint="default" w:ascii="Times New Roman" w:hAnsi="Times New Roman" w:cs="Times New Roman"/>
                <w:color w:val="auto"/>
                <w:kern w:val="0"/>
                <w:sz w:val="20"/>
                <w:szCs w:val="20"/>
                <w:highlight w:val="none"/>
              </w:rPr>
              <w:t>　</w:t>
            </w:r>
          </w:p>
        </w:tc>
        <w:tc>
          <w:tcPr>
            <w:tcW w:w="114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9380" w:type="dxa"/>
        <w:tblInd w:w="-34" w:type="dxa"/>
        <w:tblLayout w:type="fixed"/>
        <w:tblCellMar>
          <w:top w:w="0" w:type="dxa"/>
          <w:left w:w="108" w:type="dxa"/>
          <w:bottom w:w="0" w:type="dxa"/>
          <w:right w:w="108" w:type="dxa"/>
        </w:tblCellMar>
      </w:tblPr>
      <w:tblGrid>
        <w:gridCol w:w="494"/>
        <w:gridCol w:w="507"/>
        <w:gridCol w:w="513"/>
        <w:gridCol w:w="2551"/>
        <w:gridCol w:w="670"/>
        <w:gridCol w:w="1041"/>
        <w:gridCol w:w="219"/>
        <w:gridCol w:w="1654"/>
        <w:gridCol w:w="1731"/>
      </w:tblGrid>
      <w:tr>
        <w:tblPrEx>
          <w:tblCellMar>
            <w:top w:w="0" w:type="dxa"/>
            <w:left w:w="108" w:type="dxa"/>
            <w:bottom w:w="0" w:type="dxa"/>
            <w:right w:w="108" w:type="dxa"/>
          </w:tblCellMar>
        </w:tblPrEx>
        <w:trPr>
          <w:trHeight w:val="912" w:hRule="atLeast"/>
        </w:trPr>
        <w:tc>
          <w:tcPr>
            <w:tcW w:w="938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56" w:hRule="atLeast"/>
        </w:trPr>
        <w:tc>
          <w:tcPr>
            <w:tcW w:w="4065"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p>
        </w:tc>
        <w:tc>
          <w:tcPr>
            <w:tcW w:w="67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6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85"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607" w:hRule="atLeast"/>
        </w:trPr>
        <w:tc>
          <w:tcPr>
            <w:tcW w:w="406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31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927" w:hRule="atLeast"/>
        </w:trPr>
        <w:tc>
          <w:tcPr>
            <w:tcW w:w="151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1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7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71"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1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7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9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文化旅游体育与传媒</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565"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文化和旅游</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9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群众文化</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19.76</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5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1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4.29</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750"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基本养老保险缴费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696"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机关事业单位</w:t>
            </w:r>
            <w:r>
              <w:rPr>
                <w:rFonts w:hint="default" w:ascii="Times New Roman" w:hAnsi="Times New Roman" w:eastAsia="仿宋_GB2312" w:cs="Times New Roman"/>
                <w:i w:val="0"/>
                <w:color w:val="000000"/>
                <w:kern w:val="0"/>
                <w:sz w:val="20"/>
                <w:szCs w:val="20"/>
                <w:u w:val="none"/>
                <w:lang w:val="en-US" w:eastAsia="zh-CN" w:bidi="ar"/>
              </w:rPr>
              <w:t>职业年金缴费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55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9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9"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9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38"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color w:val="000000"/>
                <w:kern w:val="2"/>
                <w:sz w:val="20"/>
                <w:szCs w:val="20"/>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592" w:hRule="atLeast"/>
        </w:trPr>
        <w:tc>
          <w:tcPr>
            <w:tcW w:w="49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55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87" w:hRule="atLeast"/>
        </w:trPr>
        <w:tc>
          <w:tcPr>
            <w:tcW w:w="49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50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kern w:val="0"/>
                <w:sz w:val="18"/>
                <w:szCs w:val="18"/>
                <w:u w:val="none"/>
                <w:lang w:val="en-US" w:eastAsia="zh-CN" w:bidi="ar"/>
              </w:rPr>
            </w:pPr>
          </w:p>
        </w:tc>
        <w:tc>
          <w:tcPr>
            <w:tcW w:w="5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color w:val="000000"/>
                <w:kern w:val="2"/>
                <w:sz w:val="18"/>
                <w:szCs w:val="18"/>
                <w:lang w:val="en-US" w:eastAsia="zh-CN" w:bidi="ar"/>
              </w:rPr>
            </w:pPr>
          </w:p>
        </w:tc>
        <w:tc>
          <w:tcPr>
            <w:tcW w:w="25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合  计</w:t>
            </w:r>
          </w:p>
        </w:tc>
        <w:tc>
          <w:tcPr>
            <w:tcW w:w="1711"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27.49</w:t>
            </w:r>
          </w:p>
        </w:tc>
        <w:tc>
          <w:tcPr>
            <w:tcW w:w="187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27.49</w:t>
            </w:r>
          </w:p>
        </w:tc>
        <w:tc>
          <w:tcPr>
            <w:tcW w:w="173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460" w:type="dxa"/>
        <w:tblInd w:w="-148" w:type="dxa"/>
        <w:tblLayout w:type="fixed"/>
        <w:tblCellMar>
          <w:top w:w="0" w:type="dxa"/>
          <w:left w:w="108" w:type="dxa"/>
          <w:bottom w:w="0" w:type="dxa"/>
          <w:right w:w="108" w:type="dxa"/>
        </w:tblCellMar>
      </w:tblPr>
      <w:tblGrid>
        <w:gridCol w:w="767"/>
        <w:gridCol w:w="585"/>
        <w:gridCol w:w="2932"/>
        <w:gridCol w:w="1009"/>
        <w:gridCol w:w="716"/>
        <w:gridCol w:w="989"/>
        <w:gridCol w:w="736"/>
        <w:gridCol w:w="1726"/>
      </w:tblGrid>
      <w:tr>
        <w:tblPrEx>
          <w:tblCellMar>
            <w:top w:w="0" w:type="dxa"/>
            <w:left w:w="108" w:type="dxa"/>
            <w:bottom w:w="0" w:type="dxa"/>
            <w:right w:w="108" w:type="dxa"/>
          </w:tblCellMar>
        </w:tblPrEx>
        <w:trPr>
          <w:trHeight w:val="737" w:hRule="atLeast"/>
        </w:trPr>
        <w:tc>
          <w:tcPr>
            <w:tcW w:w="9460"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78" w:hRule="atLeast"/>
        </w:trPr>
        <w:tc>
          <w:tcPr>
            <w:tcW w:w="4284"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spacing w:val="-6"/>
                <w:kern w:val="0"/>
                <w:sz w:val="24"/>
                <w:szCs w:val="24"/>
                <w:highlight w:val="none"/>
                <w:lang w:val="en-US" w:eastAsia="zh-CN"/>
              </w:rPr>
              <w:t>焉耆回族自治县文工团</w:t>
            </w:r>
            <w:r>
              <w:rPr>
                <w:rFonts w:hint="default" w:ascii="Times New Roman" w:hAnsi="Times New Roman" w:eastAsia="仿宋_GB2312" w:cs="Times New Roman"/>
                <w:color w:val="auto"/>
                <w:kern w:val="0"/>
                <w:sz w:val="24"/>
                <w:szCs w:val="24"/>
                <w:highlight w:val="none"/>
              </w:rPr>
              <w:t xml:space="preserve">   </w:t>
            </w:r>
          </w:p>
        </w:tc>
        <w:tc>
          <w:tcPr>
            <w:tcW w:w="1009"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70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62"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453" w:hRule="atLeast"/>
        </w:trPr>
        <w:tc>
          <w:tcPr>
            <w:tcW w:w="428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76"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749" w:hRule="atLeast"/>
        </w:trPr>
        <w:tc>
          <w:tcPr>
            <w:tcW w:w="1352"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9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2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2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2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38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93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2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2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工资福利支出</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26.88</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26.88</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基本工资</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8.23</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8.23</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津贴补贴</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10.79</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10.79</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09</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职业年金缴费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1.43</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职工基本医疗保险缴费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其他社会保障缴费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w:t>
            </w: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商品与服务支出</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0.61</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0.61</w:t>
            </w: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　</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办公费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　</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印刷费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电费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r>
      <w:tr>
        <w:tblPrEx>
          <w:tblCellMar>
            <w:top w:w="0" w:type="dxa"/>
            <w:left w:w="108" w:type="dxa"/>
            <w:bottom w:w="0" w:type="dxa"/>
            <w:right w:w="108" w:type="dxa"/>
          </w:tblCellMar>
        </w:tblPrEx>
        <w:trPr>
          <w:trHeight w:val="487" w:hRule="atLeast"/>
        </w:trPr>
        <w:tc>
          <w:tcPr>
            <w:tcW w:w="7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邮电费</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72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r>
      <w:tr>
        <w:tblPrEx>
          <w:tblCellMar>
            <w:top w:w="0" w:type="dxa"/>
            <w:left w:w="108" w:type="dxa"/>
            <w:bottom w:w="0" w:type="dxa"/>
            <w:right w:w="108" w:type="dxa"/>
          </w:tblCellMar>
        </w:tblPrEx>
        <w:trPr>
          <w:trHeight w:val="498"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9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合  计</w:t>
            </w:r>
          </w:p>
        </w:tc>
        <w:tc>
          <w:tcPr>
            <w:tcW w:w="172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　27.49</w:t>
            </w:r>
          </w:p>
        </w:tc>
        <w:tc>
          <w:tcPr>
            <w:tcW w:w="172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　26.88</w:t>
            </w:r>
          </w:p>
        </w:tc>
        <w:tc>
          <w:tcPr>
            <w:tcW w:w="17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　0.61</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3"/>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spacing w:val="-6"/>
                <w:kern w:val="0"/>
                <w:sz w:val="24"/>
                <w:szCs w:val="24"/>
                <w:highlight w:val="none"/>
                <w:lang w:val="en-US" w:eastAsia="zh-CN"/>
              </w:rPr>
              <w:t>焉耆回族自治县文工团</w:t>
            </w:r>
            <w:r>
              <w:rPr>
                <w:rFonts w:hint="eastAsia" w:ascii="仿宋_GB2312" w:hAnsi="宋体" w:eastAsia="仿宋_GB2312"/>
                <w:color w:val="auto"/>
                <w:kern w:val="0"/>
                <w:sz w:val="24"/>
                <w:szCs w:val="24"/>
                <w:highlight w:val="none"/>
              </w:rPr>
              <w:t xml:space="preserve">   </w:t>
            </w:r>
          </w:p>
        </w:tc>
        <w:tc>
          <w:tcPr>
            <w:tcW w:w="981"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default" w:ascii="Times New Roman" w:hAnsi="Times New Roman" w:eastAsia="仿宋" w:cs="Times New Roman"/>
          <w:sz w:val="30"/>
          <w:szCs w:val="30"/>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eastAsia="zh-CN"/>
        </w:rPr>
        <w:t>2025年本单位无一般公共预算项目支出，此表为空表。</w:t>
      </w:r>
    </w:p>
    <w:p>
      <w:pPr>
        <w:widowControl/>
        <w:jc w:val="left"/>
        <w:outlineLvl w:val="1"/>
        <w:rPr>
          <w:rFonts w:hint="default" w:ascii="Times New Roman" w:hAnsi="Times New Roman" w:eastAsia="仿宋_GB2312" w:cs="Times New Roman"/>
          <w:b/>
        </w:rPr>
      </w:pPr>
    </w:p>
    <w:p>
      <w:pPr>
        <w:widowControl/>
        <w:outlineLvl w:val="1"/>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spacing w:val="-6"/>
          <w:kern w:val="0"/>
          <w:sz w:val="24"/>
          <w:szCs w:val="24"/>
          <w:highlight w:val="none"/>
          <w:lang w:val="en-US" w:eastAsia="zh-CN"/>
        </w:rPr>
        <w:t>焉耆回族自治县文工团</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spacing w:val="-6"/>
          <w:kern w:val="0"/>
          <w:sz w:val="24"/>
          <w:szCs w:val="24"/>
          <w:highlight w:val="none"/>
          <w:lang w:val="en-US" w:eastAsia="zh-CN"/>
        </w:rPr>
        <w:t>焉耆回族自治县文工团</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widowControl/>
        <w:suppressLineNumbers w:val="0"/>
        <w:jc w:val="left"/>
        <w:textAlignment w:val="bottom"/>
        <w:rPr>
          <w:rFonts w:hint="eastAsia" w:ascii="仿宋_GB2312" w:hAnsi="宋体" w:eastAsia="仿宋_GB2312"/>
          <w:b/>
          <w:color w:val="auto"/>
          <w:kern w:val="0"/>
          <w:sz w:val="28"/>
          <w:szCs w:val="32"/>
          <w:highlight w:val="none"/>
          <w:lang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eastAsia="zh-CN"/>
        </w:rPr>
        <w:t>备注：2025年本单位无国有资本经营预算支出，此表为空表。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spacing w:val="-6"/>
          <w:kern w:val="0"/>
          <w:sz w:val="24"/>
          <w:szCs w:val="24"/>
          <w:highlight w:val="none"/>
          <w:lang w:val="en-US" w:eastAsia="zh-CN"/>
        </w:rPr>
        <w:t>焉耆回族自治县文工团</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                                     </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p>
    <w:p>
      <w:pPr>
        <w:keepNext w:val="0"/>
        <w:keepLines w:val="0"/>
        <w:widowControl/>
        <w:suppressLineNumbers w:val="0"/>
        <w:jc w:val="left"/>
        <w:textAlignment w:val="bottom"/>
        <w:rPr>
          <w:rFonts w:hint="eastAsia" w:ascii="仿宋_GB2312" w:hAnsi="宋体" w:eastAsia="仿宋_GB2312"/>
          <w:b/>
          <w:color w:val="auto"/>
          <w:kern w:val="0"/>
          <w:sz w:val="28"/>
          <w:szCs w:val="32"/>
          <w:highlight w:val="none"/>
          <w:lang w:eastAsia="zh-CN"/>
        </w:rPr>
      </w:pPr>
      <w:r>
        <w:rPr>
          <w:rFonts w:hint="eastAsia" w:ascii="仿宋_GB2312" w:hAnsi="宋体" w:eastAsia="仿宋_GB2312"/>
          <w:b/>
          <w:color w:val="auto"/>
          <w:kern w:val="0"/>
          <w:sz w:val="28"/>
          <w:szCs w:val="32"/>
          <w:highlight w:val="none"/>
          <w:lang w:eastAsia="zh-CN"/>
        </w:rPr>
        <w:t>备注：2025年本单位无财政拨款“三公”经费支出，此表为空表。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spacing w:val="-6"/>
          <w:kern w:val="0"/>
          <w:sz w:val="24"/>
          <w:szCs w:val="24"/>
          <w:highlight w:val="none"/>
          <w:lang w:val="en-US" w:eastAsia="zh-CN"/>
        </w:rPr>
        <w:t>焉耆回族自治县文工团</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p>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ascii="Times New Roman" w:hAnsi="Times New Roman" w:eastAsia="仿宋_GB2312" w:cs="Times New Roman"/>
          <w:b/>
          <w:kern w:val="0"/>
          <w:sz w:val="28"/>
          <w:szCs w:val="32"/>
          <w:highlight w:val="none"/>
          <w:lang w:val="en-US" w:eastAsia="zh-CN"/>
        </w:rPr>
        <w:t>单位</w:t>
      </w:r>
      <w:r>
        <w:rPr>
          <w:rFonts w:hint="default" w:ascii="Times New Roman" w:hAnsi="Times New Roman"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w:t>
      </w:r>
      <w:r>
        <w:rPr>
          <w:rFonts w:hint="default" w:ascii="Times New Roman" w:hAnsi="Times New Roman" w:eastAsia="仿宋_GB2312" w:cs="Times New Roman"/>
          <w:b/>
          <w:kern w:val="0"/>
          <w:sz w:val="28"/>
          <w:szCs w:val="32"/>
          <w:highlight w:val="none"/>
          <w:lang w:val="en-US" w:eastAsia="zh-CN"/>
        </w:rPr>
        <w:t>结余</w:t>
      </w:r>
      <w:r>
        <w:rPr>
          <w:rFonts w:hint="default" w:ascii="Times New Roman" w:hAnsi="Times New Roman" w:eastAsia="仿宋_GB2312" w:cs="Times New Roman"/>
          <w:b/>
          <w:kern w:val="0"/>
          <w:sz w:val="28"/>
          <w:szCs w:val="32"/>
          <w:highlight w:val="none"/>
          <w:lang w:eastAsia="zh-CN"/>
        </w:rPr>
        <w:t>情况</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 xml:space="preserve">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一、关于焉耆回族自治县文工团2025年收支预算情况的总体说明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按照全口径预算的原则，焉耆回族自治县文工团2025年所有收入和支出均纳入单位预算管理。收支总预算27.49万元。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二、关于焉耆回族自治县文工团2025年收入预算情况说明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焉耆回族自治县文工团收入预算27.49万元，其中：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一般公共预算27.49万元，占100%，比上年预算增加27.49万元，增长100%，主要原因：文工团</w:t>
      </w:r>
      <w:r>
        <w:rPr>
          <w:rFonts w:hint="eastAsia" w:eastAsia="仿宋_GB2312" w:cs="Times New Roman"/>
          <w:color w:val="auto"/>
          <w:kern w:val="0"/>
          <w:sz w:val="32"/>
          <w:szCs w:val="32"/>
          <w:highlight w:val="none"/>
          <w:lang w:val="en-US" w:eastAsia="zh-CN"/>
        </w:rPr>
        <w:t>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三、关于焉耆回族自治县文工团2025年支出预算情况说明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焉耆回族自治县文工团</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27.49</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27.49</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27.49</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本单位</w:t>
      </w:r>
      <w:r>
        <w:rPr>
          <w:rFonts w:hint="eastAsia" w:eastAsia="仿宋_GB2312" w:cs="Times New Roman"/>
          <w:color w:val="auto"/>
          <w:kern w:val="0"/>
          <w:sz w:val="32"/>
          <w:szCs w:val="32"/>
          <w:highlight w:val="none"/>
          <w:lang w:val="en-US" w:eastAsia="zh-CN"/>
        </w:rPr>
        <w:t>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四、关于焉耆回族自治县文工团2025年财政拨款收支预算情况的总体说明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2025年财政拨款收支总预算27.49万元。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收入预算包括：一般公共预算拨款27.49万元。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一般公共预算支出包括:文化旅游体育与传媒支出19.76万元，主要用于</w:t>
      </w:r>
      <w:r>
        <w:rPr>
          <w:rFonts w:hint="default" w:ascii="Times New Roman" w:hAnsi="Times New Roman" w:eastAsia="仿宋_GB2312" w:cs="Times New Roman"/>
          <w:kern w:val="0"/>
          <w:sz w:val="32"/>
          <w:szCs w:val="32"/>
          <w:highlight w:val="none"/>
        </w:rPr>
        <w:t>人员工资、办公费</w:t>
      </w:r>
      <w:r>
        <w:rPr>
          <w:rFonts w:hint="eastAsia" w:eastAsia="仿宋_GB2312" w:cs="Times New Roman"/>
          <w:kern w:val="0"/>
          <w:sz w:val="32"/>
          <w:szCs w:val="32"/>
          <w:highlight w:val="none"/>
          <w:lang w:eastAsia="zh-CN"/>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社会保障和就业支出4.29万元,主要用于</w:t>
      </w:r>
      <w:r>
        <w:rPr>
          <w:rFonts w:hint="default" w:ascii="Times New Roman" w:hAnsi="Times New Roman" w:eastAsia="仿宋_GB2312" w:cs="Times New Roman"/>
          <w:kern w:val="0"/>
          <w:sz w:val="32"/>
          <w:szCs w:val="32"/>
          <w:highlight w:val="none"/>
        </w:rPr>
        <w:t>人员社保、机关事业养老保险费、</w:t>
      </w:r>
      <w:r>
        <w:rPr>
          <w:rFonts w:hint="default" w:ascii="Times New Roman" w:hAnsi="Times New Roman" w:eastAsia="仿宋_GB2312" w:cs="Times New Roman"/>
          <w:kern w:val="0"/>
          <w:sz w:val="32"/>
          <w:szCs w:val="32"/>
          <w:highlight w:val="none"/>
          <w:u w:val="none" w:color="auto"/>
          <w:lang w:val="en-US" w:eastAsia="zh-CN" w:bidi="ar-SA"/>
        </w:rPr>
        <w:t>机关事业单位</w:t>
      </w:r>
      <w:r>
        <w:rPr>
          <w:rFonts w:hint="default" w:ascii="Times New Roman" w:hAnsi="Times New Roman" w:eastAsia="仿宋_GB2312" w:cs="Times New Roman"/>
          <w:kern w:val="0"/>
          <w:sz w:val="32"/>
          <w:szCs w:val="32"/>
          <w:highlight w:val="none"/>
        </w:rPr>
        <w:t>职业年金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卫生健康支出1.3万元,主要用于</w:t>
      </w:r>
      <w:r>
        <w:rPr>
          <w:rFonts w:hint="default" w:ascii="Times New Roman" w:hAnsi="Times New Roman" w:eastAsia="仿宋_GB2312" w:cs="Times New Roman"/>
          <w:kern w:val="0"/>
          <w:sz w:val="32"/>
          <w:szCs w:val="32"/>
          <w:highlight w:val="none"/>
        </w:rPr>
        <w:t>单位医疗</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住房保障支出2.14万元，主要用于</w:t>
      </w:r>
      <w:r>
        <w:rPr>
          <w:rFonts w:hint="default" w:ascii="Times New Roman" w:hAnsi="Times New Roman" w:eastAsia="仿宋_GB2312" w:cs="Times New Roman"/>
          <w:kern w:val="0"/>
          <w:sz w:val="32"/>
          <w:szCs w:val="32"/>
          <w:highlight w:val="none"/>
        </w:rPr>
        <w:t>住房公积金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五、关于焉耆回族自治县文工团2025年一般公共预算当年拨款情况说明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焉耆回族自治县文工团2025年一般公共预算拨款合计27.49万元,其中：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基本支出27.49万元，</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27.49</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本单位</w:t>
      </w:r>
      <w:r>
        <w:rPr>
          <w:rFonts w:hint="eastAsia" w:eastAsia="仿宋_GB2312" w:cs="Times New Roman"/>
          <w:color w:val="auto"/>
          <w:kern w:val="0"/>
          <w:sz w:val="32"/>
          <w:szCs w:val="32"/>
          <w:highlight w:val="none"/>
          <w:lang w:val="en-US" w:eastAsia="zh-CN"/>
        </w:rPr>
        <w:t>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文化旅游体育与传媒支出（类）19.76万元，占71.8</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社会保障和就业支出（类）4.29万元，占15.6</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卫生健康支出（类）1.3万元，占4.7</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住房保障支出（类）2.14万元，占7.</w:t>
      </w:r>
      <w:r>
        <w:rPr>
          <w:rFonts w:hint="eastAsia" w:eastAsia="仿宋_GB2312" w:cs="Times New Roman"/>
          <w:color w:val="auto"/>
          <w:sz w:val="32"/>
          <w:szCs w:val="32"/>
          <w:highlight w:val="none"/>
          <w:lang w:val="en-US" w:eastAsia="zh-CN"/>
        </w:rPr>
        <w:t>78</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文化旅游体育与传媒支出（类）文化和旅游（款）群众文化(项):2024年预算数为</w:t>
      </w:r>
      <w:r>
        <w:rPr>
          <w:rFonts w:hint="eastAsia" w:ascii="Times New Roman" w:hAnsi="Times New Roman" w:eastAsia="仿宋_GB2312" w:cs="Times New Roman"/>
          <w:color w:val="auto"/>
          <w:kern w:val="0"/>
          <w:sz w:val="32"/>
          <w:szCs w:val="32"/>
          <w:highlight w:val="none"/>
          <w:lang w:val="en-US" w:eastAsia="zh-CN"/>
        </w:rPr>
        <w:t>19.76</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万元,增长100%,主要原因是：</w:t>
      </w:r>
      <w:r>
        <w:rPr>
          <w:rFonts w:hint="eastAsia" w:eastAsia="仿宋_GB2312" w:cs="Times New Roman"/>
          <w:color w:val="auto"/>
          <w:kern w:val="0"/>
          <w:sz w:val="32"/>
          <w:szCs w:val="32"/>
          <w:highlight w:val="none"/>
          <w:lang w:val="en-US" w:eastAsia="zh-CN"/>
        </w:rPr>
        <w:t>本单位为2025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社会保障和就业支出（类）行政事业单位养老支出（款）机关事业单位基本养老保险缴费支出(项):2025年预算数为2.86万元，比上年预算增加2.86万元,增长100%,主要原因是：</w:t>
      </w:r>
      <w:r>
        <w:rPr>
          <w:rFonts w:hint="eastAsia" w:eastAsia="仿宋_GB2312" w:cs="Times New Roman"/>
          <w:color w:val="auto"/>
          <w:kern w:val="0"/>
          <w:sz w:val="32"/>
          <w:szCs w:val="32"/>
          <w:highlight w:val="none"/>
          <w:lang w:val="en-US" w:eastAsia="zh-CN"/>
        </w:rPr>
        <w:t>本单位为2025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社会保障和就业支出（类）行政事业单位养老支出（款）机关事业单位职业年金缴费支出(项):2025年预算数为1.43万元，比上年预算增加1.43万元,增长100%,主要原因是：</w:t>
      </w:r>
      <w:r>
        <w:rPr>
          <w:rFonts w:hint="eastAsia" w:eastAsia="仿宋_GB2312" w:cs="Times New Roman"/>
          <w:color w:val="auto"/>
          <w:kern w:val="0"/>
          <w:sz w:val="32"/>
          <w:szCs w:val="32"/>
          <w:highlight w:val="none"/>
          <w:lang w:val="en-US" w:eastAsia="zh-CN"/>
        </w:rPr>
        <w:t>本单位为2025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卫生健康支出（类）行政事业单位医疗（款）事业单位医疗(项):2025年预算数为1.3万元，比上年预算增加1.3万元,增长100%,主要原因是：</w:t>
      </w:r>
      <w:r>
        <w:rPr>
          <w:rFonts w:hint="eastAsia" w:eastAsia="仿宋_GB2312" w:cs="Times New Roman"/>
          <w:color w:val="auto"/>
          <w:kern w:val="0"/>
          <w:sz w:val="32"/>
          <w:szCs w:val="32"/>
          <w:highlight w:val="none"/>
          <w:lang w:val="en-US" w:eastAsia="zh-CN"/>
        </w:rPr>
        <w:t>本单位为2025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住房保障支出（类）住房改革支出（款）住房公积金(项):2025年预算数为2.14万元，比上年预算增加2.14万元,增长100%,主要原因是：</w:t>
      </w:r>
      <w:r>
        <w:rPr>
          <w:rFonts w:hint="eastAsia" w:eastAsia="仿宋_GB2312" w:cs="Times New Roman"/>
          <w:color w:val="auto"/>
          <w:kern w:val="0"/>
          <w:sz w:val="32"/>
          <w:szCs w:val="32"/>
          <w:highlight w:val="none"/>
          <w:lang w:val="en-US" w:eastAsia="zh-CN"/>
        </w:rPr>
        <w:t>本单位为2025</w:t>
      </w:r>
      <w:r>
        <w:rPr>
          <w:rFonts w:hint="default" w:ascii="Times New Roman" w:hAnsi="Times New Roman" w:eastAsia="仿宋_GB2312" w:cs="Times New Roman"/>
          <w:color w:val="auto"/>
          <w:kern w:val="0"/>
          <w:sz w:val="32"/>
          <w:szCs w:val="32"/>
          <w:highlight w:val="none"/>
          <w:lang w:val="en-US" w:eastAsia="zh-CN"/>
        </w:rPr>
        <w:t>年新增单位。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六、关于焉耆回族自治县文工团2025年一般公共预算基本支出情况说明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焉耆回族自治县文工团2025年一般公共预算基本支出27.49万元，其中：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w:t>
      </w:r>
      <w:r>
        <w:rPr>
          <w:rFonts w:hint="eastAsia" w:eastAsia="仿宋_GB2312" w:cs="Times New Roman"/>
          <w:color w:val="auto"/>
          <w:spacing w:val="-6"/>
          <w:kern w:val="0"/>
          <w:sz w:val="32"/>
          <w:szCs w:val="32"/>
          <w:highlight w:val="none"/>
          <w:lang w:val="en-US" w:eastAsia="zh-CN"/>
        </w:rPr>
        <w:t>6</w:t>
      </w:r>
      <w:r>
        <w:rPr>
          <w:rFonts w:hint="default" w:ascii="Times New Roman" w:hAnsi="Times New Roman" w:eastAsia="仿宋_GB2312" w:cs="Times New Roman"/>
          <w:color w:val="auto"/>
          <w:spacing w:val="-6"/>
          <w:kern w:val="0"/>
          <w:sz w:val="32"/>
          <w:szCs w:val="32"/>
          <w:highlight w:val="none"/>
          <w:lang w:val="en-US" w:eastAsia="zh-CN"/>
        </w:rPr>
        <w:t>.88万元，主要包括:基本工资、津贴补贴、机关事业单位基本养老保险缴费、职业年金缴费、职工基本医疗保险缴费、其他社会保障缴费、住房公积金。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公用经费0.61万元，主要包括:办公费、印刷费、水费、电费、邮电费。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七、关于焉耆回族自治县文工团2025年一般公共预算项目支出情况说明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八、关于焉耆回族自治县文工团2025年政府性基金预算支出情况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九、关于焉耆回族自治县文工团2025年国有资本经营预算拨款情况说明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十、关于焉耆回族自治县文工团2025年财政拨款“三公”经费预算情况说明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2025年财政拨款“三公”经费比上年增加0万元，增长0%,其中：因公出国（境）费增加0万元，增长0%,主要原因是：未安排预算</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公务用车购置费增加0万元，增长0%,主要原因是：未安排预算</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公务用车运行费增加0万元，增长0%,主要原因是：未安排预算</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务接待费增加0万元，增长0%,主要原因是：未安排预算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、关于焉耆回族自治县文工团</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焉耆回族自治县文工团2025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焉耆回族自治县文工团2025年的事业单位运行经费0.61万元，比上年预算增加0.61万元，增长100%。主要原因是：</w:t>
      </w:r>
      <w:r>
        <w:rPr>
          <w:rFonts w:hint="eastAsia" w:eastAsia="仿宋_GB2312" w:cs="Times New Roman"/>
          <w:color w:val="auto"/>
          <w:kern w:val="0"/>
          <w:sz w:val="32"/>
          <w:szCs w:val="32"/>
          <w:highlight w:val="none"/>
          <w:lang w:val="en-US" w:eastAsia="zh-CN"/>
        </w:rPr>
        <w:t>本单位为2025年</w:t>
      </w:r>
      <w:r>
        <w:rPr>
          <w:rFonts w:hint="default" w:ascii="Times New Roman" w:hAnsi="Times New Roman" w:eastAsia="仿宋_GB2312" w:cs="Times New Roman"/>
          <w:color w:val="auto"/>
          <w:kern w:val="0"/>
          <w:sz w:val="32"/>
          <w:szCs w:val="32"/>
          <w:highlight w:val="none"/>
          <w:lang w:val="en-US" w:eastAsia="zh-CN"/>
        </w:rPr>
        <w:t>新增单位。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2025年，焉耆回族自治县文工团政府采购预算0.31万元，其中：政府采购货物预算0.31万元，政府采购工程预算 万元，政府采购服务预算</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2025年，焉耆回族自治县文工团面向中小企业预留政府采购项目预算金额0.31万元，小微企业预留政府采购项目预算金额0.31万元。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截至2024年底，焉耆回族自治县文工团及下属各预算单位占用使用国有资产总体情况为：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台，单位价值100万元以上大型设备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2025年单位预算购置</w:t>
      </w:r>
      <w:r>
        <w:rPr>
          <w:rFonts w:hint="eastAsia" w:ascii="仿宋_GB2312" w:hAnsi="仿宋_GB2312" w:eastAsia="仿宋_GB2312" w:cs="仿宋_GB2312"/>
          <w:color w:val="auto"/>
          <w:kern w:val="0"/>
          <w:sz w:val="32"/>
          <w:szCs w:val="32"/>
          <w:highlight w:val="none"/>
        </w:rPr>
        <w:t>未安排购置车辆经费</w:t>
      </w: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 0台，单位价值100万元以上大型设备 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涉及预算金额27.49万元；当年预算安排项目共0个，其中: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pStyle w:val="2"/>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13"/>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2138"/>
        <w:gridCol w:w="1440"/>
        <w:gridCol w:w="146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kern w:val="0"/>
                <w:sz w:val="20"/>
                <w:szCs w:val="20"/>
                <w:highlight w:val="none"/>
                <w:lang w:val="en-US" w:eastAsia="zh-CN"/>
              </w:rPr>
              <w:t>焉耆回族自治县文工团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57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马晓军</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15999002121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Cs/>
                <w:color w:val="auto"/>
                <w:kern w:val="0"/>
                <w:sz w:val="20"/>
                <w:szCs w:val="20"/>
                <w:highlight w:val="none"/>
                <w:lang w:eastAsia="zh-CN"/>
              </w:rPr>
              <w:t>创作演出优秀（京剧、芭蕾舞、民族歌舞等）剧目，为观众服务。舞台艺术作品创作、传统艺术整理加工与保护、艺术音像作品录制、国内外舞台艺术作品演出、艺术研究与评论、艺术普及及推广与交流、艺术创作表演、人才培养。完成创作演出场次2场次，完成创作演出场次2个，创作人才培训2场次，下基层演出场次60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5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数量指标</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完成创作演出场次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&gt;=2场次</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完成舞台作品创作</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&gt;=2个</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ascii="Times New Roman" w:hAnsi="Times New Roman" w:eastAsia="宋体" w:cs="Times New Roman"/>
                <w:i w:val="0"/>
                <w:iCs w:val="0"/>
                <w:color w:val="000000"/>
                <w:sz w:val="24"/>
                <w:szCs w:val="24"/>
                <w:u w:val="none"/>
                <w:lang w:val="en-US" w:eastAsia="zh-CN"/>
              </w:rPr>
              <w:t>2</w:t>
            </w:r>
            <w:r>
              <w:rPr>
                <w:rFonts w:hint="eastAsia"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创作人才培训场次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&gt;=2场次</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下基层演出场次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&gt;=60场次</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w:t>
      </w:r>
      <w:bookmarkStart w:id="0" w:name="_GoBack"/>
      <w:bookmarkEnd w:id="0"/>
      <w:r>
        <w:rPr>
          <w:rFonts w:hint="eastAsia" w:ascii="仿宋_GB2312" w:eastAsia="仿宋_GB2312"/>
          <w:sz w:val="32"/>
          <w:szCs w:val="32"/>
          <w:highlight w:val="none"/>
        </w:rPr>
        <w:t>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焉耆回族自治县文工团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2025年2月20日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_x0000_s008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Pnm7mAQAA9QMAAA4AAABkcnMvZTJvRG9jLnhtbK1TTYvbMBC9F/of&#10;hO6NnVCKCXGWQkgpLN3AtudFkeVYoC9mlNjpr+9ItpN228Me6oM8Go3ezHsz2jwM1rCLAtTe1Xy5&#10;KDlTTvpGu1PNf3zff6g4wyhcI4x3quZXhfxh+/7dpg9rtfKdN40CRiAO132oeRdjWBcFyk5ZgQsf&#10;lKPD1oMVkbZwKhoQPaFbU6zK8lPRe2gCeKkQybsbD/mECG8B9G2rpdp5ebbKxREVlBGRKGGnA/Jt&#10;rrZtlYxPbYsqMlNzYhrzSknIPqa12G7E+gQidFpOJYi3lPCKkxXaUdIb1E5Ewc6g/4KyWoJH38aF&#10;9LYYiWRFiMWyfKXNcyeCylxIagw30fH/wcpvlwMw3dT8I0nihKWOvwwlfS9YllUWqA+4prjncACS&#10;K+2QzMR2aMGmP/FgQxb1ehNVDZFJci6rVVWVBC7pbN4QTnG/HgDjF+UtS0bNgbqWxRSXR4xj6ByS&#10;sjm/18bkzhn3h4Mwk6e415isOByHqfCjb67EF/w4CBjkXlPOR4HxIIA6T3XS24hPtLTG9zX3k8VZ&#10;5+Hnv/wpnhpCp5z1NEk1d/RwODNfHTWKAONswGwcZ0M4SRdrHjk7B9CnLteVOGH4fI5ENPNPLMbS&#10;J3I0DVnBaXLTuP2+z1H317r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j55u5gEAAPUD&#10;AAAOAAAAAAAAAAEAIAAAAB8BAABkcnMvZTJvRG9jLnhtbFBLBQYAAAAABgAGAFkBAAB3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_x0000_s008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P6oHp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XHpRRBee7401Dy74nKcr3MBvWRKq57jAec&#10;d8RhVju06PM/6xDDaOr12VQzJKE5uVyv1uuS/dZ8dtswTvHyeURKXwx4kYNaIndtNFNd7ilNpbeS&#10;fFuAvXWO86py4Y8EY+ZMkRlPHHOUhuMwEz9Cc2W9CNMgUNR7y3feK0oHhdx55slvIz3w0jroawlz&#10;JEUH+PNf+VzPDeFTKXqepFoGfjhSuK+BG5WH7hbgLTjeAhU0f1jLJMU5oj11I6+sieLnc2Kho/6s&#10;YqI+i+NpGB2cJzeP2+/7serlt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cT+qB6QEA&#10;APUDAAAOAAAAAAAAAAEAIAAAAB8BAABkcnMvZTJvRG9jLnhtbFBLBQYAAAAABgAGAFkBAAB6BQAA&#10;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FFFDA"/>
    <w:multiLevelType w:val="singleLevel"/>
    <w:tmpl w:val="D36FFFD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5A2CE9"/>
    <w:rsid w:val="027903CC"/>
    <w:rsid w:val="039F65F5"/>
    <w:rsid w:val="04BE5C2D"/>
    <w:rsid w:val="04F07BE0"/>
    <w:rsid w:val="05805D01"/>
    <w:rsid w:val="05D93CB0"/>
    <w:rsid w:val="06D843B8"/>
    <w:rsid w:val="070E66FD"/>
    <w:rsid w:val="07601A8B"/>
    <w:rsid w:val="080110A1"/>
    <w:rsid w:val="09FD794F"/>
    <w:rsid w:val="0A0356BF"/>
    <w:rsid w:val="0AB0718F"/>
    <w:rsid w:val="0C2F2EBE"/>
    <w:rsid w:val="0C8325C0"/>
    <w:rsid w:val="0D8A1DC9"/>
    <w:rsid w:val="0E8D0B6E"/>
    <w:rsid w:val="0E9A6EB4"/>
    <w:rsid w:val="0ECE151A"/>
    <w:rsid w:val="10FA7A6B"/>
    <w:rsid w:val="12E11CD2"/>
    <w:rsid w:val="14555A66"/>
    <w:rsid w:val="145C4E58"/>
    <w:rsid w:val="15594030"/>
    <w:rsid w:val="155A20E9"/>
    <w:rsid w:val="16780ACC"/>
    <w:rsid w:val="178E0334"/>
    <w:rsid w:val="19076432"/>
    <w:rsid w:val="19AD0D18"/>
    <w:rsid w:val="1B3A5AC0"/>
    <w:rsid w:val="1B5B632F"/>
    <w:rsid w:val="1BB41A83"/>
    <w:rsid w:val="1BC1118C"/>
    <w:rsid w:val="1C6444A3"/>
    <w:rsid w:val="1CFA65E8"/>
    <w:rsid w:val="1D474514"/>
    <w:rsid w:val="1D9B3F76"/>
    <w:rsid w:val="1DB74F5B"/>
    <w:rsid w:val="1E017A96"/>
    <w:rsid w:val="206F48FC"/>
    <w:rsid w:val="20874AE5"/>
    <w:rsid w:val="208F4A06"/>
    <w:rsid w:val="21B93663"/>
    <w:rsid w:val="21CF0F2E"/>
    <w:rsid w:val="24D06F48"/>
    <w:rsid w:val="25872BA1"/>
    <w:rsid w:val="265701E6"/>
    <w:rsid w:val="26C507BC"/>
    <w:rsid w:val="26C5601D"/>
    <w:rsid w:val="298C2EEC"/>
    <w:rsid w:val="29931054"/>
    <w:rsid w:val="29C001E5"/>
    <w:rsid w:val="2A712FE0"/>
    <w:rsid w:val="2A956249"/>
    <w:rsid w:val="2AAB780C"/>
    <w:rsid w:val="2AE9763C"/>
    <w:rsid w:val="2AF8415D"/>
    <w:rsid w:val="2B367C44"/>
    <w:rsid w:val="2B6A711D"/>
    <w:rsid w:val="2B864F6D"/>
    <w:rsid w:val="2C906790"/>
    <w:rsid w:val="2E540B51"/>
    <w:rsid w:val="2F5C005E"/>
    <w:rsid w:val="2F705A93"/>
    <w:rsid w:val="2F9D0966"/>
    <w:rsid w:val="2FF97E9A"/>
    <w:rsid w:val="30F43451"/>
    <w:rsid w:val="30FC4F99"/>
    <w:rsid w:val="318A0898"/>
    <w:rsid w:val="31BD3F73"/>
    <w:rsid w:val="31E23F22"/>
    <w:rsid w:val="328914CC"/>
    <w:rsid w:val="35391645"/>
    <w:rsid w:val="3684419D"/>
    <w:rsid w:val="36874C2B"/>
    <w:rsid w:val="368E096A"/>
    <w:rsid w:val="370F1599"/>
    <w:rsid w:val="37AE1585"/>
    <w:rsid w:val="38665FA9"/>
    <w:rsid w:val="386F0225"/>
    <w:rsid w:val="38B57412"/>
    <w:rsid w:val="398C3787"/>
    <w:rsid w:val="39E00BAA"/>
    <w:rsid w:val="3A735E87"/>
    <w:rsid w:val="3B5671CF"/>
    <w:rsid w:val="3B622C13"/>
    <w:rsid w:val="3C927B17"/>
    <w:rsid w:val="3CC007EB"/>
    <w:rsid w:val="3EA42562"/>
    <w:rsid w:val="3F097D4C"/>
    <w:rsid w:val="3F9A46DE"/>
    <w:rsid w:val="3FF949A0"/>
    <w:rsid w:val="400362C0"/>
    <w:rsid w:val="41C81732"/>
    <w:rsid w:val="431E5B22"/>
    <w:rsid w:val="43243D46"/>
    <w:rsid w:val="435B6885"/>
    <w:rsid w:val="43871C3A"/>
    <w:rsid w:val="46CF6542"/>
    <w:rsid w:val="4760799B"/>
    <w:rsid w:val="47ED0F89"/>
    <w:rsid w:val="485D32E6"/>
    <w:rsid w:val="49346F3A"/>
    <w:rsid w:val="497614C3"/>
    <w:rsid w:val="49AA3905"/>
    <w:rsid w:val="4A805070"/>
    <w:rsid w:val="4BA452E1"/>
    <w:rsid w:val="4C957426"/>
    <w:rsid w:val="4CAB1C0B"/>
    <w:rsid w:val="4ED37501"/>
    <w:rsid w:val="4F0D5365"/>
    <w:rsid w:val="4F6467FA"/>
    <w:rsid w:val="503D5A49"/>
    <w:rsid w:val="518F3341"/>
    <w:rsid w:val="51BB30ED"/>
    <w:rsid w:val="522F066D"/>
    <w:rsid w:val="52E66A43"/>
    <w:rsid w:val="5316423B"/>
    <w:rsid w:val="545C4758"/>
    <w:rsid w:val="55DA2BE4"/>
    <w:rsid w:val="596F758E"/>
    <w:rsid w:val="5A762B1F"/>
    <w:rsid w:val="5AF217E8"/>
    <w:rsid w:val="5B086CD4"/>
    <w:rsid w:val="5B121693"/>
    <w:rsid w:val="5C027975"/>
    <w:rsid w:val="5CAD1529"/>
    <w:rsid w:val="5CD00578"/>
    <w:rsid w:val="5DA0601E"/>
    <w:rsid w:val="5EC01746"/>
    <w:rsid w:val="5EC57EB7"/>
    <w:rsid w:val="5F05054F"/>
    <w:rsid w:val="5F0F447E"/>
    <w:rsid w:val="5F74668C"/>
    <w:rsid w:val="5FDF0EDA"/>
    <w:rsid w:val="60620CA3"/>
    <w:rsid w:val="60865F7A"/>
    <w:rsid w:val="60933A6D"/>
    <w:rsid w:val="61CA3170"/>
    <w:rsid w:val="62430650"/>
    <w:rsid w:val="629948CD"/>
    <w:rsid w:val="62C77CC0"/>
    <w:rsid w:val="62CD1EF7"/>
    <w:rsid w:val="62E6132C"/>
    <w:rsid w:val="635516DF"/>
    <w:rsid w:val="635E038F"/>
    <w:rsid w:val="63C70CDC"/>
    <w:rsid w:val="641B5ABD"/>
    <w:rsid w:val="6506265C"/>
    <w:rsid w:val="652F6B9A"/>
    <w:rsid w:val="653210CD"/>
    <w:rsid w:val="65E17CD3"/>
    <w:rsid w:val="66F00303"/>
    <w:rsid w:val="68812908"/>
    <w:rsid w:val="68995004"/>
    <w:rsid w:val="698A030B"/>
    <w:rsid w:val="6C267771"/>
    <w:rsid w:val="6DB13C5A"/>
    <w:rsid w:val="6E890E49"/>
    <w:rsid w:val="6F7E74A7"/>
    <w:rsid w:val="710D657A"/>
    <w:rsid w:val="7159312C"/>
    <w:rsid w:val="71FB2552"/>
    <w:rsid w:val="73C558D6"/>
    <w:rsid w:val="741D5FC2"/>
    <w:rsid w:val="75A95B40"/>
    <w:rsid w:val="75FF4022"/>
    <w:rsid w:val="76794A81"/>
    <w:rsid w:val="76EB6FAD"/>
    <w:rsid w:val="779A3D20"/>
    <w:rsid w:val="77AD0738"/>
    <w:rsid w:val="77E37825"/>
    <w:rsid w:val="797F0A01"/>
    <w:rsid w:val="7A06347F"/>
    <w:rsid w:val="7AC05E81"/>
    <w:rsid w:val="7B2B6981"/>
    <w:rsid w:val="7C5D2EEE"/>
    <w:rsid w:val="7D0C57A7"/>
    <w:rsid w:val="7D3A1098"/>
    <w:rsid w:val="7ECE37CB"/>
    <w:rsid w:val="7F8A2F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3c00e-858b-4a3e-8d81-92281ddf00cb}">
  <ds:schemaRefs/>
</ds:datastoreItem>
</file>

<file path=customXml/itemProps3.xml><?xml version="1.0" encoding="utf-8"?>
<ds:datastoreItem xmlns:ds="http://schemas.openxmlformats.org/officeDocument/2006/customXml" ds:itemID="{ffb694d8-454d-40b3-9537-78b50488c622}">
  <ds:schemaRefs/>
</ds:datastoreItem>
</file>

<file path=customXml/itemProps4.xml><?xml version="1.0" encoding="utf-8"?>
<ds:datastoreItem xmlns:ds="http://schemas.openxmlformats.org/officeDocument/2006/customXml" ds:itemID="{9f27db70-2a03-471f-bab2-dd5468985a0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6</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2025-03-18T04:04:00Z</cp:lastPrinted>
  <dcterms:modified xsi:type="dcterms:W3CDTF">2025-04-26T10:46:32Z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