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焉耆回族自治县文化体育广播电视和旅游局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一、关于焉耆回族自治县文化体育广播电视和旅游局2025年收支预算情况的总体说明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二、关于焉耆回族自治县文化体育广播电视和旅游局2025年收入预算情况说明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三、关于焉耆回族自治县文化体育广播电视和旅游局2025年支出预算情况说明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四、关于焉耆回族自治县文化体育广播电视和旅游局2025年财政拨款收支预算情况的总体说明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五、关于焉耆回族自治县文化体育广播电视和旅游局2025年一般公共预算当年拨款情况说明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六、关于焉耆回族自治县文化体育广播电视和旅游局2025年一般公共预算基本支出情况说明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七、关于焉耆回族自治县文化体育广播电视和旅游局2025年一般公共预算项目支出情况说明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八、关于焉耆回族自治县文化体育广播电视和旅游局2025年政府性基金预算拨款情况说明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九、关于焉耆回族自治县文化体育广播电视和旅游局2025年国有资本经营预算拨款情况说明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十、关于焉耆回族自治县文化体育广播电视和旅游局2025年财政拨款“三公”经费预算情况说明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十一、关于焉耆回族自治县文化体育广播电视和旅游局2025年上年结转结余预算情况说明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1.贯彻执行党和国家关于文化艺术、体育、广播影视、新闻出版（版权）、文物、旅游业政策法规、标准规划。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2.指导管理县广播电视新闻宣传和艺术事业。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3.指导县公共文化服务体系建设。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4.指导管理县社会文化事业。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5.指导管理县文物和博物馆事业。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6.负责县新闻出版工作。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7.拟订并组织实施县动漫、游戏产业发展规划。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8.协调、指导、管理县对外文化交流与经营活动。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9.负责县旅游安全的综合协调和监督管理。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10.负责全县旅行社的监督管理工作。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11.承办县人民政府交办的其他事项。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焉耆回族自治县文化体育广播电视和旅游局</w:t>
      </w:r>
      <w:r>
        <w:rPr>
          <w:rFonts w:hint="eastAsia" w:ascii="仿宋_GB2312" w:hAnsi="黑体" w:eastAsia="仿宋_GB2312" w:cs="宋体"/>
          <w:bCs/>
          <w:color w:val="auto"/>
          <w:kern w:val="0"/>
          <w:sz w:val="32"/>
          <w:szCs w:val="32"/>
          <w:highlight w:val="none"/>
          <w:lang w:val="en-US" w:eastAsia="zh-CN"/>
        </w:rPr>
        <w:t>无下属预算单位。下设2个处室，分别是：行政办、财务室。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焉耆回族自治县文化体育广播电视和旅游局</w:t>
      </w:r>
      <w:r>
        <w:rPr>
          <w:rFonts w:hint="eastAsia" w:ascii="仿宋_GB2312" w:hAnsi="黑体" w:eastAsia="仿宋_GB2312" w:cs="宋体"/>
          <w:bCs/>
          <w:color w:val="auto"/>
          <w:kern w:val="0"/>
          <w:sz w:val="32"/>
          <w:szCs w:val="32"/>
          <w:highlight w:val="none"/>
          <w:lang w:val="en-US" w:eastAsia="zh-CN"/>
        </w:rPr>
        <w:t>单位编制数11，实有人数28人，其中：在职8人，减少1人；退休20人，增加2人；离休0人，增加0人。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1210.43</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668.93</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208.80</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460.13</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541.50</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541.50</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621.04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541.50</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1210.43</w:t>
            </w:r>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1210.43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lang w:eastAsia="zh-CN"/>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3"/>
        <w:tblpPr w:leftFromText="180" w:rightFromText="180" w:vertAnchor="text" w:horzAnchor="page" w:tblpX="959" w:tblpY="304"/>
        <w:tblOverlap w:val="never"/>
        <w:tblW w:w="6031" w:type="pct"/>
        <w:tblInd w:w="0" w:type="dxa"/>
        <w:tblLayout w:type="fixed"/>
        <w:tblCellMar>
          <w:top w:w="0" w:type="dxa"/>
          <w:left w:w="108" w:type="dxa"/>
          <w:bottom w:w="0" w:type="dxa"/>
          <w:right w:w="108" w:type="dxa"/>
        </w:tblCellMar>
      </w:tblPr>
      <w:tblGrid>
        <w:gridCol w:w="533"/>
        <w:gridCol w:w="480"/>
        <w:gridCol w:w="520"/>
        <w:gridCol w:w="1534"/>
        <w:gridCol w:w="786"/>
        <w:gridCol w:w="800"/>
        <w:gridCol w:w="734"/>
        <w:gridCol w:w="720"/>
        <w:gridCol w:w="493"/>
        <w:gridCol w:w="787"/>
        <w:gridCol w:w="426"/>
        <w:gridCol w:w="654"/>
        <w:gridCol w:w="453"/>
        <w:gridCol w:w="467"/>
        <w:gridCol w:w="400"/>
        <w:gridCol w:w="493"/>
      </w:tblGrid>
      <w:tr>
        <w:tblPrEx>
          <w:tblCellMar>
            <w:top w:w="0" w:type="dxa"/>
            <w:left w:w="108" w:type="dxa"/>
            <w:bottom w:w="0" w:type="dxa"/>
            <w:right w:w="108" w:type="dxa"/>
          </w:tblCellMar>
        </w:tblPrEx>
        <w:trPr>
          <w:trHeight w:val="702" w:hRule="atLeast"/>
        </w:trPr>
        <w:tc>
          <w:tcPr>
            <w:tcW w:w="745"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746"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382"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2244"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220"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227"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194"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239"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103" w:hRule="atLeast"/>
        </w:trPr>
        <w:tc>
          <w:tcPr>
            <w:tcW w:w="259" w:type="pct"/>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233" w:type="pct"/>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252" w:type="pct"/>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746"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82"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89"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357"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350"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239"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382"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207"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318" w:type="pc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220"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227"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194"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239" w:type="pct"/>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2"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文化旅游体育与传媒支出</w:t>
            </w:r>
          </w:p>
        </w:tc>
        <w:tc>
          <w:tcPr>
            <w:tcW w:w="382"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621.04</w:t>
            </w:r>
          </w:p>
        </w:tc>
        <w:tc>
          <w:tcPr>
            <w:tcW w:w="389"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621.04</w:t>
            </w:r>
          </w:p>
        </w:tc>
        <w:tc>
          <w:tcPr>
            <w:tcW w:w="357"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160.91</w:t>
            </w:r>
          </w:p>
        </w:tc>
        <w:tc>
          <w:tcPr>
            <w:tcW w:w="350"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460.13</w:t>
            </w:r>
          </w:p>
        </w:tc>
        <w:tc>
          <w:tcPr>
            <w:tcW w:w="239"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shd w:val="clear" w:color="000000" w:fill="FFFFFF"/>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shd w:val="clear" w:color="000000" w:fill="FFFFFF"/>
            <w:noWrap w:val="0"/>
            <w:vAlign w:val="center"/>
          </w:tcPr>
          <w:p>
            <w:pPr>
              <w:jc w:val="center"/>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文化和旅游</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238.31</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238.31</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160.91</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行政运行</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160.91</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160.91</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160.91</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其他文化支出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77.40</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77.40</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文物</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博物馆</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体育</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体育场馆</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99</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其他文化旅游体育与传媒支出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207</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99</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99</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其他文化旅游体育与传媒支出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nil"/>
              <w:left w:val="nil"/>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社会保障和就业支出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28.59</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28.59</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28.59</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行政事业单位养老支出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25.71</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25.71</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25.71</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行政单位离退休</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4.83</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4.83</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4.83</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机关事业单位基本养老保险缴费支出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13.92</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13.92</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13.92</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746" w:type="pct"/>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机关事业单位职业年金缴费支出</w:t>
            </w: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6.96</w:t>
            </w:r>
          </w:p>
        </w:tc>
        <w:tc>
          <w:tcPr>
            <w:tcW w:w="38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6.96</w:t>
            </w:r>
          </w:p>
        </w:tc>
        <w:tc>
          <w:tcPr>
            <w:tcW w:w="357"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6.96</w:t>
            </w:r>
          </w:p>
        </w:tc>
        <w:tc>
          <w:tcPr>
            <w:tcW w:w="350"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r>
              <w:rPr>
                <w:rFonts w:hint="eastAsia" w:ascii="仿宋_GB2312" w:hAnsi="宋体" w:eastAsia="仿宋_GB2312" w:cs="宋体"/>
                <w:color w:val="auto"/>
                <w:kern w:val="0"/>
                <w:sz w:val="16"/>
                <w:szCs w:val="16"/>
                <w:highlight w:val="none"/>
                <w:lang w:val="en-US" w:eastAsia="zh-CN"/>
              </w:rPr>
              <w:t>　</w:t>
            </w:r>
          </w:p>
        </w:tc>
        <w:tc>
          <w:tcPr>
            <w:tcW w:w="318" w:type="pct"/>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6"/>
                <w:szCs w:val="16"/>
                <w:highlight w:val="none"/>
              </w:rPr>
            </w:pPr>
            <w:r>
              <w:rPr>
                <w:rFonts w:hint="eastAsia" w:ascii="仿宋_GB2312" w:eastAsia="仿宋_GB2312"/>
                <w:color w:val="auto"/>
                <w:sz w:val="16"/>
                <w:szCs w:val="16"/>
                <w:highlight w:val="none"/>
              </w:rPr>
              <w:t>　</w:t>
            </w:r>
          </w:p>
        </w:tc>
        <w:tc>
          <w:tcPr>
            <w:tcW w:w="220"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227"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16"/>
                <w:szCs w:val="16"/>
                <w:highlight w:val="none"/>
              </w:rPr>
            </w:pPr>
          </w:p>
        </w:tc>
        <w:tc>
          <w:tcPr>
            <w:tcW w:w="194"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239" w:type="pct"/>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抚恤</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其他优抚支出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2.88</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卫生健康支出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行政事业单位医疗</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8.86</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行政单位医疗</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6.09</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6.09</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6.09</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w:t>
            </w:r>
            <w:r>
              <w:rPr>
                <w:rFonts w:hint="eastAsia" w:ascii="Times New Roman" w:hAnsi="Times New Roman" w:eastAsia="仿宋_GB2312" w:cs="Times New Roman"/>
                <w:color w:val="auto"/>
                <w:kern w:val="0"/>
                <w:sz w:val="18"/>
                <w:szCs w:val="18"/>
                <w:highlight w:val="none"/>
                <w:lang w:val="en-US" w:eastAsia="zh-CN"/>
              </w:rPr>
              <w:t>2</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事业单位医疗</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0.17</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0.17</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0.17</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210</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03</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公务员医疗补助</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2.60</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2.60</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2.60</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住房保障支出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住房改革支出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住房公积金</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10.44</w:t>
            </w: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其他支出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彩票公益金安排的支出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541.50</w:t>
            </w: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233"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w:t>
            </w:r>
          </w:p>
        </w:tc>
        <w:tc>
          <w:tcPr>
            <w:tcW w:w="25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746"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用于体育事业的彩票公益金支出</w:t>
            </w: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3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50"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39"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207" w:type="pct"/>
            <w:tcBorders>
              <w:top w:val="single" w:color="auto" w:sz="4" w:space="0"/>
              <w:left w:val="single" w:color="auto" w:sz="4" w:space="0"/>
              <w:bottom w:val="single" w:color="auto" w:sz="4" w:space="0"/>
              <w:right w:val="single" w:color="auto" w:sz="4" w:space="0"/>
            </w:tcBorders>
          </w:tcPr>
          <w:p>
            <w:pPr>
              <w:widowControl/>
              <w:spacing w:line="280" w:lineRule="exact"/>
              <w:jc w:val="right"/>
              <w:rPr>
                <w:rFonts w:hint="eastAsia" w:ascii="仿宋_GB2312" w:hAnsi="宋体" w:eastAsia="仿宋_GB2312" w:cs="宋体"/>
                <w:color w:val="auto"/>
                <w:kern w:val="0"/>
                <w:sz w:val="16"/>
                <w:szCs w:val="16"/>
                <w:highlight w:val="none"/>
                <w:lang w:val="en-US" w:eastAsia="zh-CN"/>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25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eastAsia="仿宋_GB2312" w:cs="Times New Roman"/>
                <w:color w:val="000000"/>
                <w:kern w:val="2"/>
                <w:sz w:val="16"/>
                <w:szCs w:val="16"/>
                <w:lang w:val="en-US" w:eastAsia="zh-CN" w:bidi="ar"/>
              </w:rPr>
            </w:pPr>
          </w:p>
        </w:tc>
        <w:tc>
          <w:tcPr>
            <w:tcW w:w="23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eastAsia="仿宋_GB2312" w:cs="Times New Roman"/>
                <w:color w:val="000000"/>
                <w:kern w:val="2"/>
                <w:sz w:val="16"/>
                <w:szCs w:val="16"/>
                <w:lang w:val="en-US" w:eastAsia="zh-CN" w:bidi="ar"/>
              </w:rPr>
            </w:pPr>
          </w:p>
        </w:tc>
        <w:tc>
          <w:tcPr>
            <w:tcW w:w="25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Times New Roman" w:hAnsi="Times New Roman" w:eastAsia="仿宋_GB2312" w:cs="Times New Roman"/>
                <w:color w:val="000000"/>
                <w:kern w:val="2"/>
                <w:sz w:val="16"/>
                <w:szCs w:val="16"/>
                <w:lang w:val="en-US" w:eastAsia="zh-CN" w:bidi="ar"/>
              </w:rPr>
            </w:pPr>
          </w:p>
        </w:tc>
        <w:tc>
          <w:tcPr>
            <w:tcW w:w="74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default" w:ascii="Times New Roman" w:hAnsi="Times New Roman" w:eastAsia="仿宋_GB2312" w:cs="Times New Roman"/>
                <w:b/>
                <w:bCs/>
                <w:i w:val="0"/>
                <w:color w:val="000000"/>
                <w:kern w:val="0"/>
                <w:sz w:val="16"/>
                <w:szCs w:val="16"/>
                <w:u w:val="none"/>
                <w:lang w:val="en-US" w:eastAsia="zh-CN" w:bidi="ar"/>
              </w:rPr>
              <w:t>合计</w:t>
            </w: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eastAsia" w:ascii="Times New Roman" w:hAnsi="Times New Roman" w:eastAsia="仿宋_GB2312" w:cs="Times New Roman"/>
                <w:b/>
                <w:bCs/>
                <w:i w:val="0"/>
                <w:color w:val="000000"/>
                <w:kern w:val="0"/>
                <w:sz w:val="16"/>
                <w:szCs w:val="16"/>
                <w:u w:val="none"/>
                <w:lang w:val="en-US" w:eastAsia="zh-CN" w:bidi="ar"/>
              </w:rPr>
              <w:t>1210.43</w:t>
            </w:r>
          </w:p>
        </w:tc>
        <w:tc>
          <w:tcPr>
            <w:tcW w:w="3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eastAsia" w:ascii="Times New Roman" w:hAnsi="Times New Roman" w:eastAsia="仿宋_GB2312" w:cs="Times New Roman"/>
                <w:b/>
                <w:bCs/>
                <w:i w:val="0"/>
                <w:color w:val="000000"/>
                <w:kern w:val="0"/>
                <w:sz w:val="16"/>
                <w:szCs w:val="16"/>
                <w:u w:val="none"/>
                <w:lang w:val="en-US" w:eastAsia="zh-CN" w:bidi="ar"/>
              </w:rPr>
              <w:t>1210.43</w:t>
            </w:r>
          </w:p>
        </w:tc>
        <w:tc>
          <w:tcPr>
            <w:tcW w:w="35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eastAsia" w:ascii="Times New Roman" w:hAnsi="Times New Roman" w:eastAsia="仿宋_GB2312" w:cs="Times New Roman"/>
                <w:b/>
                <w:bCs/>
                <w:i w:val="0"/>
                <w:color w:val="000000"/>
                <w:kern w:val="0"/>
                <w:sz w:val="16"/>
                <w:szCs w:val="16"/>
                <w:u w:val="none"/>
                <w:lang w:val="en-US" w:eastAsia="zh-CN" w:bidi="ar"/>
              </w:rPr>
              <w:t>208.80</w:t>
            </w:r>
          </w:p>
        </w:tc>
        <w:tc>
          <w:tcPr>
            <w:tcW w:w="350"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eastAsia" w:ascii="Times New Roman" w:hAnsi="Times New Roman" w:eastAsia="仿宋_GB2312" w:cs="Times New Roman"/>
                <w:b/>
                <w:bCs/>
                <w:i w:val="0"/>
                <w:color w:val="000000"/>
                <w:kern w:val="0"/>
                <w:sz w:val="16"/>
                <w:szCs w:val="16"/>
                <w:u w:val="none"/>
                <w:lang w:val="en-US" w:eastAsia="zh-CN" w:bidi="ar"/>
              </w:rPr>
              <w:t>460.13</w:t>
            </w:r>
          </w:p>
        </w:tc>
        <w:tc>
          <w:tcPr>
            <w:tcW w:w="23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p>
        </w:tc>
        <w:tc>
          <w:tcPr>
            <w:tcW w:w="38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bottom"/>
              <w:rPr>
                <w:rFonts w:hint="default" w:ascii="Times New Roman" w:hAnsi="Times New Roman" w:eastAsia="仿宋_GB2312" w:cs="Times New Roman"/>
                <w:b/>
                <w:bCs/>
                <w:i w:val="0"/>
                <w:color w:val="000000"/>
                <w:kern w:val="0"/>
                <w:sz w:val="16"/>
                <w:szCs w:val="16"/>
                <w:u w:val="none"/>
                <w:lang w:val="en-US" w:eastAsia="zh-CN" w:bidi="ar"/>
              </w:rPr>
            </w:pPr>
            <w:r>
              <w:rPr>
                <w:rFonts w:hint="default" w:ascii="Times New Roman" w:hAnsi="Times New Roman" w:eastAsia="仿宋_GB2312" w:cs="Times New Roman"/>
                <w:b/>
                <w:bCs/>
                <w:i w:val="0"/>
                <w:color w:val="000000"/>
                <w:kern w:val="0"/>
                <w:sz w:val="16"/>
                <w:szCs w:val="16"/>
                <w:u w:val="none"/>
                <w:lang w:val="en-US" w:eastAsia="zh-CN" w:bidi="ar"/>
              </w:rPr>
              <w:t>541.50</w:t>
            </w:r>
          </w:p>
        </w:tc>
        <w:tc>
          <w:tcPr>
            <w:tcW w:w="207"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318" w:type="pct"/>
            <w:tcBorders>
              <w:top w:val="single" w:color="auto" w:sz="4" w:space="0"/>
              <w:left w:val="single" w:color="auto" w:sz="4" w:space="0"/>
              <w:bottom w:val="single" w:color="auto" w:sz="4" w:space="0"/>
              <w:right w:val="single" w:color="auto" w:sz="4" w:space="0"/>
            </w:tcBorders>
          </w:tcPr>
          <w:p>
            <w:pPr>
              <w:jc w:val="right"/>
              <w:rPr>
                <w:rFonts w:ascii="仿宋_GB2312" w:hAnsi="宋体" w:eastAsia="仿宋_GB2312" w:cs="宋体"/>
                <w:color w:val="auto"/>
                <w:sz w:val="16"/>
                <w:szCs w:val="16"/>
                <w:highlight w:val="none"/>
              </w:rPr>
            </w:pPr>
          </w:p>
        </w:tc>
        <w:tc>
          <w:tcPr>
            <w:tcW w:w="220"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227"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16"/>
                <w:szCs w:val="16"/>
                <w:highlight w:val="none"/>
              </w:rPr>
            </w:pPr>
          </w:p>
        </w:tc>
        <w:tc>
          <w:tcPr>
            <w:tcW w:w="194"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c>
          <w:tcPr>
            <w:tcW w:w="239" w:type="pct"/>
            <w:tcBorders>
              <w:top w:val="single" w:color="auto" w:sz="4" w:space="0"/>
              <w:left w:val="single" w:color="auto" w:sz="4" w:space="0"/>
              <w:bottom w:val="single" w:color="auto" w:sz="4" w:space="0"/>
              <w:right w:val="single" w:color="auto" w:sz="4" w:space="0"/>
            </w:tcBorders>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tabs>
          <w:tab w:val="left" w:pos="7333"/>
        </w:tabs>
        <w:rPr>
          <w:rFonts w:hint="eastAsia" w:ascii="宋体" w:hAnsi="宋体" w:eastAsia="宋体" w:cs="宋体"/>
          <w:i w:val="0"/>
          <w:color w:val="auto"/>
          <w:kern w:val="0"/>
          <w:sz w:val="20"/>
          <w:szCs w:val="20"/>
          <w:highlight w:val="none"/>
          <w:u w:val="none"/>
          <w:lang w:val="en-US" w:eastAsia="zh-CN" w:bidi="ar"/>
        </w:rPr>
      </w:pPr>
      <w:r>
        <w:rPr>
          <w:rFonts w:hint="eastAsia" w:ascii="宋体" w:hAnsi="宋体" w:cs="宋体"/>
          <w:i w:val="0"/>
          <w:color w:val="auto"/>
          <w:kern w:val="0"/>
          <w:sz w:val="20"/>
          <w:szCs w:val="20"/>
          <w:highlight w:val="none"/>
          <w:u w:val="none"/>
          <w:lang w:val="en-US" w:eastAsia="zh-CN" w:bidi="ar"/>
        </w:rPr>
        <w:tab/>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                                      </w:t>
      </w:r>
    </w:p>
    <w:tbl>
      <w:tblPr>
        <w:tblStyle w:val="13"/>
        <w:tblW w:w="9474" w:type="dxa"/>
        <w:tblInd w:w="-240" w:type="dxa"/>
        <w:tblLayout w:type="fixed"/>
        <w:tblCellMar>
          <w:top w:w="0" w:type="dxa"/>
          <w:left w:w="108" w:type="dxa"/>
          <w:bottom w:w="0" w:type="dxa"/>
          <w:right w:w="108" w:type="dxa"/>
        </w:tblCellMar>
      </w:tblPr>
      <w:tblGrid>
        <w:gridCol w:w="526"/>
        <w:gridCol w:w="420"/>
        <w:gridCol w:w="442"/>
        <w:gridCol w:w="3443"/>
        <w:gridCol w:w="1305"/>
        <w:gridCol w:w="1613"/>
        <w:gridCol w:w="1725"/>
      </w:tblGrid>
      <w:tr>
        <w:tblPrEx>
          <w:tblCellMar>
            <w:top w:w="0" w:type="dxa"/>
            <w:left w:w="108" w:type="dxa"/>
            <w:bottom w:w="0" w:type="dxa"/>
            <w:right w:w="108" w:type="dxa"/>
          </w:tblCellMar>
        </w:tblPrEx>
        <w:trPr>
          <w:trHeight w:val="323" w:hRule="atLeast"/>
        </w:trPr>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4643"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534" w:hRule="atLeast"/>
        </w:trPr>
        <w:tc>
          <w:tcPr>
            <w:tcW w:w="1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344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30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61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72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9"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4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344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30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61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72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318"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文化旅游体育与传媒支出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621.04</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460.13</w:t>
            </w: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文化和旅游</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238.31</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行政运行</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其他文化支出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r>
      <w:tr>
        <w:tblPrEx>
          <w:tblCellMar>
            <w:top w:w="0" w:type="dxa"/>
            <w:left w:w="108" w:type="dxa"/>
            <w:bottom w:w="0" w:type="dxa"/>
            <w:right w:w="108" w:type="dxa"/>
          </w:tblCellMar>
        </w:tblPrEx>
        <w:trPr>
          <w:trHeight w:val="27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文物</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博物馆</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r>
      <w:tr>
        <w:tblPrEx>
          <w:tblCellMar>
            <w:top w:w="0" w:type="dxa"/>
            <w:left w:w="108" w:type="dxa"/>
            <w:bottom w:w="0" w:type="dxa"/>
            <w:right w:w="108" w:type="dxa"/>
          </w:tblCellMar>
        </w:tblPrEx>
        <w:trPr>
          <w:trHeight w:val="30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体育</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r>
      <w:tr>
        <w:tblPrEx>
          <w:tblCellMar>
            <w:top w:w="0" w:type="dxa"/>
            <w:left w:w="108" w:type="dxa"/>
            <w:bottom w:w="0" w:type="dxa"/>
            <w:right w:w="108" w:type="dxa"/>
          </w:tblCellMar>
        </w:tblPrEx>
        <w:trPr>
          <w:trHeight w:val="27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体育场馆</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r>
      <w:tr>
        <w:tblPrEx>
          <w:tblCellMar>
            <w:top w:w="0" w:type="dxa"/>
            <w:left w:w="108" w:type="dxa"/>
            <w:bottom w:w="0" w:type="dxa"/>
            <w:right w:w="108" w:type="dxa"/>
          </w:tblCellMar>
        </w:tblPrEx>
        <w:trPr>
          <w:trHeight w:val="460"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其他文化旅游体育与传媒支出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r>
      <w:tr>
        <w:tblPrEx>
          <w:tblCellMar>
            <w:top w:w="0" w:type="dxa"/>
            <w:left w:w="108" w:type="dxa"/>
            <w:bottom w:w="0" w:type="dxa"/>
            <w:right w:w="108" w:type="dxa"/>
          </w:tblCellMar>
        </w:tblPrEx>
        <w:trPr>
          <w:trHeight w:val="460"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其他文化旅游体育与传媒支出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社会保障和就业支出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行政事业单位养老支出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25.71</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25.71</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行政单位离退休</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8"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13.92</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13.92</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8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机关事业单位职业年金缴费支出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6.96</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6.96</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09"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抚恤</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其他优抚支出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8"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卫生健康支出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20"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3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行政单位医疗</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6.09</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6.09</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公务员医疗补助</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1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住房改革支出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4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eastAsia"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r>
      <w:tr>
        <w:tblPrEx>
          <w:tblCellMar>
            <w:top w:w="0" w:type="dxa"/>
            <w:left w:w="108" w:type="dxa"/>
            <w:bottom w:w="0" w:type="dxa"/>
            <w:right w:w="108" w:type="dxa"/>
          </w:tblCellMar>
        </w:tblPrEx>
        <w:trPr>
          <w:trHeight w:val="273" w:hRule="atLeast"/>
        </w:trPr>
        <w:tc>
          <w:tcPr>
            <w:tcW w:w="526"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44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44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彩票公益金安排的支出</w:t>
            </w:r>
          </w:p>
        </w:tc>
        <w:tc>
          <w:tcPr>
            <w:tcW w:w="130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r>
      <w:tr>
        <w:tblPrEx>
          <w:tblCellMar>
            <w:top w:w="0" w:type="dxa"/>
            <w:left w:w="108" w:type="dxa"/>
            <w:bottom w:w="0" w:type="dxa"/>
            <w:right w:w="108" w:type="dxa"/>
          </w:tblCellMar>
        </w:tblPrEx>
        <w:trPr>
          <w:trHeight w:val="436"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　</w:t>
            </w:r>
          </w:p>
        </w:tc>
        <w:tc>
          <w:tcPr>
            <w:tcW w:w="42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w:t>
            </w:r>
          </w:p>
        </w:tc>
        <w:tc>
          <w:tcPr>
            <w:tcW w:w="44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3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用于体育事业的彩票公益金支出</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541.50</w:t>
            </w:r>
          </w:p>
        </w:tc>
      </w:tr>
      <w:tr>
        <w:tblPrEx>
          <w:tblCellMar>
            <w:top w:w="0" w:type="dxa"/>
            <w:left w:w="108" w:type="dxa"/>
            <w:bottom w:w="0" w:type="dxa"/>
            <w:right w:w="108" w:type="dxa"/>
          </w:tblCellMar>
        </w:tblPrEx>
        <w:trPr>
          <w:trHeight w:val="416" w:hRule="atLeast"/>
        </w:trPr>
        <w:tc>
          <w:tcPr>
            <w:tcW w:w="52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p>
        </w:tc>
        <w:tc>
          <w:tcPr>
            <w:tcW w:w="42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p>
        </w:tc>
        <w:tc>
          <w:tcPr>
            <w:tcW w:w="442"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p>
        </w:tc>
        <w:tc>
          <w:tcPr>
            <w:tcW w:w="34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仿宋_GB2312" w:cs="Times New Roman"/>
                <w:b/>
                <w:bCs/>
                <w:i w:val="0"/>
                <w:color w:val="000000"/>
                <w:kern w:val="0"/>
                <w:sz w:val="20"/>
                <w:szCs w:val="20"/>
                <w:u w:val="none"/>
                <w:lang w:val="en-US" w:eastAsia="zh-CN" w:bidi="ar"/>
              </w:rPr>
              <w:t>合  计</w:t>
            </w:r>
          </w:p>
        </w:tc>
        <w:tc>
          <w:tcPr>
            <w:tcW w:w="13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仿宋_GB2312" w:cs="Times New Roman"/>
                <w:b/>
                <w:bCs/>
                <w:i w:val="0"/>
                <w:color w:val="000000"/>
                <w:kern w:val="0"/>
                <w:sz w:val="20"/>
                <w:szCs w:val="20"/>
                <w:u w:val="none"/>
                <w:lang w:val="en-US" w:eastAsia="zh-CN" w:bidi="ar"/>
              </w:rPr>
              <w:t>1210.43</w:t>
            </w:r>
          </w:p>
        </w:tc>
        <w:tc>
          <w:tcPr>
            <w:tcW w:w="16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208.80</w:t>
            </w:r>
          </w:p>
        </w:tc>
        <w:tc>
          <w:tcPr>
            <w:tcW w:w="172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1001.63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单位：万元                                      </w:t>
      </w:r>
    </w:p>
    <w:tbl>
      <w:tblPr>
        <w:tblStyle w:val="13"/>
        <w:tblW w:w="10025" w:type="dxa"/>
        <w:tblInd w:w="-240" w:type="dxa"/>
        <w:tblLayout w:type="fixed"/>
        <w:tblCellMar>
          <w:top w:w="0" w:type="dxa"/>
          <w:left w:w="108" w:type="dxa"/>
          <w:bottom w:w="0" w:type="dxa"/>
          <w:right w:w="108" w:type="dxa"/>
        </w:tblCellMar>
      </w:tblPr>
      <w:tblGrid>
        <w:gridCol w:w="2131"/>
        <w:gridCol w:w="1095"/>
        <w:gridCol w:w="2625"/>
        <w:gridCol w:w="990"/>
        <w:gridCol w:w="1065"/>
        <w:gridCol w:w="1035"/>
        <w:gridCol w:w="1084"/>
      </w:tblGrid>
      <w:tr>
        <w:tblPrEx>
          <w:tblCellMar>
            <w:top w:w="0" w:type="dxa"/>
            <w:left w:w="108" w:type="dxa"/>
            <w:bottom w:w="0" w:type="dxa"/>
            <w:right w:w="108" w:type="dxa"/>
          </w:tblCellMar>
        </w:tblPrEx>
        <w:trPr>
          <w:trHeight w:val="311" w:hRule="atLeast"/>
        </w:trPr>
        <w:tc>
          <w:tcPr>
            <w:tcW w:w="3226"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7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39" w:hRule="atLeast"/>
        </w:trPr>
        <w:tc>
          <w:tcPr>
            <w:tcW w:w="213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0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08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eastAsia="zh-CN"/>
              </w:rPr>
              <w:t>国有资本经营预算</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1210.43</w:t>
            </w:r>
            <w:r>
              <w:rPr>
                <w:rFonts w:hint="default" w:ascii="Times New Roman" w:hAnsi="Times New Roman" w:eastAsia="仿宋_GB2312" w:cs="Times New Roman"/>
                <w:color w:val="auto"/>
                <w:kern w:val="0"/>
                <w:sz w:val="20"/>
                <w:szCs w:val="20"/>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668.93</w:t>
            </w:r>
            <w:r>
              <w:rPr>
                <w:rFonts w:hint="default" w:ascii="Times New Roman" w:hAnsi="Times New Roman" w:eastAsia="仿宋_GB2312" w:cs="Times New Roman"/>
                <w:color w:val="auto"/>
                <w:kern w:val="0"/>
                <w:sz w:val="20"/>
                <w:szCs w:val="20"/>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541.50</w:t>
            </w:r>
            <w:r>
              <w:rPr>
                <w:rFonts w:hint="default" w:ascii="Times New Roman" w:hAnsi="Times New Roman" w:eastAsia="仿宋_GB2312" w:cs="Times New Roman"/>
                <w:color w:val="auto"/>
                <w:kern w:val="0"/>
                <w:sz w:val="20"/>
                <w:szCs w:val="20"/>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20"/>
                <w:szCs w:val="20"/>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4"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04"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621.04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621.04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卫生健康支出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灾害防治及应急管理支出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541.50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541.50</w:t>
            </w: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转移性支出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29"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095"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1084"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40" w:hRule="exact"/>
        </w:trPr>
        <w:tc>
          <w:tcPr>
            <w:tcW w:w="213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09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1210.43</w:t>
            </w:r>
            <w:r>
              <w:rPr>
                <w:rFonts w:hint="default" w:ascii="Times New Roman" w:hAnsi="Times New Roman" w:eastAsia="仿宋_GB2312" w:cs="Times New Roman"/>
                <w:b/>
                <w:bCs/>
                <w:color w:val="auto"/>
                <w:kern w:val="0"/>
                <w:sz w:val="20"/>
                <w:szCs w:val="20"/>
                <w:highlight w:val="none"/>
              </w:rPr>
              <w:t>　</w:t>
            </w:r>
          </w:p>
        </w:tc>
        <w:tc>
          <w:tcPr>
            <w:tcW w:w="262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99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1210.43　</w:t>
            </w:r>
          </w:p>
        </w:tc>
        <w:tc>
          <w:tcPr>
            <w:tcW w:w="106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668.93　</w:t>
            </w:r>
          </w:p>
        </w:tc>
        <w:tc>
          <w:tcPr>
            <w:tcW w:w="103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541.50　</w:t>
            </w:r>
          </w:p>
        </w:tc>
        <w:tc>
          <w:tcPr>
            <w:tcW w:w="108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lang w:val="en-US" w:eastAsia="zh-CN"/>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3"/>
        <w:tblW w:w="9214" w:type="dxa"/>
        <w:tblInd w:w="-34" w:type="dxa"/>
        <w:tblLayout w:type="fixed"/>
        <w:tblCellMar>
          <w:top w:w="0" w:type="dxa"/>
          <w:left w:w="108" w:type="dxa"/>
          <w:bottom w:w="0" w:type="dxa"/>
          <w:right w:w="108" w:type="dxa"/>
        </w:tblCellMar>
      </w:tblPr>
      <w:tblGrid>
        <w:gridCol w:w="672"/>
        <w:gridCol w:w="512"/>
        <w:gridCol w:w="534"/>
        <w:gridCol w:w="3522"/>
        <w:gridCol w:w="1320"/>
        <w:gridCol w:w="1155"/>
        <w:gridCol w:w="1499"/>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524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397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71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352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3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15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49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67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1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35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32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15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9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30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文化旅游体育与传媒支出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621.04</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460.13</w:t>
            </w:r>
          </w:p>
        </w:tc>
      </w:tr>
      <w:tr>
        <w:tblPrEx>
          <w:tblCellMar>
            <w:top w:w="0" w:type="dxa"/>
            <w:left w:w="108" w:type="dxa"/>
            <w:bottom w:w="0" w:type="dxa"/>
            <w:right w:w="108" w:type="dxa"/>
          </w:tblCellMar>
        </w:tblPrEx>
        <w:trPr>
          <w:trHeight w:val="33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文化和旅游</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238.31</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r>
      <w:tr>
        <w:tblPrEx>
          <w:tblCellMar>
            <w:top w:w="0" w:type="dxa"/>
            <w:left w:w="108" w:type="dxa"/>
            <w:bottom w:w="0" w:type="dxa"/>
            <w:right w:w="108" w:type="dxa"/>
          </w:tblCellMar>
        </w:tblPrEx>
        <w:trPr>
          <w:trHeight w:val="31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行政运行</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160.91</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7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77.40</w:t>
            </w:r>
          </w:p>
        </w:tc>
      </w:tr>
      <w:tr>
        <w:tblPrEx>
          <w:tblCellMar>
            <w:top w:w="0" w:type="dxa"/>
            <w:left w:w="108" w:type="dxa"/>
            <w:bottom w:w="0" w:type="dxa"/>
            <w:right w:w="108" w:type="dxa"/>
          </w:tblCellMar>
        </w:tblPrEx>
        <w:trPr>
          <w:trHeight w:val="24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文物</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r>
      <w:tr>
        <w:tblPrEx>
          <w:tblCellMar>
            <w:top w:w="0" w:type="dxa"/>
            <w:left w:w="108" w:type="dxa"/>
            <w:bottom w:w="0" w:type="dxa"/>
            <w:right w:w="108" w:type="dxa"/>
          </w:tblCellMar>
        </w:tblPrEx>
        <w:trPr>
          <w:trHeight w:val="9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博物馆</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r>
      <w:tr>
        <w:tblPrEx>
          <w:tblCellMar>
            <w:top w:w="0" w:type="dxa"/>
            <w:left w:w="108" w:type="dxa"/>
            <w:bottom w:w="0" w:type="dxa"/>
            <w:right w:w="108" w:type="dxa"/>
          </w:tblCellMar>
        </w:tblPrEx>
        <w:trPr>
          <w:trHeight w:val="31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体育</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r>
      <w:tr>
        <w:tblPrEx>
          <w:tblCellMar>
            <w:top w:w="0" w:type="dxa"/>
            <w:left w:w="108" w:type="dxa"/>
            <w:bottom w:w="0" w:type="dxa"/>
            <w:right w:w="108" w:type="dxa"/>
          </w:tblCellMar>
        </w:tblPrEx>
        <w:trPr>
          <w:trHeight w:val="39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体育场馆</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29.00</w:t>
            </w: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323.73</w:t>
            </w: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28.59</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25.71</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25.71</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行政单位离退休</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13.92</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13.92</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6.96</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6.96</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32"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抚恤</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其他优抚支出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3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8.86</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63"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行政单位医疗</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6.09</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6.09</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9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0.17</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公务员医疗补助</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82"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26"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22"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13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10.44</w:t>
            </w:r>
          </w:p>
        </w:tc>
        <w:tc>
          <w:tcPr>
            <w:tcW w:w="14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50" w:hRule="atLeast"/>
        </w:trPr>
        <w:tc>
          <w:tcPr>
            <w:tcW w:w="67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p>
        </w:tc>
        <w:tc>
          <w:tcPr>
            <w:tcW w:w="51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0"/>
                <w:szCs w:val="20"/>
                <w:highlight w:val="none"/>
              </w:rPr>
            </w:pPr>
          </w:p>
        </w:tc>
        <w:tc>
          <w:tcPr>
            <w:tcW w:w="53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0"/>
                <w:szCs w:val="20"/>
                <w:highlight w:val="none"/>
              </w:rPr>
            </w:pPr>
          </w:p>
        </w:tc>
        <w:tc>
          <w:tcPr>
            <w:tcW w:w="35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合  计</w:t>
            </w: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668.93</w:t>
            </w:r>
          </w:p>
        </w:tc>
        <w:tc>
          <w:tcPr>
            <w:tcW w:w="11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208.80</w:t>
            </w:r>
          </w:p>
        </w:tc>
        <w:tc>
          <w:tcPr>
            <w:tcW w:w="149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460.13</w:t>
            </w: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3"/>
        <w:tblW w:w="9328" w:type="dxa"/>
        <w:tblInd w:w="-148" w:type="dxa"/>
        <w:tblLayout w:type="fixed"/>
        <w:tblCellMar>
          <w:top w:w="0" w:type="dxa"/>
          <w:left w:w="108" w:type="dxa"/>
          <w:bottom w:w="0" w:type="dxa"/>
          <w:right w:w="108" w:type="dxa"/>
        </w:tblCellMar>
      </w:tblPr>
      <w:tblGrid>
        <w:gridCol w:w="639"/>
        <w:gridCol w:w="614"/>
        <w:gridCol w:w="2972"/>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253"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97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6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61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97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工资福利支出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133.67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133.67</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基本工资</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44.46</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44.46</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津贴补贴</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48.44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48.44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机关事业单位基本养老保险缴费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w:t>
            </w:r>
            <w:r>
              <w:rPr>
                <w:rFonts w:hint="eastAsia" w:ascii="Times New Roman" w:hAnsi="Times New Roman" w:eastAsia="仿宋_GB2312" w:cs="Times New Roman"/>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13.9</w:t>
            </w:r>
            <w:r>
              <w:rPr>
                <w:rFonts w:hint="eastAsia" w:ascii="Times New Roman" w:hAnsi="Times New Roman" w:eastAsia="仿宋_GB2312" w:cs="Times New Roman"/>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09</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职业年金缴费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w:t>
            </w:r>
            <w:r>
              <w:rPr>
                <w:rFonts w:hint="eastAsia" w:ascii="Times New Roman" w:hAnsi="Times New Roman" w:eastAsia="仿宋_GB2312" w:cs="Times New Roman"/>
                <w:color w:val="auto"/>
                <w:kern w:val="0"/>
                <w:sz w:val="20"/>
                <w:szCs w:val="20"/>
                <w:highlight w:val="none"/>
                <w:lang w:val="en-US" w:eastAsia="zh-CN"/>
              </w:rPr>
              <w:t>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w:t>
            </w:r>
            <w:r>
              <w:rPr>
                <w:rFonts w:hint="eastAsia" w:ascii="Times New Roman" w:hAnsi="Times New Roman" w:eastAsia="仿宋_GB2312" w:cs="Times New Roman"/>
                <w:color w:val="auto"/>
                <w:kern w:val="0"/>
                <w:sz w:val="20"/>
                <w:szCs w:val="20"/>
                <w:highlight w:val="none"/>
                <w:lang w:val="en-US" w:eastAsia="zh-CN"/>
              </w:rPr>
              <w:t>5</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职工基本医疗保险缴费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6.24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公务员医疗补助缴费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2.60</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其他社会保障缴费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0.63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614" w:type="dxa"/>
            <w:tcBorders>
              <w:top w:val="nil"/>
              <w:left w:val="nil"/>
              <w:bottom w:val="single" w:color="auto" w:sz="4" w:space="0"/>
              <w:right w:val="single" w:color="auto" w:sz="4" w:space="0"/>
            </w:tcBorders>
            <w:noWrap w:val="0"/>
            <w:vAlign w:val="center"/>
          </w:tcPr>
          <w:p>
            <w:pPr>
              <w:widowControl/>
              <w:spacing w:line="280" w:lineRule="exact"/>
              <w:ind w:firstLine="180" w:firstLineChars="10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10.44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商品与服务支出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67.41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67.41</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办公费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3.06</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3.06</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印刷费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0.29</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0.29</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水费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0.26</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电费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0.31</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邮电费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0.34</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取暖费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61.02</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61.02</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福利费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0.01</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工会经费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公务用车运行维护费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w:t>
            </w: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对个人和家庭补助</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7.71</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退休费</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4.83</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303</w:t>
            </w:r>
          </w:p>
        </w:tc>
        <w:tc>
          <w:tcPr>
            <w:tcW w:w="6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生活补助</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2.88</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63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1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97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仿宋_GB2312" w:cs="Times New Roman"/>
                <w:b/>
                <w:bCs/>
                <w:i w:val="0"/>
                <w:color w:val="000000"/>
                <w:kern w:val="0"/>
                <w:sz w:val="20"/>
                <w:szCs w:val="20"/>
                <w:u w:val="none"/>
                <w:lang w:val="en-US" w:eastAsia="zh-CN" w:bidi="ar"/>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208.80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141.39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67.41</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3"/>
        <w:tblW w:w="10539" w:type="dxa"/>
        <w:tblInd w:w="-360" w:type="dxa"/>
        <w:tblLayout w:type="fixed"/>
        <w:tblCellMar>
          <w:top w:w="0" w:type="dxa"/>
          <w:left w:w="108" w:type="dxa"/>
          <w:bottom w:w="0" w:type="dxa"/>
          <w:right w:w="108" w:type="dxa"/>
        </w:tblCellMar>
      </w:tblPr>
      <w:tblGrid>
        <w:gridCol w:w="8"/>
        <w:gridCol w:w="478"/>
        <w:gridCol w:w="472"/>
        <w:gridCol w:w="413"/>
        <w:gridCol w:w="1313"/>
        <w:gridCol w:w="1874"/>
        <w:gridCol w:w="883"/>
        <w:gridCol w:w="480"/>
        <w:gridCol w:w="773"/>
        <w:gridCol w:w="447"/>
        <w:gridCol w:w="510"/>
        <w:gridCol w:w="600"/>
        <w:gridCol w:w="390"/>
        <w:gridCol w:w="480"/>
        <w:gridCol w:w="495"/>
        <w:gridCol w:w="473"/>
        <w:gridCol w:w="450"/>
      </w:tblGrid>
      <w:tr>
        <w:tblPrEx>
          <w:tblCellMar>
            <w:top w:w="0" w:type="dxa"/>
            <w:left w:w="108" w:type="dxa"/>
            <w:bottom w:w="0" w:type="dxa"/>
            <w:right w:w="108" w:type="dxa"/>
          </w:tblCellMar>
        </w:tblPrEx>
        <w:trPr>
          <w:gridBefore w:val="1"/>
          <w:gridAfter w:val="1"/>
          <w:wBefore w:w="8" w:type="dxa"/>
          <w:wAfter w:w="450" w:type="dxa"/>
          <w:trHeight w:val="375" w:hRule="atLeast"/>
        </w:trPr>
        <w:tc>
          <w:tcPr>
            <w:tcW w:w="10081" w:type="dxa"/>
            <w:gridSpan w:val="15"/>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450" w:type="dxa"/>
          <w:trHeight w:val="405" w:hRule="atLeast"/>
        </w:trPr>
        <w:tc>
          <w:tcPr>
            <w:tcW w:w="10081" w:type="dxa"/>
            <w:gridSpan w:val="15"/>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s="宋体"/>
                <w:color w:val="auto"/>
                <w:kern w:val="0"/>
                <w:sz w:val="24"/>
                <w:highlight w:val="none"/>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7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1313"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874"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88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48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77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447"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51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0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39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48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9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7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5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486"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72"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3"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1313"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87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88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7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4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1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9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8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9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7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5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top"/>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Hans"/>
              </w:rPr>
            </w:pPr>
          </w:p>
        </w:tc>
        <w:tc>
          <w:tcPr>
            <w:tcW w:w="413" w:type="dxa"/>
            <w:noWrap w:val="0"/>
            <w:vAlign w:val="top"/>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文化旅游体育与传媒支出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460.13</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460.13</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40" w:lineRule="auto"/>
              <w:ind w:left="0" w:leftChars="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3" w:type="dxa"/>
            <w:noWrap w:val="0"/>
            <w:vAlign w:val="top"/>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文化和旅游</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77.4</w:t>
            </w:r>
            <w:r>
              <w:rPr>
                <w:rFonts w:hint="eastAsia" w:ascii="Times New Roman" w:hAnsi="Times New Roman" w:eastAsia="仿宋_GB2312" w:cs="Times New Roman"/>
                <w:color w:val="auto"/>
                <w:kern w:val="0"/>
                <w:sz w:val="18"/>
                <w:szCs w:val="18"/>
                <w:highlight w:val="none"/>
                <w:lang w:val="en-US" w:eastAsia="zh-CN"/>
              </w:rPr>
              <w:t>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40" w:lineRule="auto"/>
              <w:ind w:left="0" w:leftChars="0"/>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3" w:type="dxa"/>
            <w:noWrap w:val="0"/>
            <w:vAlign w:val="center"/>
          </w:tcPr>
          <w:p>
            <w:pPr>
              <w:widowControl/>
              <w:spacing w:line="240" w:lineRule="auto"/>
              <w:ind w:left="0" w:leftChars="0"/>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其他文化和旅游支出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巴财教【2024】71号-中自治区2025年公共文化馆图书馆免费开放配套资金</w:t>
            </w: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12.60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12.6</w:t>
            </w:r>
            <w:r>
              <w:rPr>
                <w:rFonts w:hint="eastAsia" w:ascii="Times New Roman" w:hAnsi="Times New Roman" w:eastAsia="仿宋_GB2312" w:cs="Times New Roman"/>
                <w:color w:val="auto"/>
                <w:kern w:val="0"/>
                <w:sz w:val="18"/>
                <w:szCs w:val="18"/>
                <w:highlight w:val="none"/>
                <w:lang w:val="en-US" w:eastAsia="zh-CN"/>
              </w:rPr>
              <w:t>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41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其他文化和旅游支出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巴财教【2024】65号-中央2025年公共文化馆图书馆免费开放资金</w:t>
            </w: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64.80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64.8</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02</w:t>
            </w:r>
          </w:p>
        </w:tc>
        <w:tc>
          <w:tcPr>
            <w:tcW w:w="41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文物</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13"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博物馆</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巴财教【2024】63号-2025年国家公博物馆免费开放资金</w:t>
            </w: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41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体育</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w:t>
            </w:r>
          </w:p>
        </w:tc>
        <w:tc>
          <w:tcPr>
            <w:tcW w:w="413"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体育场馆</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巴财教【2024】51号-2025年公共体育场馆免费开放资金</w:t>
            </w: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99</w:t>
            </w:r>
          </w:p>
        </w:tc>
        <w:tc>
          <w:tcPr>
            <w:tcW w:w="413"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323.73</w:t>
            </w:r>
          </w:p>
        </w:tc>
        <w:tc>
          <w:tcPr>
            <w:tcW w:w="447"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510"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600"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390"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480"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495"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473"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c>
          <w:tcPr>
            <w:tcW w:w="450" w:type="dxa"/>
            <w:noWrap w:val="0"/>
            <w:vAlign w:val="top"/>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413"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巴财教【2024】76号-2025年自治区旅游发展专项资金</w:t>
            </w:r>
          </w:p>
        </w:tc>
        <w:tc>
          <w:tcPr>
            <w:tcW w:w="88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100.00</w:t>
            </w:r>
          </w:p>
        </w:tc>
        <w:tc>
          <w:tcPr>
            <w:tcW w:w="480"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w:t>
            </w:r>
            <w:r>
              <w:rPr>
                <w:rFonts w:hint="eastAsia" w:ascii="Times New Roman" w:hAnsi="Times New Roman" w:eastAsia="仿宋_GB2312" w:cs="Times New Roman"/>
                <w:color w:val="auto"/>
                <w:kern w:val="0"/>
                <w:sz w:val="18"/>
                <w:szCs w:val="18"/>
                <w:highlight w:val="none"/>
                <w:lang w:val="en-US" w:eastAsia="zh-CN"/>
              </w:rPr>
              <w:t>.00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413" w:type="dxa"/>
            <w:noWrap w:val="0"/>
            <w:vAlign w:val="center"/>
          </w:tcPr>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巴财教【2024】59号-2025年中央补助地方公共文化体系建设资金</w:t>
            </w:r>
          </w:p>
        </w:tc>
        <w:tc>
          <w:tcPr>
            <w:tcW w:w="883"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49.73</w:t>
            </w:r>
          </w:p>
        </w:tc>
        <w:tc>
          <w:tcPr>
            <w:tcW w:w="480"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49.73</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72"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413" w:type="dxa"/>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p>
            <w:pPr>
              <w:widowControl/>
              <w:spacing w:line="280" w:lineRule="exact"/>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99</w:t>
            </w:r>
          </w:p>
        </w:tc>
        <w:tc>
          <w:tcPr>
            <w:tcW w:w="1313"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其他文化旅游体育与传媒支出</w:t>
            </w:r>
          </w:p>
        </w:tc>
        <w:tc>
          <w:tcPr>
            <w:tcW w:w="1874" w:type="dxa"/>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巴财教【2024】59号-2025年公共文化体系建设资金</w:t>
            </w:r>
          </w:p>
        </w:tc>
        <w:tc>
          <w:tcPr>
            <w:tcW w:w="883"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174.00</w:t>
            </w:r>
          </w:p>
        </w:tc>
        <w:tc>
          <w:tcPr>
            <w:tcW w:w="480"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773" w:type="dxa"/>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174</w:t>
            </w:r>
            <w:r>
              <w:rPr>
                <w:rFonts w:hint="eastAsia" w:ascii="Times New Roman" w:hAnsi="Times New Roman" w:eastAsia="仿宋_GB2312" w:cs="Times New Roman"/>
                <w:color w:val="auto"/>
                <w:kern w:val="0"/>
                <w:sz w:val="18"/>
                <w:szCs w:val="18"/>
                <w:highlight w:val="none"/>
                <w:lang w:val="en-US" w:eastAsia="zh-CN"/>
              </w:rPr>
              <w:t>.00</w:t>
            </w:r>
          </w:p>
        </w:tc>
        <w:tc>
          <w:tcPr>
            <w:tcW w:w="447"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51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60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39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8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95"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73"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c>
          <w:tcPr>
            <w:tcW w:w="450" w:type="dxa"/>
            <w:noWrap w:val="0"/>
            <w:vAlign w:val="top"/>
          </w:tcPr>
          <w:p>
            <w:pPr>
              <w:widowControl/>
              <w:spacing w:line="280" w:lineRule="exact"/>
              <w:jc w:val="righ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86"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72" w:type="dxa"/>
            <w:noWrap w:val="0"/>
            <w:vAlign w:val="top"/>
          </w:tcPr>
          <w:p>
            <w:pPr>
              <w:widowControl/>
              <w:jc w:val="left"/>
              <w:outlineLvl w:val="1"/>
              <w:rPr>
                <w:rFonts w:ascii="仿宋_GB2312" w:hAnsi="宋体" w:eastAsia="仿宋_GB2312"/>
                <w:color w:val="auto"/>
                <w:kern w:val="0"/>
                <w:sz w:val="32"/>
                <w:szCs w:val="32"/>
                <w:highlight w:val="none"/>
              </w:rPr>
            </w:pPr>
          </w:p>
        </w:tc>
        <w:tc>
          <w:tcPr>
            <w:tcW w:w="413" w:type="dxa"/>
            <w:noWrap w:val="0"/>
            <w:vAlign w:val="top"/>
          </w:tcPr>
          <w:p>
            <w:pPr>
              <w:widowControl/>
              <w:jc w:val="left"/>
              <w:outlineLvl w:val="1"/>
              <w:rPr>
                <w:rFonts w:ascii="仿宋_GB2312" w:hAnsi="宋体" w:eastAsia="仿宋_GB2312"/>
                <w:color w:val="auto"/>
                <w:kern w:val="0"/>
                <w:sz w:val="32"/>
                <w:szCs w:val="32"/>
                <w:highlight w:val="none"/>
              </w:rPr>
            </w:pPr>
          </w:p>
        </w:tc>
        <w:tc>
          <w:tcPr>
            <w:tcW w:w="131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874" w:type="dxa"/>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仿宋_GB2312" w:cs="Times New Roman"/>
                <w:b/>
                <w:bCs/>
                <w:i w:val="0"/>
                <w:color w:val="000000"/>
                <w:kern w:val="0"/>
                <w:sz w:val="20"/>
                <w:szCs w:val="20"/>
                <w:u w:val="none"/>
                <w:lang w:val="en-US" w:eastAsia="zh-CN" w:bidi="ar"/>
              </w:rPr>
              <w:t>合 计</w:t>
            </w:r>
          </w:p>
        </w:tc>
        <w:tc>
          <w:tcPr>
            <w:tcW w:w="883" w:type="dxa"/>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460.13</w:t>
            </w:r>
          </w:p>
        </w:tc>
        <w:tc>
          <w:tcPr>
            <w:tcW w:w="480" w:type="dxa"/>
            <w:noWrap w:val="0"/>
            <w:vAlign w:val="top"/>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　</w:t>
            </w:r>
          </w:p>
        </w:tc>
        <w:tc>
          <w:tcPr>
            <w:tcW w:w="773" w:type="dxa"/>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460.13</w:t>
            </w:r>
          </w:p>
        </w:tc>
        <w:tc>
          <w:tcPr>
            <w:tcW w:w="44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1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39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9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73"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5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pStyle w:val="5"/>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842"/>
        <w:gridCol w:w="673"/>
        <w:gridCol w:w="700"/>
        <w:gridCol w:w="2245"/>
        <w:gridCol w:w="1325"/>
        <w:gridCol w:w="1018"/>
        <w:gridCol w:w="1063"/>
        <w:gridCol w:w="1348"/>
      </w:tblGrid>
      <w:tr>
        <w:tblPrEx>
          <w:tblCellMar>
            <w:top w:w="0" w:type="dxa"/>
            <w:left w:w="108" w:type="dxa"/>
            <w:bottom w:w="0" w:type="dxa"/>
            <w:right w:w="108" w:type="dxa"/>
          </w:tblCellMar>
        </w:tblPrEx>
        <w:trPr>
          <w:trHeight w:val="465" w:hRule="atLeast"/>
        </w:trPr>
        <w:tc>
          <w:tcPr>
            <w:tcW w:w="446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754"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221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245"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25"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081"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4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245"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25"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1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4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84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700"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24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其他支出</w:t>
            </w:r>
          </w:p>
        </w:tc>
        <w:tc>
          <w:tcPr>
            <w:tcW w:w="132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w:t>
            </w:r>
          </w:p>
        </w:tc>
      </w:tr>
      <w:tr>
        <w:tblPrEx>
          <w:tblCellMar>
            <w:top w:w="0" w:type="dxa"/>
            <w:left w:w="108" w:type="dxa"/>
            <w:bottom w:w="0" w:type="dxa"/>
            <w:right w:w="108" w:type="dxa"/>
          </w:tblCellMar>
        </w:tblPrEx>
        <w:trPr>
          <w:trHeight w:val="51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彩票公益金安排的支出</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541.5</w:t>
            </w:r>
          </w:p>
        </w:tc>
      </w:tr>
      <w:tr>
        <w:tblPrEx>
          <w:tblCellMar>
            <w:top w:w="0" w:type="dxa"/>
            <w:left w:w="108" w:type="dxa"/>
            <w:bottom w:w="0" w:type="dxa"/>
            <w:right w:w="108" w:type="dxa"/>
          </w:tblCellMar>
        </w:tblPrEx>
        <w:trPr>
          <w:trHeight w:val="547"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用于体育事业的彩票公益金支出</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w:t>
            </w:r>
          </w:p>
        </w:tc>
      </w:tr>
      <w:tr>
        <w:tblPrEx>
          <w:tblCellMar>
            <w:top w:w="0" w:type="dxa"/>
            <w:left w:w="108" w:type="dxa"/>
            <w:bottom w:w="0" w:type="dxa"/>
            <w:right w:w="108" w:type="dxa"/>
          </w:tblCellMar>
        </w:tblPrEx>
        <w:trPr>
          <w:trHeight w:val="51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用于体育事业的彩票公益金支出</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221.5</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221.5</w:t>
            </w:r>
          </w:p>
        </w:tc>
      </w:tr>
      <w:tr>
        <w:tblPrEx>
          <w:tblCellMar>
            <w:top w:w="0" w:type="dxa"/>
            <w:left w:w="108" w:type="dxa"/>
            <w:bottom w:w="0" w:type="dxa"/>
            <w:right w:w="108" w:type="dxa"/>
          </w:tblCellMar>
        </w:tblPrEx>
        <w:trPr>
          <w:trHeight w:val="51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用于体育事业的彩票公益金支出</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w:t>
            </w:r>
          </w:p>
        </w:tc>
      </w:tr>
      <w:tr>
        <w:tblPrEx>
          <w:tblCellMar>
            <w:top w:w="0" w:type="dxa"/>
            <w:left w:w="108" w:type="dxa"/>
            <w:bottom w:w="0" w:type="dxa"/>
            <w:right w:w="108" w:type="dxa"/>
          </w:tblCellMar>
        </w:tblPrEx>
        <w:trPr>
          <w:trHeight w:val="51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229</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60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bottom"/>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用于体育事业的彩票公益金支出</w:t>
            </w:r>
          </w:p>
        </w:tc>
        <w:tc>
          <w:tcPr>
            <w:tcW w:w="132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w:t>
            </w:r>
          </w:p>
        </w:tc>
        <w:tc>
          <w:tcPr>
            <w:tcW w:w="101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06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c>
          <w:tcPr>
            <w:tcW w:w="134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w:t>
            </w:r>
          </w:p>
        </w:tc>
      </w:tr>
      <w:tr>
        <w:tblPrEx>
          <w:tblCellMar>
            <w:top w:w="0" w:type="dxa"/>
            <w:left w:w="108" w:type="dxa"/>
            <w:bottom w:w="0" w:type="dxa"/>
            <w:right w:w="108" w:type="dxa"/>
          </w:tblCellMar>
        </w:tblPrEx>
        <w:trPr>
          <w:trHeight w:val="510" w:hRule="atLeast"/>
        </w:trPr>
        <w:tc>
          <w:tcPr>
            <w:tcW w:w="84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73"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700"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2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eastAsia" w:ascii="Times New Roman" w:hAnsi="Times New Roman" w:eastAsia="仿宋_GB2312" w:cs="Times New Roman"/>
                <w:b/>
                <w:bCs/>
                <w:i w:val="0"/>
                <w:color w:val="000000"/>
                <w:kern w:val="0"/>
                <w:sz w:val="20"/>
                <w:szCs w:val="20"/>
                <w:u w:val="none"/>
                <w:lang w:val="en-US" w:eastAsia="zh-CN" w:bidi="ar"/>
              </w:rPr>
              <w:t>合  计</w:t>
            </w:r>
          </w:p>
        </w:tc>
        <w:tc>
          <w:tcPr>
            <w:tcW w:w="132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541.50</w:t>
            </w:r>
          </w:p>
        </w:tc>
        <w:tc>
          <w:tcPr>
            <w:tcW w:w="101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p>
        </w:tc>
        <w:tc>
          <w:tcPr>
            <w:tcW w:w="106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p>
        </w:tc>
        <w:tc>
          <w:tcPr>
            <w:tcW w:w="13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b/>
                <w:bCs/>
                <w:i w:val="0"/>
                <w:color w:val="000000"/>
                <w:kern w:val="0"/>
                <w:sz w:val="20"/>
                <w:szCs w:val="20"/>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541.50</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ascii="宋体" w:hAnsi="宋体" w:eastAsia="宋体" w:cs="宋体"/>
          <w:i w:val="0"/>
          <w:color w:val="auto"/>
          <w:kern w:val="0"/>
          <w:sz w:val="20"/>
          <w:szCs w:val="20"/>
          <w:highlight w:val="none"/>
          <w:u w:val="none"/>
          <w:lang w:val="en-US" w:eastAsia="zh-CN" w:bidi="ar"/>
        </w:rPr>
      </w:pPr>
    </w:p>
    <w:p>
      <w:pPr>
        <w:pStyle w:val="4"/>
        <w:rPr>
          <w:rFonts w:hint="eastAsia" w:ascii="宋体" w:hAnsi="宋体" w:eastAsia="宋体" w:cs="宋体"/>
          <w:i w:val="0"/>
          <w:color w:val="auto"/>
          <w:kern w:val="0"/>
          <w:sz w:val="20"/>
          <w:szCs w:val="20"/>
          <w:highlight w:val="none"/>
          <w:u w:val="none"/>
          <w:lang w:val="en-US" w:eastAsia="zh-CN" w:bidi="ar"/>
        </w:rPr>
      </w:pPr>
    </w:p>
    <w:p>
      <w:pPr>
        <w:pStyle w:val="5"/>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1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eastAsia="仿宋_GB2312"/>
          <w:b/>
          <w:sz w:val="28"/>
        </w:rPr>
        <w:t>202</w:t>
      </w:r>
      <w:r>
        <w:rPr>
          <w:rFonts w:hint="eastAsia" w:eastAsia="仿宋_GB2312"/>
          <w:b/>
          <w:sz w:val="28"/>
          <w:lang w:val="en-US" w:eastAsia="zh-CN"/>
        </w:rPr>
        <w:t>5</w:t>
      </w:r>
      <w:r>
        <w:rPr>
          <w:rFonts w:eastAsia="仿宋_GB2312"/>
          <w:b/>
          <w:sz w:val="28"/>
        </w:rPr>
        <w:t>年</w:t>
      </w:r>
      <w:r>
        <w:rPr>
          <w:rFonts w:hint="eastAsia" w:eastAsia="仿宋_GB2312"/>
          <w:b/>
          <w:sz w:val="28"/>
          <w:lang w:eastAsia="zh-CN"/>
        </w:rPr>
        <w:t>本</w:t>
      </w:r>
      <w:r>
        <w:rPr>
          <w:rFonts w:hint="eastAsia" w:eastAsia="仿宋_GB2312"/>
          <w:b/>
          <w:sz w:val="28"/>
        </w:rPr>
        <w:t>单位</w:t>
      </w:r>
      <w:r>
        <w:rPr>
          <w:rFonts w:hint="eastAsia" w:eastAsia="仿宋_GB2312"/>
          <w:b/>
          <w:sz w:val="28"/>
          <w:lang w:eastAsia="zh-CN"/>
        </w:rPr>
        <w:t>无</w:t>
      </w:r>
      <w:r>
        <w:rPr>
          <w:rFonts w:eastAsia="仿宋_GB2312"/>
          <w:b/>
          <w:sz w:val="28"/>
        </w:rPr>
        <w:t>国有资本经营支出预算，此表为空表。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                                          </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244"/>
        <w:gridCol w:w="1380"/>
        <w:gridCol w:w="129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44"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01"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4"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29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44"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380"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297" w:type="dxa"/>
            <w:noWrap w:val="0"/>
            <w:vAlign w:val="top"/>
          </w:tcPr>
          <w:p>
            <w:pPr>
              <w:widowControl/>
              <w:outlineLvl w:val="1"/>
              <w:rPr>
                <w:rFonts w:hint="default" w:ascii="仿宋_GB2312" w:hAnsi="宋体" w:eastAsia="仿宋_GB2312"/>
                <w:b/>
                <w:color w:val="auto"/>
                <w:kern w:val="0"/>
                <w:sz w:val="28"/>
                <w:szCs w:val="32"/>
                <w:highlight w:val="none"/>
                <w:vertAlign w:val="baseline"/>
                <w:lang w:val="en-US" w:eastAsia="zh-CN"/>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44"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p>
        </w:tc>
        <w:tc>
          <w:tcPr>
            <w:tcW w:w="138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p>
        </w:tc>
        <w:tc>
          <w:tcPr>
            <w:tcW w:w="12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44"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p>
        </w:tc>
        <w:tc>
          <w:tcPr>
            <w:tcW w:w="1380"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p>
        </w:tc>
        <w:tc>
          <w:tcPr>
            <w:tcW w:w="12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44"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380"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2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44"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p>
        </w:tc>
        <w:tc>
          <w:tcPr>
            <w:tcW w:w="1380"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p>
        </w:tc>
        <w:tc>
          <w:tcPr>
            <w:tcW w:w="12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44"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380" w:type="dxa"/>
            <w:noWrap w:val="0"/>
            <w:vAlign w:val="top"/>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2.10</w:t>
            </w:r>
          </w:p>
        </w:tc>
        <w:tc>
          <w:tcPr>
            <w:tcW w:w="12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12"/>
        <w:rPr>
          <w:rFonts w:hint="eastAsia"/>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s="宋体"/>
          <w:color w:val="auto"/>
          <w:kern w:val="0"/>
          <w:sz w:val="24"/>
          <w:szCs w:val="24"/>
          <w:highlight w:val="none"/>
        </w:rPr>
        <w:t>焉耆回族自治县文化体育广播电视和旅游局</w:t>
      </w:r>
      <w:r>
        <w:rPr>
          <w:rFonts w:hint="eastAsia" w:ascii="仿宋_GB2312" w:hAnsi="宋体" w:eastAsia="仿宋_GB2312"/>
          <w:color w:val="auto"/>
          <w:kern w:val="0"/>
          <w:sz w:val="24"/>
          <w:highlight w:val="none"/>
        </w:rPr>
        <w:t xml:space="preserve">          单位：万元                                   </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eastAsia="仿宋_GB2312"/>
          <w:b/>
          <w:sz w:val="28"/>
        </w:rPr>
        <w:t>202</w:t>
      </w:r>
      <w:r>
        <w:rPr>
          <w:rFonts w:hint="eastAsia" w:eastAsia="仿宋_GB2312"/>
          <w:b/>
          <w:sz w:val="28"/>
          <w:lang w:val="en-US" w:eastAsia="zh-CN"/>
        </w:rPr>
        <w:t>5</w:t>
      </w:r>
      <w:r>
        <w:rPr>
          <w:rFonts w:eastAsia="仿宋_GB2312"/>
          <w:b/>
          <w:sz w:val="28"/>
        </w:rPr>
        <w:t>年</w:t>
      </w:r>
      <w:r>
        <w:rPr>
          <w:rFonts w:hint="eastAsia" w:eastAsia="仿宋_GB2312"/>
          <w:b/>
          <w:sz w:val="28"/>
          <w:lang w:eastAsia="zh-CN"/>
        </w:rPr>
        <w:t>本</w:t>
      </w:r>
      <w:r>
        <w:rPr>
          <w:rFonts w:hint="eastAsia" w:eastAsia="仿宋_GB2312"/>
          <w:b/>
          <w:sz w:val="28"/>
        </w:rPr>
        <w:t>单位</w:t>
      </w:r>
      <w:r>
        <w:rPr>
          <w:rFonts w:eastAsia="仿宋_GB2312"/>
          <w:b/>
          <w:sz w:val="28"/>
        </w:rPr>
        <w:t>无上年结转结余情况，此表为空表。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一、关于焉耆回族自治县文化体育广播电视和旅游局2025年收支预算情况的总体说明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按照全口径预算的原则，焉耆回族自治县文化体育广播电视和旅游局2025年所有收入和支出均纳入单位预算管理。收支总预算1210.43万元。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收入预算包括:一般公共预算、政府性基金预算。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二、关于焉耆回族自治县文化体育广播电视和旅游局2025年收入预算情况说明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焉耆回族自治县文化体育广播电视和旅游局收入预算1210.43万元，其中：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w:t>
      </w:r>
      <w:r>
        <w:rPr>
          <w:rFonts w:hint="eastAsia" w:eastAsia="仿宋_GB2312" w:cs="Times New Roman"/>
          <w:color w:val="auto"/>
          <w:kern w:val="0"/>
          <w:sz w:val="32"/>
          <w:szCs w:val="32"/>
          <w:highlight w:val="none"/>
          <w:lang w:val="en-US" w:eastAsia="zh-CN"/>
        </w:rPr>
        <w:t>208.80</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17.25</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减少38.89</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15.</w:t>
      </w:r>
      <w:r>
        <w:rPr>
          <w:rFonts w:hint="eastAsia" w:eastAsia="仿宋_GB2312" w:cs="Times New Roman"/>
          <w:color w:val="auto"/>
          <w:kern w:val="0"/>
          <w:sz w:val="32"/>
          <w:szCs w:val="32"/>
          <w:highlight w:val="none"/>
          <w:lang w:val="en-US" w:eastAsia="zh-CN"/>
        </w:rPr>
        <w:t>70</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是在职人员减少，</w:t>
      </w:r>
      <w:r>
        <w:rPr>
          <w:rFonts w:hint="default" w:ascii="Times New Roman" w:hAnsi="Times New Roman" w:eastAsia="仿宋_GB2312" w:cs="Times New Roman"/>
          <w:color w:val="auto"/>
          <w:kern w:val="0"/>
          <w:sz w:val="32"/>
          <w:szCs w:val="32"/>
          <w:highlight w:val="none"/>
          <w:lang w:val="en-US" w:eastAsia="zh-CN"/>
        </w:rPr>
        <w:t>工资社保住房公积金减少。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上级一般公共预算安排的转移支付资金460.13万元，占38.01%，比上年预算数增加127.73万元，增加38.43%，主要原因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本年上级一般公共预算安排的转移支付</w:t>
      </w:r>
      <w:r>
        <w:rPr>
          <w:rFonts w:hint="eastAsia"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提前下达。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上级政府性基金安排的转移支付541.5万元，占44.74%，比上年预算</w:t>
      </w:r>
      <w:r>
        <w:rPr>
          <w:rFonts w:hint="eastAsia" w:eastAsia="仿宋_GB2312" w:cs="Times New Roman"/>
          <w:color w:val="auto"/>
          <w:kern w:val="0"/>
          <w:sz w:val="32"/>
          <w:szCs w:val="32"/>
          <w:highlight w:val="none"/>
          <w:lang w:val="en-US" w:eastAsia="zh-CN"/>
        </w:rPr>
        <w:t>减少682.50</w:t>
      </w:r>
      <w:r>
        <w:rPr>
          <w:rFonts w:hint="default" w:ascii="Times New Roman" w:hAnsi="Times New Roman" w:eastAsia="仿宋_GB2312" w:cs="Times New Roman"/>
          <w:color w:val="auto"/>
          <w:kern w:val="0"/>
          <w:sz w:val="32"/>
          <w:szCs w:val="32"/>
          <w:highlight w:val="none"/>
          <w:lang w:val="en-US" w:eastAsia="zh-CN"/>
        </w:rPr>
        <w:t>万元，减少5</w:t>
      </w:r>
      <w:r>
        <w:rPr>
          <w:rFonts w:hint="eastAsia" w:eastAsia="仿宋_GB2312" w:cs="Times New Roman"/>
          <w:color w:val="auto"/>
          <w:kern w:val="0"/>
          <w:sz w:val="32"/>
          <w:szCs w:val="32"/>
          <w:highlight w:val="none"/>
          <w:lang w:val="en-US" w:eastAsia="zh-CN"/>
        </w:rPr>
        <w:t>7.76</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是本年度</w:t>
      </w:r>
      <w:r>
        <w:rPr>
          <w:rFonts w:hint="default" w:ascii="Times New Roman" w:hAnsi="Times New Roman" w:eastAsia="仿宋_GB2312" w:cs="Times New Roman"/>
          <w:color w:val="auto"/>
          <w:kern w:val="0"/>
          <w:sz w:val="32"/>
          <w:szCs w:val="32"/>
          <w:highlight w:val="none"/>
          <w:lang w:val="en-US" w:eastAsia="zh-CN"/>
        </w:rPr>
        <w:t>减少</w:t>
      </w:r>
      <w:r>
        <w:rPr>
          <w:rFonts w:hint="eastAsia" w:eastAsia="仿宋_GB2312" w:cs="Times New Roman"/>
          <w:color w:val="auto"/>
          <w:kern w:val="0"/>
          <w:sz w:val="32"/>
          <w:szCs w:val="32"/>
          <w:highlight w:val="none"/>
          <w:lang w:val="en-US" w:eastAsia="zh-CN"/>
        </w:rPr>
        <w:t>彩票公益金项目</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三、关于焉耆回族自治县文化体育广播电视和旅游局2025年支出预算情况说明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焉耆回族自治县文化体育广播电视和旅游局</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1210.43</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208.80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17.25</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38.89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15.7%，</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在职人员</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工资社保住房公积金减少。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1001.63</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82.75</w:t>
      </w:r>
      <w:r>
        <w:rPr>
          <w:rFonts w:hint="default" w:ascii="Times New Roman" w:hAnsi="Times New Roman" w:eastAsia="仿宋_GB2312" w:cs="Times New Roman"/>
          <w:color w:val="auto"/>
          <w:kern w:val="0"/>
          <w:sz w:val="32"/>
          <w:szCs w:val="32"/>
          <w:highlight w:val="none"/>
        </w:rPr>
        <w:t xml:space="preserve">%，比上年预算减少  </w:t>
      </w:r>
      <w:r>
        <w:rPr>
          <w:rFonts w:hint="default" w:ascii="Times New Roman" w:hAnsi="Times New Roman" w:eastAsia="仿宋_GB2312" w:cs="Times New Roman"/>
          <w:color w:val="auto"/>
          <w:kern w:val="0"/>
          <w:sz w:val="32"/>
          <w:szCs w:val="32"/>
          <w:highlight w:val="none"/>
          <w:lang w:val="en-US" w:eastAsia="zh-CN"/>
        </w:rPr>
        <w:t>554.77</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35.64%，</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本年度</w:t>
      </w:r>
      <w:r>
        <w:rPr>
          <w:rFonts w:hint="default" w:ascii="Times New Roman" w:hAnsi="Times New Roman" w:eastAsia="仿宋_GB2312" w:cs="Times New Roman"/>
          <w:color w:val="auto"/>
          <w:kern w:val="0"/>
          <w:sz w:val="32"/>
          <w:szCs w:val="32"/>
          <w:highlight w:val="none"/>
          <w:lang w:val="en-US" w:eastAsia="zh-CN"/>
        </w:rPr>
        <w:t>彩票公益金</w:t>
      </w:r>
      <w:r>
        <w:rPr>
          <w:rFonts w:hint="eastAsia" w:eastAsia="仿宋_GB2312" w:cs="Times New Roman"/>
          <w:color w:val="auto"/>
          <w:kern w:val="0"/>
          <w:sz w:val="32"/>
          <w:szCs w:val="32"/>
          <w:highlight w:val="none"/>
          <w:lang w:val="en-US" w:eastAsia="zh-CN"/>
        </w:rPr>
        <w:t>项目</w:t>
      </w:r>
      <w:r>
        <w:rPr>
          <w:rFonts w:hint="default"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四、关于焉耆回族自治县文化体育广播电视和旅游局2025年财政拨款收支预算情况的总体说明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2025年财政拨款收支总预算1210.43万元。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收入预算包括：一般公共预算拨款668.93万元、政府性基金预算拨款541.5万元</w:t>
      </w:r>
      <w:r>
        <w:rPr>
          <w:rFonts w:hint="eastAsia" w:eastAsia="仿宋_GB2312" w:cs="Times New Roman"/>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国有资本经营预算拨</w:t>
      </w:r>
      <w:r>
        <w:rPr>
          <w:rFonts w:hint="default" w:ascii="Times New Roman" w:hAnsi="Times New Roman" w:eastAsia="仿宋_GB2312" w:cs="Times New Roman"/>
          <w:color w:val="auto"/>
          <w:kern w:val="0"/>
          <w:sz w:val="32"/>
          <w:szCs w:val="32"/>
          <w:highlight w:val="none"/>
          <w:lang w:val="en-US" w:eastAsia="zh-CN"/>
        </w:rPr>
        <w:t>款0万</w:t>
      </w:r>
      <w:r>
        <w:rPr>
          <w:rFonts w:hint="eastAsia" w:ascii="仿宋_GB2312" w:hAnsi="宋体" w:eastAsia="仿宋_GB2312" w:cs="宋体"/>
          <w:color w:val="auto"/>
          <w:kern w:val="0"/>
          <w:sz w:val="32"/>
          <w:szCs w:val="32"/>
          <w:highlight w:val="none"/>
          <w:lang w:val="en-US" w:eastAsia="zh-CN"/>
        </w:rPr>
        <w:t>元。</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一般公共预算支出包括：</w:t>
      </w:r>
      <w:r>
        <w:rPr>
          <w:rFonts w:hint="default" w:ascii="Times New Roman" w:hAnsi="Times New Roman" w:eastAsia="仿宋_GB2312" w:cs="Times New Roman"/>
          <w:color w:val="auto"/>
          <w:kern w:val="0"/>
          <w:sz w:val="32"/>
          <w:szCs w:val="32"/>
          <w:highlight w:val="none"/>
          <w:lang w:val="en-US" w:eastAsia="zh-CN"/>
        </w:rPr>
        <w:t>文化旅游体育与传媒支出621.04万元，主要用于人员工资、办公费、文化馆、图书馆、博物馆、体育馆免费开放</w:t>
      </w:r>
      <w:r>
        <w:rPr>
          <w:rFonts w:hint="eastAsia" w:eastAsia="仿宋_GB2312" w:cs="Times New Roman"/>
          <w:color w:val="auto"/>
          <w:kern w:val="0"/>
          <w:sz w:val="32"/>
          <w:szCs w:val="32"/>
          <w:highlight w:val="none"/>
          <w:lang w:val="en-US" w:eastAsia="zh-CN"/>
        </w:rPr>
        <w:t>等</w:t>
      </w:r>
      <w:r>
        <w:rPr>
          <w:rFonts w:hint="default" w:ascii="Times New Roman" w:hAnsi="Times New Roman" w:eastAsia="仿宋_GB2312" w:cs="Times New Roman"/>
          <w:color w:val="auto"/>
          <w:kern w:val="0"/>
          <w:sz w:val="32"/>
          <w:szCs w:val="32"/>
          <w:highlight w:val="none"/>
          <w:lang w:val="en-US" w:eastAsia="zh-CN"/>
        </w:rPr>
        <w:t>项目。</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社会保障和就业支出28.59万元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主要用于人员社保、离退休费，机关事业养老保险费、机关事业单位职业年金支出。</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卫生健康支出8.86万元,主要用于单位医疗支出。</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住房保障支出10.44万元，主要用于住房公积金支出。</w:t>
      </w:r>
    </w:p>
    <w:p>
      <w:pPr>
        <w:spacing w:line="60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政府性基金预算支出包括:用于体育事业的彩票公益金支出541.50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主要用于新建11人制足球场300万元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新建小型体育公园200万元、体育比赛经费等。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Hans"/>
        </w:rPr>
        <w:t>国有资本经营预算</w:t>
      </w:r>
      <w:r>
        <w:rPr>
          <w:rFonts w:hint="default" w:ascii="Times New Roman" w:hAnsi="Times New Roman" w:eastAsia="仿宋_GB2312" w:cs="Times New Roman"/>
          <w:color w:val="auto"/>
          <w:kern w:val="0"/>
          <w:sz w:val="32"/>
          <w:szCs w:val="32"/>
          <w:highlight w:val="none"/>
          <w:lang w:val="en-US" w:eastAsia="zh-CN"/>
        </w:rPr>
        <w:t>支出包括：我单位无</w:t>
      </w:r>
      <w:r>
        <w:rPr>
          <w:rFonts w:hint="default" w:ascii="Times New Roman" w:hAnsi="Times New Roman" w:eastAsia="仿宋_GB2312" w:cs="Times New Roman"/>
          <w:color w:val="auto"/>
          <w:kern w:val="0"/>
          <w:sz w:val="32"/>
          <w:szCs w:val="32"/>
          <w:highlight w:val="none"/>
          <w:lang w:val="en-US" w:eastAsia="zh-Hans"/>
        </w:rPr>
        <w:t>国有资本经营预算</w:t>
      </w:r>
      <w:r>
        <w:rPr>
          <w:rFonts w:hint="default" w:ascii="Times New Roman" w:hAnsi="Times New Roman" w:eastAsia="仿宋_GB2312" w:cs="Times New Roman"/>
          <w:color w:val="auto"/>
          <w:kern w:val="0"/>
          <w:sz w:val="32"/>
          <w:szCs w:val="32"/>
          <w:highlight w:val="none"/>
          <w:lang w:val="en-US" w:eastAsia="zh-CN"/>
        </w:rPr>
        <w:t>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五、关于焉耆回族自治县文化体育广播电视和旅游局2025年一般公共预算当年拨款情况说明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焉耆回族自治县文化体育广播电视和旅游局2025年一般公共预算拨款合计668.93万元,其中：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基本支出208.8万元，比上年预算减少38.89万元，下降15.7%，主要</w:t>
      </w:r>
      <w:r>
        <w:rPr>
          <w:rFonts w:hint="eastAsia" w:eastAsia="仿宋_GB2312" w:cs="Times New Roman"/>
          <w:color w:val="auto"/>
          <w:kern w:val="0"/>
          <w:sz w:val="32"/>
          <w:szCs w:val="32"/>
          <w:highlight w:val="none"/>
          <w:lang w:val="en-US" w:eastAsia="zh-CN"/>
        </w:rPr>
        <w:t>原因是：</w:t>
      </w:r>
      <w:r>
        <w:rPr>
          <w:rFonts w:hint="default" w:ascii="Times New Roman" w:hAnsi="Times New Roman" w:eastAsia="仿宋_GB2312" w:cs="Times New Roman"/>
          <w:color w:val="auto"/>
          <w:kern w:val="0"/>
          <w:sz w:val="32"/>
          <w:szCs w:val="32"/>
          <w:highlight w:val="none"/>
          <w:lang w:val="en-US" w:eastAsia="zh-CN"/>
        </w:rPr>
        <w:t>在职人员</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工资社保住房公积金减少。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项目支出460.13万元，比上年预算增加127.73万元，增加38.43%，主要原因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本年上级一般公共预算安排的转移支付提前下达。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1.文化旅游体育与传媒支出（类）621.04万元，占</w:t>
      </w:r>
      <w:r>
        <w:rPr>
          <w:rFonts w:hint="eastAsia" w:eastAsia="仿宋_GB2312" w:cs="Times New Roman"/>
          <w:color w:val="auto"/>
          <w:sz w:val="32"/>
          <w:szCs w:val="32"/>
          <w:highlight w:val="none"/>
          <w:lang w:val="en-US" w:eastAsia="zh-CN"/>
        </w:rPr>
        <w:t>92.84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2.社会保障和就业支出（类）28.59万元，占</w:t>
      </w:r>
      <w:r>
        <w:rPr>
          <w:rFonts w:hint="eastAsia" w:eastAsia="仿宋_GB2312" w:cs="Times New Roman"/>
          <w:color w:val="auto"/>
          <w:sz w:val="32"/>
          <w:szCs w:val="32"/>
          <w:highlight w:val="none"/>
          <w:lang w:val="en-US" w:eastAsia="zh-CN"/>
        </w:rPr>
        <w:t>4.28</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3.卫生健康支出（类）8.86万元，占</w:t>
      </w:r>
      <w:r>
        <w:rPr>
          <w:rFonts w:hint="eastAsia" w:eastAsia="仿宋_GB2312" w:cs="Times New Roman"/>
          <w:color w:val="auto"/>
          <w:sz w:val="32"/>
          <w:szCs w:val="32"/>
          <w:highlight w:val="none"/>
          <w:lang w:val="en-US" w:eastAsia="zh-CN"/>
        </w:rPr>
        <w:t>1.32</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4.住房保障支出（类）10.44万元，占</w:t>
      </w:r>
      <w:r>
        <w:rPr>
          <w:rFonts w:hint="eastAsia" w:eastAsia="仿宋_GB2312" w:cs="Times New Roman"/>
          <w:color w:val="auto"/>
          <w:sz w:val="32"/>
          <w:szCs w:val="32"/>
          <w:highlight w:val="none"/>
          <w:lang w:val="en-US" w:eastAsia="zh-CN"/>
        </w:rPr>
        <w:t>1.56</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1.文化旅游体育与传媒支出（类）文化和旅游（款）行政运行(项):2025年预算数为160.91万元，比上年预算减少39.09万元,下降19.54%,主要原因是：在职人员</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、工资社保住房公积金减少。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2.文化旅游体育与传媒支出（类）文化和旅游（款）其他文化支出(项):2025年预算数为77.4万元，比上年预算减少2.02万元,下降2.54%,主要原因是：本年上级一般公共预算安排的转移支付减少。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3.文化旅游体育与传媒支出（类）文物（款）博物馆(项):202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年预算数为30万元，比上年预算</w:t>
      </w:r>
      <w:r>
        <w:rPr>
          <w:rFonts w:hint="eastAsia"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0万元,</w:t>
      </w:r>
      <w:r>
        <w:rPr>
          <w:rFonts w:hint="eastAsia" w:eastAsia="仿宋_GB2312" w:cs="Times New Roman"/>
          <w:color w:val="auto"/>
          <w:kern w:val="0"/>
          <w:sz w:val="32"/>
          <w:szCs w:val="32"/>
          <w:highlight w:val="none"/>
          <w:lang w:val="en-US" w:eastAsia="zh-CN"/>
        </w:rPr>
        <w:t>增长</w:t>
      </w:r>
      <w:r>
        <w:rPr>
          <w:rFonts w:hint="default" w:ascii="Times New Roman" w:hAnsi="Times New Roman" w:eastAsia="仿宋_GB2312" w:cs="Times New Roman"/>
          <w:color w:val="auto"/>
          <w:kern w:val="0"/>
          <w:sz w:val="32"/>
          <w:szCs w:val="32"/>
          <w:highlight w:val="none"/>
          <w:lang w:val="en-US" w:eastAsia="zh-CN"/>
        </w:rPr>
        <w:t>0%,主要原因是：与上年一致。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4.文化旅游体育与传媒支出（类）体育（款）体育场馆(项):202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年预算数为29万元，比上年预算减少8万元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下降21.62%,主要原因是：本年上级一般公共预算安排的转移支付部分尚未下达。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5.文化旅游体育与传媒支出（类）其他文化旅游体育与传媒支出（款）其他文化旅游体育与传媒支出(项):202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年预算数为323.73万元，比上年预算增加323.73万元,增长100%,主要原因是：本年上级一般公共预算安排的转移支付提前到达。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6.社会保障和就业支出（类）行政事业单位养老支出（款）行政单位离退休(项):2025年预算数为4.83万元，比上年预算减少0.7万元,下降12.</w:t>
      </w:r>
      <w:r>
        <w:rPr>
          <w:rFonts w:hint="eastAsia" w:eastAsia="仿宋_GB2312" w:cs="Times New Roman"/>
          <w:color w:val="auto"/>
          <w:kern w:val="0"/>
          <w:sz w:val="32"/>
          <w:szCs w:val="32"/>
          <w:highlight w:val="none"/>
          <w:lang w:val="en-US" w:eastAsia="zh-CN"/>
        </w:rPr>
        <w:t>66</w:t>
      </w:r>
      <w:r>
        <w:rPr>
          <w:rFonts w:hint="default" w:ascii="Times New Roman" w:hAnsi="Times New Roman" w:eastAsia="仿宋_GB2312" w:cs="Times New Roman"/>
          <w:color w:val="auto"/>
          <w:kern w:val="0"/>
          <w:sz w:val="32"/>
          <w:szCs w:val="32"/>
          <w:highlight w:val="none"/>
          <w:lang w:val="en-US" w:eastAsia="zh-CN"/>
        </w:rPr>
        <w:t xml:space="preserve">%,主要原因是：离退休人员工资调整。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7.社会保障和就业支出（类）行政事业单位养老支出（款）机关事业单位基本养老保险缴费支出(项):2025年预算数为13.92万元,比上年预算增加0.7</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万元,增长5.</w:t>
      </w:r>
      <w:r>
        <w:rPr>
          <w:rFonts w:hint="eastAsia" w:eastAsia="仿宋_GB2312" w:cs="Times New Roman"/>
          <w:color w:val="auto"/>
          <w:kern w:val="0"/>
          <w:sz w:val="32"/>
          <w:szCs w:val="32"/>
          <w:highlight w:val="none"/>
          <w:lang w:val="en-US" w:eastAsia="zh-CN"/>
        </w:rPr>
        <w:t>37</w:t>
      </w:r>
      <w:r>
        <w:rPr>
          <w:rFonts w:hint="default" w:ascii="Times New Roman" w:hAnsi="Times New Roman" w:eastAsia="仿宋_GB2312" w:cs="Times New Roman"/>
          <w:color w:val="auto"/>
          <w:kern w:val="0"/>
          <w:sz w:val="32"/>
          <w:szCs w:val="32"/>
          <w:highlight w:val="none"/>
          <w:lang w:val="en-US" w:eastAsia="zh-CN"/>
        </w:rPr>
        <w:t>%,主要原因是：工资基数增加，养老保险缴费增加。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8.社会保障和就业支出（类）行政事业单位养老支出（款）机关事业单位职业年金缴费支出(项):2025年预算数为6.96万元，,比上年预算增加0.36万元,增长5.4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%,主要原因是：工资基数增加，职业年金缴费增加。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9.社会保障和就业支出（类）抚恤（款）其他优抚支出(项):2025年预算数为2.88万元，比上年预算减少2.88万元,下降50%,主要原因是：发放遗属生活费人员减少。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10.卫生健康支出（类）行政事业单位医疗（款）行政单位医疗(项):2025年预算数为6.09万元，比上年预算增加0.31万元,增长5.3</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%,主要原因是：工资基数增加，单位医疗增加。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11.卫生健康支出（类）行政事业单位医疗（款）事业单位医疗(项):2025年预算数为0.17万元,比上年预算增加0.17万元,增长100%,主要原因是：</w:t>
      </w:r>
      <w:r>
        <w:rPr>
          <w:rFonts w:hint="eastAsia" w:eastAsia="仿宋_GB2312" w:cs="Times New Roman"/>
          <w:color w:val="auto"/>
          <w:kern w:val="0"/>
          <w:sz w:val="32"/>
          <w:szCs w:val="32"/>
          <w:highlight w:val="none"/>
          <w:lang w:val="en-US" w:eastAsia="zh-CN"/>
        </w:rPr>
        <w:t>人员岗位调整</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事业</w:t>
      </w:r>
      <w:r>
        <w:rPr>
          <w:rFonts w:hint="default" w:ascii="Times New Roman" w:hAnsi="Times New Roman" w:eastAsia="仿宋_GB2312" w:cs="Times New Roman"/>
          <w:color w:val="auto"/>
          <w:kern w:val="0"/>
          <w:sz w:val="32"/>
          <w:szCs w:val="32"/>
          <w:highlight w:val="none"/>
          <w:lang w:val="en-US" w:eastAsia="zh-CN"/>
        </w:rPr>
        <w:t>单位医疗增加。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12.卫生健康支出（类）行政事业单位医疗（款）公务员医疗补助(项):2025年预算数为2.6万元,比上年预算增加2.41万元,增长</w:t>
      </w:r>
      <w:r>
        <w:rPr>
          <w:rFonts w:hint="eastAsia" w:eastAsia="仿宋_GB2312" w:cs="Times New Roman"/>
          <w:color w:val="auto"/>
          <w:kern w:val="0"/>
          <w:sz w:val="32"/>
          <w:szCs w:val="32"/>
          <w:highlight w:val="none"/>
          <w:lang w:val="en-US" w:eastAsia="zh-CN"/>
        </w:rPr>
        <w:t>1268.42</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人员减少，相应经费减少</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13.住房保障支出（类）住房改革支出（款）住房公积金(项):2025年预算数为10.44万元，比上年预算增加0.54万元,增长5.4</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%,主要原因是：社保缴费基数调</w:t>
      </w:r>
      <w:r>
        <w:rPr>
          <w:rFonts w:hint="eastAsia" w:eastAsia="仿宋_GB2312" w:cs="Times New Roman"/>
          <w:color w:val="auto"/>
          <w:kern w:val="0"/>
          <w:sz w:val="32"/>
          <w:szCs w:val="32"/>
          <w:highlight w:val="none"/>
          <w:lang w:val="en-US" w:eastAsia="zh-CN"/>
        </w:rPr>
        <w:t>增</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 xml:space="preserve">文化旅游体育与传媒支出（类）文物（款）文物保护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186</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国家文物保护</w:t>
      </w:r>
      <w:r>
        <w:rPr>
          <w:rFonts w:hint="eastAsia" w:eastAsia="仿宋_GB2312" w:cs="Times New Roman"/>
          <w:color w:val="auto"/>
          <w:kern w:val="0"/>
          <w:sz w:val="32"/>
          <w:szCs w:val="32"/>
          <w:highlight w:val="none"/>
          <w:lang w:val="en-US" w:eastAsia="zh-CN"/>
        </w:rPr>
        <w:t>专项</w:t>
      </w:r>
      <w:r>
        <w:rPr>
          <w:rFonts w:hint="eastAsia" w:ascii="Times New Roman" w:hAnsi="Times New Roman" w:eastAsia="仿宋_GB2312" w:cs="Times New Roman"/>
          <w:color w:val="auto"/>
          <w:kern w:val="0"/>
          <w:sz w:val="32"/>
          <w:szCs w:val="32"/>
          <w:highlight w:val="none"/>
          <w:lang w:val="en-US" w:eastAsia="zh-CN"/>
        </w:rPr>
        <w:t>资金</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eastAsia"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 xml:space="preserve">社会保障和就业支出（类）行政事业单位养老支出（款） </w:t>
      </w:r>
      <w:r>
        <w:rPr>
          <w:rFonts w:hint="eastAsia" w:ascii="Times New Roman" w:hAnsi="Times New Roman" w:eastAsia="仿宋_GB2312" w:cs="Times New Roman"/>
          <w:color w:val="auto"/>
          <w:kern w:val="0"/>
          <w:sz w:val="32"/>
          <w:szCs w:val="32"/>
          <w:highlight w:val="none"/>
          <w:lang w:val="en-US" w:eastAsia="zh-CN"/>
        </w:rPr>
        <w:t>事业单位离退休（项）：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0.70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，主要原因是：本年</w:t>
      </w:r>
      <w:r>
        <w:rPr>
          <w:rFonts w:hint="eastAsia" w:eastAsia="仿宋_GB2312" w:cs="Times New Roman"/>
          <w:color w:val="auto"/>
          <w:kern w:val="0"/>
          <w:sz w:val="32"/>
          <w:szCs w:val="32"/>
          <w:highlight w:val="none"/>
          <w:lang w:val="en-US" w:eastAsia="zh-CN"/>
        </w:rPr>
        <w:t>度此科目未做预算，退休人员均为行政退休。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六、关于焉耆回族自治县文化体育广播电视和旅游局2025年一般公共预算基本支出情况说明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焉耆回族自治县文化体育广播电视和旅游局2025年一般公共预算基本支出208.8</w:t>
      </w:r>
      <w:r>
        <w:rPr>
          <w:rFonts w:hint="eastAsia"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人员经费141.39万元，主要包括:基本工资、津贴补贴、机关事业单位基本养老保险缴费、职业年金缴费、职工基本医疗保险缴费、公务员医疗补助缴费、其他社会保障缴费、住房公积金、退休费、生活补助。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公用经费67.41万元，主要包括:办公费、印刷费、水费、电费、邮电费、取暖费、工会经费、福利费、公务用车运行维护费。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七、关于焉耆回族自治县文化体育广播电视和旅游局2025年一般公共预算项目支出情况说明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项目名称：巴财教【2024】71号-中自治区2025年公共文化馆图书馆免费开放配套资金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设立的政策依据：巴财教【2024】71号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预算安排规模：12.6万元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rPr>
          <w:rFonts w:hint="eastAsia"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资金分配情况：公共图书馆、文化馆（站）免费开放</w:t>
      </w:r>
      <w:r>
        <w:rPr>
          <w:rFonts w:hint="eastAsia" w:ascii="Times New Roman" w:hAnsi="Times New Roman" w:eastAsia="仿宋_GB2312" w:cs="Times New Roman"/>
          <w:color w:val="auto"/>
          <w:kern w:val="0"/>
          <w:sz w:val="32"/>
          <w:szCs w:val="32"/>
          <w:highlight w:val="none"/>
          <w:lang w:val="en-US" w:eastAsia="zh-CN"/>
        </w:rPr>
        <w:t xml:space="preserve">运营支出，其中：免费开放文化馆 </w:t>
      </w:r>
      <w:r>
        <w:rPr>
          <w:rFonts w:hint="default" w:ascii="Times New Roman" w:hAnsi="Times New Roman" w:eastAsia="仿宋_GB2312" w:cs="Times New Roman"/>
          <w:color w:val="auto"/>
          <w:kern w:val="0"/>
          <w:sz w:val="32"/>
          <w:szCs w:val="32"/>
          <w:highlight w:val="none"/>
          <w:lang w:val="en-US" w:eastAsia="zh-CN"/>
        </w:rPr>
        <w:t xml:space="preserve">1 </w:t>
      </w:r>
      <w:r>
        <w:rPr>
          <w:rFonts w:hint="eastAsia" w:ascii="Times New Roman" w:hAnsi="Times New Roman" w:eastAsia="仿宋_GB2312" w:cs="Times New Roman"/>
          <w:color w:val="auto"/>
          <w:kern w:val="0"/>
          <w:sz w:val="32"/>
          <w:szCs w:val="32"/>
          <w:highlight w:val="none"/>
          <w:lang w:val="en-US" w:eastAsia="zh-CN"/>
        </w:rPr>
        <w:t>个 2.8</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万元、免费开放图书馆1个2.8</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万元、乡镇文化站 </w:t>
      </w:r>
      <w:r>
        <w:rPr>
          <w:rFonts w:hint="default" w:ascii="Times New Roman" w:hAnsi="Times New Roman" w:eastAsia="仿宋_GB2312" w:cs="Times New Roman"/>
          <w:color w:val="auto"/>
          <w:kern w:val="0"/>
          <w:sz w:val="32"/>
          <w:szCs w:val="32"/>
          <w:highlight w:val="none"/>
          <w:lang w:val="en-US" w:eastAsia="zh-CN"/>
        </w:rPr>
        <w:t xml:space="preserve">10 </w:t>
      </w:r>
      <w:r>
        <w:rPr>
          <w:rFonts w:hint="eastAsia" w:ascii="Times New Roman" w:hAnsi="Times New Roman" w:eastAsia="仿宋_GB2312" w:cs="Times New Roman"/>
          <w:color w:val="auto"/>
          <w:kern w:val="0"/>
          <w:sz w:val="32"/>
          <w:szCs w:val="32"/>
          <w:highlight w:val="none"/>
          <w:lang w:val="en-US" w:eastAsia="zh-CN"/>
        </w:rPr>
        <w:t>个 7</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项目名称：巴财教【2024】65号-中央2025年公共文化馆图书馆免费开放资金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设立的政策依据：巴财教【2024】65号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预算安排规模：64.8万元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资金分配情况：公共图书馆、文化馆（站）免费开放</w:t>
      </w:r>
      <w:r>
        <w:rPr>
          <w:rFonts w:hint="eastAsia" w:ascii="Times New Roman" w:hAnsi="Times New Roman" w:eastAsia="仿宋_GB2312" w:cs="Times New Roman"/>
          <w:color w:val="auto"/>
          <w:kern w:val="0"/>
          <w:sz w:val="32"/>
          <w:szCs w:val="32"/>
          <w:highlight w:val="none"/>
          <w:lang w:val="en-US" w:eastAsia="zh-CN"/>
        </w:rPr>
        <w:t>运营支出，</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其中：免费开放文化馆 </w:t>
      </w:r>
      <w:r>
        <w:rPr>
          <w:rFonts w:hint="default" w:ascii="Times New Roman" w:hAnsi="Times New Roman" w:eastAsia="仿宋_GB2312" w:cs="Times New Roman"/>
          <w:color w:val="auto"/>
          <w:kern w:val="0"/>
          <w:sz w:val="32"/>
          <w:szCs w:val="32"/>
          <w:highlight w:val="none"/>
          <w:lang w:val="en-US" w:eastAsia="zh-CN"/>
        </w:rPr>
        <w:t xml:space="preserve">1 </w:t>
      </w:r>
      <w:r>
        <w:rPr>
          <w:rFonts w:hint="eastAsia" w:ascii="Times New Roman" w:hAnsi="Times New Roman" w:eastAsia="仿宋_GB2312" w:cs="Times New Roman"/>
          <w:color w:val="auto"/>
          <w:kern w:val="0"/>
          <w:sz w:val="32"/>
          <w:szCs w:val="32"/>
          <w:highlight w:val="none"/>
          <w:lang w:val="en-US" w:eastAsia="zh-CN"/>
        </w:rPr>
        <w:t>个14.4</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万元、免费开放图书馆1个14.4</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万元、乡镇文化站 </w:t>
      </w:r>
      <w:r>
        <w:rPr>
          <w:rFonts w:hint="default" w:ascii="Times New Roman" w:hAnsi="Times New Roman" w:eastAsia="仿宋_GB2312" w:cs="Times New Roman"/>
          <w:color w:val="auto"/>
          <w:kern w:val="0"/>
          <w:sz w:val="32"/>
          <w:szCs w:val="32"/>
          <w:highlight w:val="none"/>
          <w:lang w:val="en-US" w:eastAsia="zh-CN"/>
        </w:rPr>
        <w:t xml:space="preserve">10 </w:t>
      </w:r>
      <w:r>
        <w:rPr>
          <w:rFonts w:hint="eastAsia" w:ascii="Times New Roman" w:hAnsi="Times New Roman" w:eastAsia="仿宋_GB2312" w:cs="Times New Roman"/>
          <w:color w:val="auto"/>
          <w:kern w:val="0"/>
          <w:sz w:val="32"/>
          <w:szCs w:val="32"/>
          <w:highlight w:val="none"/>
          <w:lang w:val="en-US" w:eastAsia="zh-CN"/>
        </w:rPr>
        <w:t>个 36万元。</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项目名称：巴财教【2024】63号-2025年国家博物馆免费开放资金。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设立的政策依据：巴财教【2024】63号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pPr>
      <w:r>
        <w:rPr>
          <w:rFonts w:hint="default" w:ascii="Times New Roman" w:hAnsi="Times New Roman" w:eastAsia="仿宋_GB2312" w:cs="Times New Roman"/>
          <w:color w:val="auto"/>
          <w:kern w:val="0"/>
          <w:sz w:val="32"/>
          <w:szCs w:val="32"/>
          <w:highlight w:val="none"/>
          <w:lang w:val="en-US" w:eastAsia="zh-CN"/>
        </w:rPr>
        <w:t>资金分配情况：</w:t>
      </w:r>
      <w:r>
        <w:rPr>
          <w:rFonts w:ascii="仿宋_GB2312" w:hAnsi="宋体" w:eastAsia="仿宋_GB2312" w:cs="仿宋_GB2312"/>
          <w:color w:val="000000"/>
          <w:kern w:val="0"/>
          <w:sz w:val="31"/>
          <w:szCs w:val="31"/>
          <w:lang w:val="en-US" w:eastAsia="zh-CN" w:bidi="ar"/>
        </w:rPr>
        <w:t>博物馆免费开放运营支出</w:t>
      </w:r>
      <w:r>
        <w:rPr>
          <w:rFonts w:hint="default" w:ascii="Times New Roman" w:hAnsi="Times New Roman" w:eastAsia="宋体" w:cs="Times New Roman"/>
          <w:color w:val="000000"/>
          <w:kern w:val="0"/>
          <w:sz w:val="31"/>
          <w:szCs w:val="31"/>
          <w:lang w:val="en-US" w:eastAsia="zh-CN" w:bidi="ar"/>
        </w:rPr>
        <w:t>3</w:t>
      </w:r>
      <w:r>
        <w:rPr>
          <w:rFonts w:hint="eastAsia" w:ascii="Times New Roman" w:hAnsi="Times New Roman" w:eastAsia="宋体" w:cs="Times New Roman"/>
          <w:color w:val="000000"/>
          <w:kern w:val="0"/>
          <w:sz w:val="31"/>
          <w:szCs w:val="31"/>
          <w:lang w:val="en-US" w:eastAsia="zh-CN" w:bidi="ar"/>
        </w:rPr>
        <w:t>0</w:t>
      </w:r>
      <w:r>
        <w:rPr>
          <w:rFonts w:hint="eastAsia" w:ascii="仿宋_GB2312" w:hAnsi="宋体" w:eastAsia="仿宋_GB2312" w:cs="仿宋_GB2312"/>
          <w:color w:val="000000"/>
          <w:kern w:val="0"/>
          <w:sz w:val="31"/>
          <w:szCs w:val="31"/>
          <w:lang w:val="en-US" w:eastAsia="zh-CN" w:bidi="ar"/>
        </w:rPr>
        <w:t>万元。包括：支付水电费、流动博物馆巡展支出、讲解员费用支出等。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项目名称：巴财教【2024】51号-2025年公共体育场馆免费开放资金。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设立的政策依据：巴财教【2024】51号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资金分配情况：公共体育场馆向社会免费或低收费开放 </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运营支出 29万元。包括：体育馆水电费、体育馆设备维修 </w:t>
      </w:r>
    </w:p>
    <w:p>
      <w:pPr>
        <w:keepNext w:val="0"/>
        <w:keepLines w:val="0"/>
        <w:widowControl/>
        <w:suppressLineNumbers w:val="0"/>
        <w:jc w:val="left"/>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维护等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项目名称：巴财教【2024】76号-2025年自治区旅游发展专项资金-文旅局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设立的政策依据：巴财教【2024】76号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资金分配情况：国家4A级旅游景区创建奖励</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焉耆县七个星佛寺遗址景区</w:t>
      </w:r>
      <w:r>
        <w:rPr>
          <w:rFonts w:hint="eastAsia" w:eastAsia="仿宋_GB2312" w:cs="Times New Roman"/>
          <w:color w:val="auto"/>
          <w:kern w:val="0"/>
          <w:sz w:val="32"/>
          <w:szCs w:val="32"/>
          <w:highlight w:val="none"/>
          <w:lang w:val="en-US" w:eastAsia="zh-CN"/>
        </w:rPr>
        <w:t>）100万元。包括：旅游宣传、旅游景区基础设施提升改造、运营等。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项目名称：巴财教【2024】59号-2025年中央补助地方公共文化体系建设资金</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设立的政策依据：巴财教【2024】59号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w:t>
      </w:r>
      <w:r>
        <w:rPr>
          <w:rFonts w:hint="eastAsia" w:eastAsia="仿宋_GB2312" w:cs="Times New Roman"/>
          <w:color w:val="auto"/>
          <w:kern w:val="0"/>
          <w:sz w:val="32"/>
          <w:szCs w:val="32"/>
          <w:highlight w:val="none"/>
          <w:lang w:val="en-US" w:eastAsia="zh-CN"/>
        </w:rPr>
        <w:t>49.73</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资金分配情况：公共文化体系建设</w:t>
      </w:r>
      <w:r>
        <w:rPr>
          <w:rFonts w:hint="eastAsia" w:eastAsia="仿宋_GB2312" w:cs="Times New Roman"/>
          <w:color w:val="auto"/>
          <w:kern w:val="0"/>
          <w:sz w:val="32"/>
          <w:szCs w:val="32"/>
          <w:highlight w:val="none"/>
          <w:lang w:val="en-US" w:eastAsia="zh-CN"/>
        </w:rPr>
        <w:t>资金49.73万元。包括：开展基层文化润疆宣传、文化体育旅游融合、县乡群众文化体育等活动经费；公共图书馆、公共文体场馆维护、设备更新等经费；开展广播、电视、电影等经费；农家书屋等。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项目名称：巴财教【2024】59号-2025年公共文化体系建设资金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设立的政策依据：巴财教【2024】59号</w:t>
      </w:r>
      <w:r>
        <w:rPr>
          <w:rFonts w:hint="eastAsia" w:eastAsia="仿宋_GB2312" w:cs="Times New Roman"/>
          <w:color w:val="auto"/>
          <w:kern w:val="0"/>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预算安排规模：174万元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项目承担单位：焉耆回族自治县文化体育广播电视和旅游局</w:t>
      </w:r>
    </w:p>
    <w:p>
      <w:pPr>
        <w:keepNext w:val="0"/>
        <w:keepLines w:val="0"/>
        <w:widowControl/>
        <w:suppressLineNumbers w:val="0"/>
        <w:ind w:firstLine="640" w:firstLineChars="200"/>
        <w:jc w:val="left"/>
        <w:rPr>
          <w:rFonts w:hint="default" w:ascii="Times New Roman" w:hAnsi="Times New Roman" w:eastAsia="仿宋_GB2312" w:cs="Times New Roman"/>
          <w:color w:val="auto"/>
          <w:kern w:val="0"/>
          <w:sz w:val="32"/>
          <w:szCs w:val="32"/>
          <w:highlight w:val="red"/>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资金分配情况：公共文化体系建设</w:t>
      </w:r>
      <w:r>
        <w:rPr>
          <w:rFonts w:hint="eastAsia" w:eastAsia="仿宋_GB2312" w:cs="Times New Roman"/>
          <w:color w:val="auto"/>
          <w:kern w:val="0"/>
          <w:sz w:val="32"/>
          <w:szCs w:val="32"/>
          <w:highlight w:val="none"/>
          <w:lang w:val="en-US" w:eastAsia="zh-CN"/>
        </w:rPr>
        <w:t>资金174万元。包括：开展基层文化润疆宣传、文化体育旅游融合、县乡群众文化体育等活动经费；公共图书馆、公共文体场馆维护、设备更新等经费；开展广播、电视、电影等经费；农家书屋等。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1月1日-2025年12月31日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八、关于焉耆回族自治县文化体育广播电视和旅游局2025年政府性基金预算支出情况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焉耆回族自治县文化体育广播电视和旅游局2025年政府性基金预算资金支出预算541.5万元，与上年预算相比，减少682.5万元,下降</w:t>
      </w:r>
      <w:r>
        <w:rPr>
          <w:rFonts w:hint="eastAsia" w:eastAsia="仿宋_GB2312" w:cs="Times New Roman"/>
          <w:color w:val="auto"/>
          <w:kern w:val="0"/>
          <w:sz w:val="32"/>
          <w:szCs w:val="32"/>
          <w:highlight w:val="none"/>
          <w:lang w:val="en-US" w:eastAsia="zh-CN"/>
        </w:rPr>
        <w:t>55.76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彩票公益金</w:t>
      </w:r>
      <w:r>
        <w:rPr>
          <w:rFonts w:hint="eastAsia" w:eastAsia="仿宋_GB2312" w:cs="Times New Roman"/>
          <w:color w:val="auto"/>
          <w:kern w:val="0"/>
          <w:sz w:val="32"/>
          <w:szCs w:val="32"/>
          <w:highlight w:val="none"/>
          <w:lang w:val="en-US" w:eastAsia="zh-CN"/>
        </w:rPr>
        <w:t>项目减少</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其他支出（类）彩票公益金安排的支出（款）用于体育事业的彩票公益金支出（项）541.5万元。与上年预算相比，减少682.5万元,下降</w:t>
      </w:r>
      <w:r>
        <w:rPr>
          <w:rFonts w:hint="eastAsia" w:eastAsia="仿宋_GB2312" w:cs="Times New Roman"/>
          <w:color w:val="auto"/>
          <w:kern w:val="0"/>
          <w:sz w:val="32"/>
          <w:szCs w:val="32"/>
          <w:highlight w:val="none"/>
          <w:lang w:val="en-US" w:eastAsia="zh-CN"/>
        </w:rPr>
        <w:t>55.76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彩票公益金</w:t>
      </w:r>
      <w:r>
        <w:rPr>
          <w:rFonts w:hint="eastAsia" w:eastAsia="仿宋_GB2312" w:cs="Times New Roman"/>
          <w:color w:val="auto"/>
          <w:kern w:val="0"/>
          <w:sz w:val="32"/>
          <w:szCs w:val="32"/>
          <w:highlight w:val="none"/>
          <w:lang w:val="en-US" w:eastAsia="zh-CN"/>
        </w:rPr>
        <w:t>项目减少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九、关于焉耆回族自治县文化体育广播电视和旅游局2025年国有资本经营预算拨款情况说明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十、关于焉耆回族自治县文化体育广播电视和旅游局2025年财政拨款“三公”经费预算情况说明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焉耆回族自治县文化体育广播电视和旅游局2025年财政拨款“三公”经费数为2.1万元，其中：因公出国（境）费0万元,公务用车购置费0万元,公务用车运行费2.1万元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因公出国（境）费增加0万元，增长0%,主要原因是：未安排预算；公务用车购置费增加0万元，增长0%,主要原因是：未安排预算；公务用车运行费增加0万元，增长0%,主要原因是：与上年一致；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、关于焉耆回族自治县文化体育广播电视和旅游局</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焉耆回族自治县文化体育广播电视和旅游局2025年的机关运行经费财政拨款预算67.41万元，比上年预算减少</w:t>
      </w:r>
      <w:r>
        <w:rPr>
          <w:rFonts w:hint="eastAsia" w:eastAsia="仿宋_GB2312" w:cs="Times New Roman"/>
          <w:color w:val="auto"/>
          <w:kern w:val="0"/>
          <w:sz w:val="32"/>
          <w:szCs w:val="32"/>
          <w:highlight w:val="none"/>
          <w:lang w:val="en-US" w:eastAsia="zh-CN"/>
        </w:rPr>
        <w:t>36.06</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34.85</w:t>
      </w:r>
      <w:r>
        <w:rPr>
          <w:rFonts w:hint="default" w:ascii="Times New Roman" w:hAnsi="Times New Roman" w:eastAsia="仿宋_GB2312" w:cs="Times New Roman"/>
          <w:color w:val="auto"/>
          <w:kern w:val="0"/>
          <w:sz w:val="32"/>
          <w:szCs w:val="32"/>
          <w:highlight w:val="none"/>
          <w:lang w:val="en-US" w:eastAsia="zh-CN"/>
        </w:rPr>
        <w:t>%。主要原因是：取暖面积减少，取暖费减少。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2025年，焉耆回族自治县文化体育广播电视和旅游局政府采购预算 66.38万元，其中：政府采购货物预算3.26万元，政府采购工程预算0万元，政府采购服务预算63.12万元。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2025年，焉耆回族自治县文化体育广播电视和旅游局面向中小企业预留政府采购项目预算金额 66.38万元，小微企业预留政府采购项目预算金额 66.38万元。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截至2024年底，焉耆回族自治县文化体育广播电视和旅游局及下属各预算单位占用使用国有资产总体情况为：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房屋898.25平方米，价值544.69万元。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车辆6辆，价值</w:t>
      </w:r>
      <w:r>
        <w:rPr>
          <w:rFonts w:hint="eastAsia" w:eastAsia="仿宋_GB2312" w:cs="Times New Roman"/>
          <w:color w:val="auto"/>
          <w:kern w:val="0"/>
          <w:sz w:val="32"/>
          <w:szCs w:val="32"/>
          <w:highlight w:val="none"/>
          <w:lang w:val="en-US" w:eastAsia="zh-CN"/>
        </w:rPr>
        <w:t>98.58</w:t>
      </w:r>
      <w:r>
        <w:rPr>
          <w:rFonts w:hint="default" w:ascii="Times New Roman" w:hAnsi="Times New Roman" w:eastAsia="仿宋_GB2312" w:cs="Times New Roman"/>
          <w:color w:val="auto"/>
          <w:kern w:val="0"/>
          <w:sz w:val="32"/>
          <w:szCs w:val="32"/>
          <w:highlight w:val="none"/>
          <w:lang w:val="en-US" w:eastAsia="zh-CN"/>
        </w:rPr>
        <w:t>万元。其中：一般公务用车1辆，价值16.80万元，执法执勤用车2辆，价值30.71万元，其他用车3辆，价值51.07万元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办公家具价值18.15万元。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其他资产价值2644.09万元。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 台，单位价值100万元以上大型设备 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 台，单位价值100万元以上大型设备0 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整体预算绩效目标1个，涉及预算金额1210.43万元；当年预算安排项目共</w:t>
      </w: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个</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1001.63</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p>
      <w:pPr>
        <w:pStyle w:val="2"/>
        <w:rPr>
          <w:rFonts w:hint="default" w:ascii="Times New Roman" w:hAnsi="Times New Roman" w:eastAsia="仿宋_GB2312" w:cs="Times New Roman"/>
          <w:color w:val="auto"/>
          <w:kern w:val="0"/>
          <w:sz w:val="32"/>
          <w:szCs w:val="32"/>
          <w:highlight w:val="none"/>
        </w:rPr>
      </w:pPr>
    </w:p>
    <w:tbl>
      <w:tblPr>
        <w:tblStyle w:val="13"/>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
        <w:gridCol w:w="811"/>
        <w:gridCol w:w="218"/>
        <w:gridCol w:w="594"/>
        <w:gridCol w:w="773"/>
        <w:gridCol w:w="746"/>
        <w:gridCol w:w="982"/>
        <w:gridCol w:w="973"/>
        <w:gridCol w:w="337"/>
        <w:gridCol w:w="397"/>
        <w:gridCol w:w="267"/>
        <w:gridCol w:w="453"/>
        <w:gridCol w:w="128"/>
        <w:gridCol w:w="1095"/>
        <w:gridCol w:w="177"/>
        <w:gridCol w:w="273"/>
        <w:gridCol w:w="953"/>
        <w:gridCol w:w="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340" w:type="dxa"/>
            <w:gridSpan w:val="18"/>
            <w:tcBorders>
              <w:top w:val="nil"/>
              <w:left w:val="nil"/>
              <w:bottom w:val="nil"/>
              <w:right w:val="nil"/>
            </w:tcBorders>
            <w:noWrap w:val="0"/>
            <w:vAlign w:val="center"/>
          </w:tcPr>
          <w:p>
            <w:pPr>
              <w:pStyle w:val="2"/>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18"/>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48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1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Style w:val="19"/>
                <w:rFonts w:ascii="Times New Roman" w:hAnsi="Times New Roman" w:eastAsia="宋体"/>
                <w:sz w:val="20"/>
                <w:szCs w:val="20"/>
              </w:rPr>
              <w:t>焉耆</w:t>
            </w:r>
            <w:r>
              <w:rPr>
                <w:rStyle w:val="19"/>
                <w:rFonts w:hint="eastAsia" w:ascii="Times New Roman" w:hAnsi="Times New Roman" w:eastAsia="宋体"/>
                <w:sz w:val="20"/>
                <w:szCs w:val="20"/>
                <w:lang w:eastAsia="zh-CN"/>
              </w:rPr>
              <w:t>回族自治县</w:t>
            </w:r>
            <w:r>
              <w:rPr>
                <w:rStyle w:val="19"/>
                <w:rFonts w:ascii="Times New Roman" w:hAnsi="Times New Roman" w:eastAsia="宋体"/>
                <w:sz w:val="20"/>
                <w:szCs w:val="20"/>
              </w:rPr>
              <w:t>文化体育广播电视和旅游局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702"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color w:val="000000"/>
                <w:sz w:val="20"/>
                <w:szCs w:val="20"/>
              </w:rPr>
              <w:t>马晓军</w:t>
            </w:r>
          </w:p>
        </w:tc>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sz w:val="20"/>
                <w:szCs w:val="20"/>
                <w:lang w:bidi="ar"/>
              </w:rPr>
              <w:t>联系电话：</w:t>
            </w:r>
          </w:p>
        </w:tc>
        <w:tc>
          <w:tcPr>
            <w:tcW w:w="1473"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15999002121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2" w:hRule="atLeast"/>
        </w:trPr>
        <w:tc>
          <w:tcPr>
            <w:tcW w:w="2489"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sz w:val="20"/>
                <w:szCs w:val="20"/>
              </w:rPr>
              <w:t>推动文化事业、文化产业和旅游业繁荣发展，奋力开创新时代新疆文化和旅游工作新局面。持续推进“文化润疆”工程，持续做好“三馆一站”免费开放，加强考古历史与文化遗存保护传承。加强公共数字文化网络平台建设。全方位推进“全民阅读”活动，扩展活动层面，拓宽服务范围，丰富活动内涵，加强文艺创作和基层文艺小分队培养，强化业务培训，加大演出力度。持续推进非遗保护工作，持续推进东湖新区中华传统文化示范园建设，并打造成自治州中华传统文化示范园。积极推进体育工作，持续做好体育馆免费和低收费向社会开放工作。持续抓好文旅品牌创建。实施“旅游＋”工程，推进旅游高质量发展。持续抓好文旅市场监管。持续抓好宣传工作。完成第四次全国文物普查工作1项，文艺作品创作10部，开展非遗代表性传承项目1项，文化惠民活动场次80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428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2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3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256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3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256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256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1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54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0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履职效能</w:t>
            </w:r>
          </w:p>
        </w:tc>
        <w:tc>
          <w:tcPr>
            <w:tcW w:w="136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数量指标</w:t>
            </w: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完成第四次全国文物普查工作</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=1项</w:t>
            </w:r>
          </w:p>
        </w:tc>
        <w:tc>
          <w:tcPr>
            <w:tcW w:w="15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color w:val="000000"/>
                <w:sz w:val="20"/>
                <w:szCs w:val="20"/>
              </w:rPr>
              <w:t>工作计划</w:t>
            </w:r>
          </w:p>
        </w:tc>
        <w:tc>
          <w:tcPr>
            <w:tcW w:w="102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color w:val="000000"/>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文艺作品创作</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&gt;=10部</w:t>
            </w:r>
          </w:p>
        </w:tc>
        <w:tc>
          <w:tcPr>
            <w:tcW w:w="15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color w:val="000000"/>
                <w:sz w:val="20"/>
                <w:szCs w:val="20"/>
              </w:rPr>
              <w:t>工作计划</w:t>
            </w:r>
          </w:p>
        </w:tc>
        <w:tc>
          <w:tcPr>
            <w:tcW w:w="102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color w:val="000000"/>
                <w:sz w:val="24"/>
                <w:szCs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开展非遗代表性传承项目</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=1项</w:t>
            </w:r>
          </w:p>
        </w:tc>
        <w:tc>
          <w:tcPr>
            <w:tcW w:w="15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sz w:val="20"/>
                <w:szCs w:val="20"/>
              </w:rPr>
              <w:t>工作计划</w:t>
            </w:r>
          </w:p>
        </w:tc>
        <w:tc>
          <w:tcPr>
            <w:tcW w:w="102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color w:val="000000"/>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36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文化惠民活动场次</w:t>
            </w:r>
          </w:p>
        </w:tc>
        <w:tc>
          <w:tcPr>
            <w:tcW w:w="12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&gt;=80场次</w:t>
            </w:r>
          </w:p>
        </w:tc>
        <w:tc>
          <w:tcPr>
            <w:tcW w:w="15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color w:val="000000"/>
                <w:sz w:val="20"/>
                <w:szCs w:val="20"/>
              </w:rPr>
              <w:t>工作计划</w:t>
            </w:r>
          </w:p>
        </w:tc>
        <w:tc>
          <w:tcPr>
            <w:tcW w:w="102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color w:val="000000"/>
                <w:sz w:val="24"/>
                <w:szCs w:val="24"/>
              </w:rPr>
              <w:t>20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05" w:hRule="atLeast"/>
        </w:trPr>
        <w:tc>
          <w:tcPr>
            <w:tcW w:w="9177" w:type="dxa"/>
            <w:gridSpan w:val="16"/>
            <w:tcBorders>
              <w:top w:val="nil"/>
              <w:left w:val="nil"/>
              <w:bottom w:val="nil"/>
              <w:right w:val="nil"/>
            </w:tcBorders>
            <w:shd w:val="clear" w:color="auto" w:fill="auto"/>
            <w:tcMar>
              <w:top w:w="15" w:type="dxa"/>
              <w:left w:w="15" w:type="dxa"/>
              <w:right w:w="15" w:type="dxa"/>
            </w:tcMar>
            <w:vAlign w:val="center"/>
          </w:tcPr>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ind w:firstLine="2891" w:firstLineChars="90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9177" w:type="dxa"/>
            <w:gridSpan w:val="1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554"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4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巴财教【2024】51号-2025年公共体育场馆免费开放资金</w:t>
            </w:r>
          </w:p>
        </w:tc>
        <w:tc>
          <w:tcPr>
            <w:tcW w:w="145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耿江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9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62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1221" w:hRule="atLeast"/>
        </w:trPr>
        <w:tc>
          <w:tcPr>
            <w:tcW w:w="16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554" w:type="dxa"/>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家体育场馆免费或低收费开放服务，不断提高运营管理能力和公共服务水平，满足人民群众日益增长的体育健身需求.全年对外开放天数330天，每周开放时间35小时，国家法定节假日、全民健身日和学校寒暑假期间每天开放时间8小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8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51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9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73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72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1400"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22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8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全年对外开放天数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&gt;=330天</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每周开放时间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&gt;=35小时</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国家法定节假日、全民健身日和学校寒暑假期间每天开放时间</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&gt;=8小时</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基础设施符合《大型体育场馆基本公共服务规范》标准</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资金发放及时率</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全民健身日全面免费开放</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CellMar>
            <w:top w:w="0" w:type="dxa"/>
            <w:left w:w="0" w:type="dxa"/>
            <w:bottom w:w="0" w:type="dxa"/>
            <w:right w:w="0" w:type="dxa"/>
          </w:tblCellMar>
        </w:tblPrEx>
        <w:trPr>
          <w:gridBefore w:val="1"/>
          <w:gridAfter w:val="1"/>
          <w:wBefore w:w="93" w:type="dxa"/>
          <w:wAfter w:w="70" w:type="dxa"/>
          <w:trHeight w:val="45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3"/>
        <w:tblW w:w="5647" w:type="pct"/>
        <w:tblInd w:w="0" w:type="dxa"/>
        <w:shd w:val="clear" w:color="auto" w:fill="auto"/>
        <w:tblLayout w:type="autofit"/>
        <w:tblCellMar>
          <w:top w:w="0" w:type="dxa"/>
          <w:left w:w="0" w:type="dxa"/>
          <w:bottom w:w="0" w:type="dxa"/>
          <w:right w:w="0" w:type="dxa"/>
        </w:tblCellMar>
      </w:tblPr>
      <w:tblGrid>
        <w:gridCol w:w="766"/>
        <w:gridCol w:w="798"/>
        <w:gridCol w:w="1778"/>
        <w:gridCol w:w="1218"/>
        <w:gridCol w:w="987"/>
        <w:gridCol w:w="913"/>
        <w:gridCol w:w="844"/>
        <w:gridCol w:w="970"/>
        <w:gridCol w:w="1141"/>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68"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巴财教【2024】59号-2025年公共文化体系建设资金</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杨静</w:t>
            </w:r>
          </w:p>
        </w:tc>
      </w:tr>
      <w:tr>
        <w:tblPrEx>
          <w:tblCellMar>
            <w:top w:w="0" w:type="dxa"/>
            <w:left w:w="0" w:type="dxa"/>
            <w:bottom w:w="0" w:type="dxa"/>
            <w:right w:w="0" w:type="dxa"/>
          </w:tblCellMar>
        </w:tblPrEx>
        <w:trPr>
          <w:trHeight w:val="45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52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168"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开展基层文化润疆宣传、文化体育旅游融合、县乡群众文化体育等活动经费；开展广播、电视、电影等经费；农家书屋等；支持行政村个数47个，举办活动场次80场次。</w:t>
            </w:r>
          </w:p>
        </w:tc>
      </w:tr>
      <w:tr>
        <w:tblPrEx>
          <w:tblCellMar>
            <w:top w:w="0" w:type="dxa"/>
            <w:left w:w="0" w:type="dxa"/>
            <w:bottom w:w="0" w:type="dxa"/>
            <w:right w:w="0" w:type="dxa"/>
          </w:tblCellMar>
        </w:tblPrEx>
        <w:trPr>
          <w:trHeight w:val="450" w:hRule="atLeast"/>
        </w:trPr>
        <w:tc>
          <w:tcPr>
            <w:tcW w:w="40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4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9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4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8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4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1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支持行政村个数</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=47个</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举办活动场次</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&gt;=80场次</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文化下乡任务完成率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资金支付及时率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活动按时完成率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支持行政村活动经费</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&lt;=47万元</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举办文化活动经费</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&lt;=127万元</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4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基本公共文化服务水平</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群众对国家基本公共文化服务满意度</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&gt;=92%</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参加活动人员满意度</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3"/>
        <w:tblW w:w="5680" w:type="pct"/>
        <w:tblInd w:w="0" w:type="dxa"/>
        <w:shd w:val="clear" w:color="auto" w:fill="auto"/>
        <w:tblLayout w:type="autofit"/>
        <w:tblCellMar>
          <w:top w:w="0" w:type="dxa"/>
          <w:left w:w="0" w:type="dxa"/>
          <w:bottom w:w="0" w:type="dxa"/>
          <w:right w:w="0" w:type="dxa"/>
        </w:tblCellMar>
      </w:tblPr>
      <w:tblGrid>
        <w:gridCol w:w="796"/>
        <w:gridCol w:w="813"/>
        <w:gridCol w:w="1580"/>
        <w:gridCol w:w="1144"/>
        <w:gridCol w:w="1025"/>
        <w:gridCol w:w="991"/>
        <w:gridCol w:w="835"/>
        <w:gridCol w:w="1097"/>
        <w:gridCol w:w="1189"/>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49"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巴财教【2024】63号-2025年国家公博物馆免费开放资金</w:t>
            </w:r>
          </w:p>
        </w:tc>
        <w:tc>
          <w:tcPr>
            <w:tcW w:w="96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徐卫胜</w:t>
            </w:r>
          </w:p>
        </w:tc>
      </w:tr>
      <w:tr>
        <w:tblPrEx>
          <w:tblCellMar>
            <w:top w:w="0" w:type="dxa"/>
            <w:left w:w="0" w:type="dxa"/>
            <w:bottom w:w="0" w:type="dxa"/>
            <w:right w:w="0" w:type="dxa"/>
          </w:tblCellMar>
        </w:tblPrEx>
        <w:trPr>
          <w:trHeight w:val="45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4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149"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完成1家免费开放博物馆及时开放工作，保障群众精神文化需求。</w:t>
            </w:r>
          </w:p>
        </w:tc>
      </w:tr>
      <w:tr>
        <w:tblPrEx>
          <w:tblCellMar>
            <w:top w:w="0" w:type="dxa"/>
            <w:left w:w="0" w:type="dxa"/>
            <w:bottom w:w="0" w:type="dxa"/>
            <w:right w:w="0" w:type="dxa"/>
          </w:tblCellMar>
        </w:tblPrEx>
        <w:trPr>
          <w:trHeight w:val="450" w:hRule="atLeast"/>
        </w:trPr>
        <w:tc>
          <w:tcPr>
            <w:tcW w:w="42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4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0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4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5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7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2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4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安排运行经费的博物馆</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免费开放绩效考评率</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陈列展示水平</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教育服务水平</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资金发放及时率</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充分发挥各级博物馆纪念馆宣传教育和社会服务阵地作用</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会公众对博物馆纪念馆服务满意度</w:t>
            </w:r>
          </w:p>
        </w:tc>
        <w:tc>
          <w:tcPr>
            <w:tcW w:w="6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5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trPr>
        <w:tc>
          <w:tcPr>
            <w:tcW w:w="4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3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3"/>
        <w:tblW w:w="5695" w:type="pct"/>
        <w:tblInd w:w="0" w:type="dxa"/>
        <w:shd w:val="clear" w:color="auto" w:fill="auto"/>
        <w:tblLayout w:type="autofit"/>
        <w:tblCellMar>
          <w:top w:w="0" w:type="dxa"/>
          <w:left w:w="0" w:type="dxa"/>
          <w:bottom w:w="0" w:type="dxa"/>
          <w:right w:w="0" w:type="dxa"/>
        </w:tblCellMar>
      </w:tblPr>
      <w:tblGrid>
        <w:gridCol w:w="747"/>
        <w:gridCol w:w="26"/>
        <w:gridCol w:w="817"/>
        <w:gridCol w:w="224"/>
        <w:gridCol w:w="1229"/>
        <w:gridCol w:w="253"/>
        <w:gridCol w:w="794"/>
        <w:gridCol w:w="270"/>
        <w:gridCol w:w="904"/>
        <w:gridCol w:w="186"/>
        <w:gridCol w:w="649"/>
        <w:gridCol w:w="114"/>
        <w:gridCol w:w="722"/>
        <w:gridCol w:w="194"/>
        <w:gridCol w:w="1073"/>
        <w:gridCol w:w="28"/>
        <w:gridCol w:w="1265"/>
      </w:tblGrid>
      <w:tr>
        <w:tblPrEx>
          <w:shd w:val="clear" w:color="auto" w:fill="auto"/>
          <w:tblCellMar>
            <w:top w:w="0" w:type="dxa"/>
            <w:left w:w="0" w:type="dxa"/>
            <w:bottom w:w="0" w:type="dxa"/>
            <w:right w:w="0" w:type="dxa"/>
          </w:tblCellMar>
        </w:tblPrEx>
        <w:trPr>
          <w:trHeight w:val="405" w:hRule="atLeast"/>
        </w:trPr>
        <w:tc>
          <w:tcPr>
            <w:tcW w:w="5000" w:type="pct"/>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61" w:type="pct"/>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3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巴财教【2024】76号-2025年自治区旅游发展专项资金</w:t>
            </w:r>
          </w:p>
        </w:tc>
        <w:tc>
          <w:tcPr>
            <w:tcW w:w="87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34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田欣阁</w:t>
            </w:r>
          </w:p>
        </w:tc>
      </w:tr>
      <w:tr>
        <w:tblPrEx>
          <w:tblCellMar>
            <w:top w:w="0" w:type="dxa"/>
            <w:left w:w="0" w:type="dxa"/>
            <w:bottom w:w="0" w:type="dxa"/>
            <w:right w:w="0" w:type="dxa"/>
          </w:tblCellMar>
        </w:tblPrEx>
        <w:trPr>
          <w:trHeight w:val="450" w:hRule="atLeast"/>
        </w:trPr>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18" w:type="pct"/>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4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161" w:type="pct"/>
            <w:gridSpan w:val="1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坚持以习近平新时代中国特色社会主义思想为指导，完整准确全面贯彻新时代党的治疆方略，抢抓“一带一路”“文旅融合”“高质量发展”等重大机遇，深入实施文化润疆工程和旅游兴疆战略，推动文旅产业提质升级，加强战略布局和顶层设计。创建一批高等级景区、全域旅游示范区、旅游度假区、旅游休闲街区、乡村旅游重点村、文化产业示范基地、国家文化公园等“国字号”品牌。推动中华民族共同体意识植根心灵深处，实现全区各项旅游指标平稳增长，各族群众文化和旅游需求得到更好满足。旅游宣传投放媒体数量3家，国家级文化和旅游品牌创建奖励1家，旅游景区基础设施提升改造补助1家。</w:t>
            </w:r>
          </w:p>
        </w:tc>
      </w:tr>
      <w:tr>
        <w:tblPrEx>
          <w:shd w:val="clear" w:color="auto" w:fill="auto"/>
          <w:tblCellMar>
            <w:top w:w="0" w:type="dxa"/>
            <w:left w:w="0" w:type="dxa"/>
            <w:bottom w:w="0" w:type="dxa"/>
            <w:right w:w="0" w:type="dxa"/>
          </w:tblCellMar>
        </w:tblPrEx>
        <w:trPr>
          <w:trHeight w:val="450" w:hRule="atLeast"/>
        </w:trPr>
        <w:tc>
          <w:tcPr>
            <w:tcW w:w="408"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4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65"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5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618"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39"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40"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681" w:type="pct"/>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旅游宣传投放媒体数量</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&gt;=3家</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国家级文化和旅游品牌创建奖励</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旅游景区基础设施提升改造补助</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文旅融合活动</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&gt;=3项</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旅游品牌推广与宣传活动</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&gt;=3项</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非遗集市”非遗进景区提升活动</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&gt;=1个</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资金发放及时率</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待国内外游客人数</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&gt;=3万人次</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新疆旅游形象的提升</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客满意度</w:t>
            </w:r>
          </w:p>
        </w:tc>
        <w:tc>
          <w:tcPr>
            <w:tcW w:w="5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6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8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trPr>
        <w:tc>
          <w:tcPr>
            <w:tcW w:w="40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1"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8"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9"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0" w:type="pct"/>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1" w:type="pct"/>
            <w:gridSpan w:val="3"/>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5000" w:type="pct"/>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highlight w:val="none"/>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043"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巴财教【2024】59号-2025年公共文化体系建设资金</w:t>
            </w:r>
          </w:p>
        </w:tc>
        <w:tc>
          <w:tcPr>
            <w:tcW w:w="8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杨静</w:t>
            </w:r>
          </w:p>
        </w:tc>
      </w:tr>
      <w:tr>
        <w:tblPrEx>
          <w:tblCellMar>
            <w:top w:w="0" w:type="dxa"/>
            <w:left w:w="0" w:type="dxa"/>
            <w:bottom w:w="0" w:type="dxa"/>
            <w:right w:w="0" w:type="dxa"/>
          </w:tblCellMar>
        </w:tblPrEx>
        <w:trPr>
          <w:trHeight w:val="45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49.73</w:t>
            </w:r>
          </w:p>
        </w:tc>
        <w:tc>
          <w:tcPr>
            <w:tcW w:w="573" w:type="pct"/>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49.73</w:t>
            </w: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9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043" w:type="pct"/>
            <w:gridSpan w:val="1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开展基层文化润疆宣传、文化体育旅游融合、县乡群众文化体育等活动经费；开展广播、电视、电影等经费；农家书屋等；举办活动场次80场次。</w:t>
            </w:r>
          </w:p>
        </w:tc>
      </w:tr>
      <w:tr>
        <w:tblPrEx>
          <w:tblCellMar>
            <w:top w:w="0" w:type="dxa"/>
            <w:left w:w="0" w:type="dxa"/>
            <w:bottom w:w="0" w:type="dxa"/>
            <w:right w:w="0" w:type="dxa"/>
          </w:tblCellMar>
        </w:tblPrEx>
        <w:trPr>
          <w:trHeight w:val="450" w:hRule="atLeast"/>
        </w:trPr>
        <w:tc>
          <w:tcPr>
            <w:tcW w:w="39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62" w:type="pct"/>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80"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60"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73"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02"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81"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6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79"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6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举办活动场次</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&gt;=80场次</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文化下乡任务完成率</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695"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资金支付及时率</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748"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活动按时完成率</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63"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6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举办文化活动经费</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r>
              <w:rPr>
                <w:rFonts w:hint="eastAsia" w:ascii="宋体" w:hAnsi="宋体" w:cs="宋体"/>
                <w:i w:val="0"/>
                <w:color w:val="000000"/>
                <w:kern w:val="0"/>
                <w:sz w:val="20"/>
                <w:szCs w:val="20"/>
                <w:u w:val="none"/>
                <w:lang w:val="en-US" w:eastAsia="zh-CN" w:bidi="ar"/>
              </w:rPr>
              <w:t>49.73</w:t>
            </w:r>
            <w:r>
              <w:rPr>
                <w:rFonts w:hint="eastAsia" w:ascii="宋体" w:hAnsi="宋体" w:eastAsia="宋体" w:cs="宋体"/>
                <w:i w:val="0"/>
                <w:color w:val="000000"/>
                <w:kern w:val="0"/>
                <w:sz w:val="20"/>
                <w:szCs w:val="20"/>
                <w:u w:val="none"/>
                <w:lang w:val="en-US" w:eastAsia="zh-CN" w:bidi="ar"/>
              </w:rPr>
              <w:t>万元</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989" w:hRule="atLeast"/>
        </w:trPr>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6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基本公共文化服务水平</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群众对国家基本公共文化服务满意度</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&gt;=92%</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46" w:hRule="atLeast"/>
        </w:trPr>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参加活动人员满意度</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3"/>
        <w:tblW w:w="5845" w:type="pct"/>
        <w:tblInd w:w="-423" w:type="dxa"/>
        <w:shd w:val="clear" w:color="auto" w:fill="auto"/>
        <w:tblLayout w:type="autofit"/>
        <w:tblCellMar>
          <w:top w:w="0" w:type="dxa"/>
          <w:left w:w="0" w:type="dxa"/>
          <w:bottom w:w="0" w:type="dxa"/>
          <w:right w:w="0" w:type="dxa"/>
        </w:tblCellMar>
      </w:tblPr>
      <w:tblGrid>
        <w:gridCol w:w="596"/>
        <w:gridCol w:w="1070"/>
        <w:gridCol w:w="1639"/>
        <w:gridCol w:w="1279"/>
        <w:gridCol w:w="976"/>
        <w:gridCol w:w="807"/>
        <w:gridCol w:w="780"/>
        <w:gridCol w:w="1189"/>
        <w:gridCol w:w="1409"/>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巴财教【2024】50号、80号-2025年中央、自治区彩票公益金支持地方体育事业资金</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白鹭</w:t>
            </w:r>
          </w:p>
        </w:tc>
      </w:tr>
      <w:tr>
        <w:tblPrEx>
          <w:tblCellMar>
            <w:top w:w="0" w:type="dxa"/>
            <w:left w:w="0" w:type="dxa"/>
            <w:bottom w:w="0" w:type="dxa"/>
            <w:right w:w="0" w:type="dxa"/>
          </w:tblCellMar>
        </w:tblPrEx>
        <w:trPr>
          <w:trHeight w:val="450" w:hRule="atLeast"/>
        </w:trPr>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w:t>
            </w:r>
          </w:p>
        </w:tc>
        <w:tc>
          <w:tcPr>
            <w:tcW w:w="50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236.5</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8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144"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笼式排球场、健身步道，设置少年儿童活动区、青壮年健身区、中老年健身区、残障人士活动区等智能健身器材及配套服务设施。群众“三大球”联赛县市赛。“奔跑吧·少年”青少年锦标赛（羽毛球项目）。建设工程数量1个，建设工程量面积2000平方米，2025年群众“三大球”联赛（个）1个，“奔跑吧·少年”青少年锦标赛（羽毛球项目）参赛队14个。</w:t>
            </w:r>
          </w:p>
        </w:tc>
      </w:tr>
      <w:tr>
        <w:tblPrEx>
          <w:tblCellMar>
            <w:top w:w="0" w:type="dxa"/>
            <w:left w:w="0" w:type="dxa"/>
            <w:bottom w:w="0" w:type="dxa"/>
            <w:right w:w="0" w:type="dxa"/>
          </w:tblCellMar>
        </w:tblPrEx>
        <w:trPr>
          <w:trHeight w:val="450" w:hRule="atLeast"/>
        </w:trPr>
        <w:tc>
          <w:tcPr>
            <w:tcW w:w="30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4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4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5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1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0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61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72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建设工程数量</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建设工程量面积</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&lt;=2000平方米</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2025年群众“三大球”联赛（个）</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=3个</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“奔跑吧·少年”青少年锦标赛（羽毛球项目）（个）</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=14个</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竣工验收合格率</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项目按计划按时开工及时率</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项目按计划完工及时率</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资金发放及时率</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体育公园建设经费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&lt;=200万元</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各类体育比赛经费</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&lt;=36.50万元</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提高全民体育事业发展</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有效提高</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4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6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7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ascii="楷体_GB2312" w:hAnsi="宋体" w:eastAsia="楷体_GB2312" w:cs="宋体"/>
          <w:b/>
          <w:kern w:val="0"/>
          <w:sz w:val="32"/>
          <w:szCs w:val="32"/>
          <w:highlight w:val="none"/>
        </w:rPr>
      </w:pPr>
    </w:p>
    <w:tbl>
      <w:tblPr>
        <w:tblStyle w:val="13"/>
        <w:tblpPr w:leftFromText="180" w:rightFromText="180" w:vertAnchor="text" w:horzAnchor="page" w:tblpXSpec="center" w:tblpY="415"/>
        <w:tblOverlap w:val="never"/>
        <w:tblW w:w="5759" w:type="pct"/>
        <w:jc w:val="center"/>
        <w:shd w:val="clear" w:color="auto" w:fill="auto"/>
        <w:tblLayout w:type="autofit"/>
        <w:tblCellMar>
          <w:top w:w="0" w:type="dxa"/>
          <w:left w:w="0" w:type="dxa"/>
          <w:bottom w:w="0" w:type="dxa"/>
          <w:right w:w="0" w:type="dxa"/>
        </w:tblCellMar>
      </w:tblPr>
      <w:tblGrid>
        <w:gridCol w:w="678"/>
        <w:gridCol w:w="747"/>
        <w:gridCol w:w="2166"/>
        <w:gridCol w:w="949"/>
        <w:gridCol w:w="1100"/>
        <w:gridCol w:w="609"/>
        <w:gridCol w:w="958"/>
        <w:gridCol w:w="1075"/>
        <w:gridCol w:w="1319"/>
      </w:tblGrid>
      <w:tr>
        <w:tblPrEx>
          <w:shd w:val="clear" w:color="auto" w:fill="auto"/>
          <w:tblCellMar>
            <w:top w:w="0" w:type="dxa"/>
            <w:left w:w="0" w:type="dxa"/>
            <w:bottom w:w="0" w:type="dxa"/>
            <w:right w:w="0" w:type="dxa"/>
          </w:tblCellMar>
        </w:tblPrEx>
        <w:trPr>
          <w:trHeight w:val="405" w:hRule="atLeast"/>
          <w:jc w:val="center"/>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jc w:val="center"/>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jc w:val="center"/>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25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jc w:val="center"/>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9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巴财教【2024】79号-2025年自治区公共体育场馆免费开放金</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白鹭</w:t>
            </w:r>
          </w:p>
        </w:tc>
      </w:tr>
      <w:tr>
        <w:tblPrEx>
          <w:tblCellMar>
            <w:top w:w="0" w:type="dxa"/>
            <w:left w:w="0" w:type="dxa"/>
            <w:bottom w:w="0" w:type="dxa"/>
            <w:right w:w="0" w:type="dxa"/>
          </w:tblCellMar>
        </w:tblPrEx>
        <w:trPr>
          <w:trHeight w:val="450" w:hRule="atLeast"/>
          <w:jc w:val="center"/>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7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jc w:val="center"/>
        </w:trPr>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257"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家体育场馆免费或低收费开放服务，不断提高运营管理能力和公共服务水平，满足人民群众日益增长的体育健身需求.全年对外开放天数330天，每周开放时间35小时，国家法定节假日、全民健身日和学校寒暑假期间每天开放时间8小时。</w:t>
            </w:r>
          </w:p>
        </w:tc>
      </w:tr>
      <w:tr>
        <w:tblPrEx>
          <w:tblCellMar>
            <w:top w:w="0" w:type="dxa"/>
            <w:left w:w="0" w:type="dxa"/>
            <w:bottom w:w="0" w:type="dxa"/>
            <w:right w:w="0" w:type="dxa"/>
          </w:tblCellMar>
        </w:tblPrEx>
        <w:trPr>
          <w:trHeight w:val="450" w:hRule="atLeast"/>
          <w:jc w:val="center"/>
        </w:trPr>
        <w:tc>
          <w:tcPr>
            <w:tcW w:w="3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3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12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9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7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31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9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6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全年对外开放天数</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&gt;=330天</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每周开放时间</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&gt;=35小时</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国家法定节假日、全民健身日和学校寒暑假期间每天开放时间</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&gt;=8小时</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基础设施符合《大型体育场馆基本公共服务规范》标准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资金发放及时率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963"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全民健身日全面免费开放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842" w:hRule="atLeast"/>
          <w:jc w:val="center"/>
        </w:trPr>
        <w:tc>
          <w:tcPr>
            <w:tcW w:w="3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群众满意度</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jc w:val="center"/>
        </w:trPr>
        <w:tc>
          <w:tcPr>
            <w:tcW w:w="3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8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2"/>
        <w:rPr>
          <w:rFonts w:hint="eastAsia" w:ascii="楷体_GB2312" w:hAnsi="宋体" w:eastAsia="楷体_GB2312" w:cs="宋体"/>
          <w:b/>
          <w:kern w:val="0"/>
          <w:sz w:val="32"/>
          <w:szCs w:val="32"/>
          <w:highlight w:val="none"/>
        </w:rPr>
      </w:pPr>
      <w:bookmarkStart w:id="0" w:name="_GoBack"/>
      <w:bookmarkEnd w:id="0"/>
    </w:p>
    <w:p>
      <w:pPr>
        <w:pStyle w:val="2"/>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3"/>
        <w:tblW w:w="5527" w:type="pct"/>
        <w:tblInd w:w="0" w:type="dxa"/>
        <w:shd w:val="clear" w:color="auto" w:fill="auto"/>
        <w:tblLayout w:type="autofit"/>
        <w:tblCellMar>
          <w:top w:w="0" w:type="dxa"/>
          <w:left w:w="0" w:type="dxa"/>
          <w:bottom w:w="0" w:type="dxa"/>
          <w:right w:w="0" w:type="dxa"/>
        </w:tblCellMar>
      </w:tblPr>
      <w:tblGrid>
        <w:gridCol w:w="796"/>
        <w:gridCol w:w="820"/>
        <w:gridCol w:w="1461"/>
        <w:gridCol w:w="982"/>
        <w:gridCol w:w="1087"/>
        <w:gridCol w:w="710"/>
        <w:gridCol w:w="885"/>
        <w:gridCol w:w="1180"/>
        <w:gridCol w:w="1294"/>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122"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9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巴财综【2024】21号2025年中央彩票公益金支持地方体育发展资金</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白鹭</w:t>
            </w:r>
          </w:p>
        </w:tc>
      </w:tr>
      <w:tr>
        <w:tblPrEx>
          <w:tblCellMar>
            <w:top w:w="0" w:type="dxa"/>
            <w:left w:w="0" w:type="dxa"/>
            <w:bottom w:w="0" w:type="dxa"/>
            <w:right w:w="0" w:type="dxa"/>
          </w:tblCellMar>
        </w:tblPrEx>
        <w:trPr>
          <w:trHeight w:val="45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58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122"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计划新建11人制足球场7500平方米,项目建设投资300万元，全部为建设投资项目。11人制足球场面积7500平方米。</w:t>
            </w:r>
          </w:p>
        </w:tc>
      </w:tr>
      <w:tr>
        <w:tblPrEx>
          <w:tblCellMar>
            <w:top w:w="0" w:type="dxa"/>
            <w:left w:w="0" w:type="dxa"/>
            <w:bottom w:w="0" w:type="dxa"/>
            <w:right w:w="0" w:type="dxa"/>
          </w:tblCellMar>
        </w:tblPrEx>
        <w:trPr>
          <w:trHeight w:val="450" w:hRule="atLeast"/>
        </w:trPr>
        <w:tc>
          <w:tcPr>
            <w:tcW w:w="4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4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79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53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8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38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64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9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11人制足球场面积</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&lt;=7500平方米</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11人制足球场竣工验收合格率</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&gt;=100%</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设计变更率</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&lt;=5%</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工程按时完成率</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有效提升焉耆县群众健身需求</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效果显著</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829" w:hRule="atLeast"/>
        </w:trPr>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促进群众体育活动积极性</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&gt;=9分</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23" w:hRule="atLeast"/>
        </w:trPr>
        <w:tc>
          <w:tcPr>
            <w:tcW w:w="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7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5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5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trPr>
        <w:tc>
          <w:tcPr>
            <w:tcW w:w="43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9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3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tbl>
      <w:tblPr>
        <w:tblStyle w:val="13"/>
        <w:tblW w:w="5695" w:type="pct"/>
        <w:tblInd w:w="0" w:type="dxa"/>
        <w:shd w:val="clear" w:color="auto" w:fill="auto"/>
        <w:tblLayout w:type="autofit"/>
        <w:tblCellMar>
          <w:top w:w="0" w:type="dxa"/>
          <w:left w:w="0" w:type="dxa"/>
          <w:bottom w:w="0" w:type="dxa"/>
          <w:right w:w="0" w:type="dxa"/>
        </w:tblCellMar>
      </w:tblPr>
      <w:tblGrid>
        <w:gridCol w:w="715"/>
        <w:gridCol w:w="743"/>
        <w:gridCol w:w="2184"/>
        <w:gridCol w:w="898"/>
        <w:gridCol w:w="1063"/>
        <w:gridCol w:w="724"/>
        <w:gridCol w:w="847"/>
        <w:gridCol w:w="1043"/>
        <w:gridCol w:w="1278"/>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23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8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巴财教（2024）65号-中央2025年文化馆图书馆免费开放资金</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杨静</w:t>
            </w:r>
          </w:p>
        </w:tc>
      </w:tr>
      <w:tr>
        <w:tblPrEx>
          <w:tblCellMar>
            <w:top w:w="0" w:type="dxa"/>
            <w:left w:w="0" w:type="dxa"/>
            <w:bottom w:w="0" w:type="dxa"/>
            <w:right w:w="0" w:type="dxa"/>
          </w:tblCellMar>
        </w:tblPrEx>
        <w:trPr>
          <w:trHeight w:val="450" w:hRule="atLeast"/>
        </w:trPr>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64.8</w:t>
            </w:r>
          </w:p>
        </w:tc>
        <w:tc>
          <w:tcPr>
            <w:tcW w:w="5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64.8</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659" w:hRule="atLeast"/>
        </w:trPr>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231"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完成1家免费开放文化馆、1家免费开放图书馆和10家乡镇文化站及时开放工作，保障群众精神文化需求。</w:t>
            </w:r>
          </w:p>
        </w:tc>
      </w:tr>
      <w:tr>
        <w:tblPrEx>
          <w:tblCellMar>
            <w:top w:w="0" w:type="dxa"/>
            <w:left w:w="0" w:type="dxa"/>
            <w:bottom w:w="0" w:type="dxa"/>
            <w:right w:w="0" w:type="dxa"/>
          </w:tblCellMar>
        </w:tblPrEx>
        <w:trPr>
          <w:trHeight w:val="765" w:hRule="atLeast"/>
        </w:trPr>
        <w:tc>
          <w:tcPr>
            <w:tcW w:w="3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39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15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7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5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38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4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4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7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3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免费开放公共图书馆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免费开放文化馆</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免费开放乡镇文化站</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=10家</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“三馆一站”免费开放覆盖率</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资金按时发放率</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74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789"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保障群众精神文化需求</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1002" w:hRule="atLeast"/>
        </w:trPr>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社会公众对“三馆一站” 公共文化服务满意度</w:t>
            </w:r>
          </w:p>
        </w:tc>
        <w:tc>
          <w:tcPr>
            <w:tcW w:w="4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&gt;=85%</w:t>
            </w:r>
          </w:p>
        </w:tc>
        <w:tc>
          <w:tcPr>
            <w:tcW w:w="5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trPr>
        <w:tc>
          <w:tcPr>
            <w:tcW w:w="37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pStyle w:val="2"/>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tbl>
      <w:tblPr>
        <w:tblStyle w:val="13"/>
        <w:tblW w:w="5599" w:type="pct"/>
        <w:tblInd w:w="0" w:type="dxa"/>
        <w:shd w:val="clear" w:color="auto" w:fill="auto"/>
        <w:tblLayout w:type="autofit"/>
        <w:tblCellMar>
          <w:top w:w="0" w:type="dxa"/>
          <w:left w:w="0" w:type="dxa"/>
          <w:bottom w:w="0" w:type="dxa"/>
          <w:right w:w="0" w:type="dxa"/>
        </w:tblCellMar>
      </w:tblPr>
      <w:tblGrid>
        <w:gridCol w:w="722"/>
        <w:gridCol w:w="739"/>
        <w:gridCol w:w="1968"/>
        <w:gridCol w:w="930"/>
        <w:gridCol w:w="1066"/>
        <w:gridCol w:w="891"/>
        <w:gridCol w:w="741"/>
        <w:gridCol w:w="1111"/>
        <w:gridCol w:w="1167"/>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4216"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焉耆回族自治县文化体育广播电视和旅游局</w:t>
            </w:r>
          </w:p>
        </w:tc>
      </w:tr>
      <w:tr>
        <w:tblPrEx>
          <w:tblCellMar>
            <w:top w:w="0" w:type="dxa"/>
            <w:left w:w="0" w:type="dxa"/>
            <w:bottom w:w="0" w:type="dxa"/>
            <w:right w:w="0" w:type="dxa"/>
          </w:tblCellMar>
        </w:tblPrEx>
        <w:trPr>
          <w:trHeight w:val="450" w:hRule="atLeast"/>
        </w:trPr>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12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巴财教（2024）71号-自治区2025年文化馆图书馆免费开放资金</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杨静</w:t>
            </w:r>
          </w:p>
        </w:tc>
      </w:tr>
      <w:tr>
        <w:tblPrEx>
          <w:tblCellMar>
            <w:top w:w="0" w:type="dxa"/>
            <w:left w:w="0" w:type="dxa"/>
            <w:bottom w:w="0" w:type="dxa"/>
            <w:right w:w="0" w:type="dxa"/>
          </w:tblCellMar>
        </w:tblPrEx>
        <w:trPr>
          <w:trHeight w:val="450" w:hRule="atLeast"/>
        </w:trPr>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12.6</w:t>
            </w:r>
          </w:p>
        </w:tc>
        <w:tc>
          <w:tcPr>
            <w:tcW w:w="57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12.6</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40" w:hRule="atLeast"/>
        </w:trPr>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4216"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完成1家免费开放文化馆、1家免费开放图书馆和10家乡镇文化站及时开放工作，保障群众精神文化需求。</w:t>
            </w:r>
          </w:p>
        </w:tc>
      </w:tr>
      <w:tr>
        <w:tblPrEx>
          <w:tblCellMar>
            <w:top w:w="0" w:type="dxa"/>
            <w:left w:w="0" w:type="dxa"/>
            <w:bottom w:w="0" w:type="dxa"/>
            <w:right w:w="0" w:type="dxa"/>
          </w:tblCellMar>
        </w:tblPrEx>
        <w:trPr>
          <w:trHeight w:val="450" w:hRule="atLeast"/>
        </w:trPr>
        <w:tc>
          <w:tcPr>
            <w:tcW w:w="38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39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5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9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7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7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39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9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2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免费开放公共图书馆</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免费开放文化馆</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=1家</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免费开放乡镇文化站</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=10家</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“三馆一站”免费开放覆盖率</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资金按时发放率</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原始凭证</w:t>
            </w:r>
          </w:p>
        </w:tc>
      </w:tr>
      <w:tr>
        <w:tblPrEx>
          <w:tblCellMar>
            <w:top w:w="0" w:type="dxa"/>
            <w:left w:w="0" w:type="dxa"/>
            <w:bottom w:w="0" w:type="dxa"/>
            <w:right w:w="0" w:type="dxa"/>
          </w:tblCellMar>
        </w:tblPrEx>
        <w:trPr>
          <w:trHeight w:val="4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保障群众精神文化需求</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0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社会公众对“三馆一站” 公共文化服务满意度</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&gt;=85%</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270" w:hRule="atLeast"/>
        </w:trPr>
        <w:tc>
          <w:tcPr>
            <w:tcW w:w="38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5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7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5"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eastAsia" w:ascii="黑体" w:hAnsi="黑体" w:eastAsia="黑体"/>
          <w:kern w:val="0"/>
          <w:sz w:val="32"/>
          <w:szCs w:val="32"/>
          <w:highlight w:val="none"/>
        </w:rPr>
      </w:pP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val="en-US" w:eastAsia="zh-CN"/>
        </w:rPr>
        <w:t>2025年政府性基金预算支出用于体育事业的彩票公益金支出221.5万元与15万元做在同一项目支出绩效目标表。</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lang w:eastAsia="zh-CN"/>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焉耆回族自治县文化体育广播电视和旅游局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_x0000_s00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FhICbXoAQAA&#10;9AMAAA4AAAAAAAAAAQAgAAAAHwEAAGRycy9lMm9Eb2MueG1sUEsFBgAAAAAGAAYAWQEAAHkFAAAA&#10;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_x0000_s00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98FXHo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SW3PSjPDX8aSv49UVkuP2Z/+kgVlz3GA847&#10;4jCLHVr0+Z9liGH09PrsqRmS0Jxcrlfrdcl2az67bRinePk8IqUvBrzIQS2RmzZ6qS73lKbSW0m+&#10;LcDeOsd5VbnwR4Ixc6bIjCeOOUrDcZiJH6G5slyEaQ4o6r3lO+8VpYNCbjzz5KeRHnhpHfS1hDmS&#10;ogP8+a98rud+8KkUPQ9SLQO/Gync18B9yjN3C/AWHG+BCpo/rGWS4hzRnrqRV9ZE8fM5sdBRf1Yx&#10;UZ/F8TCMDs6Dm6ft9/1Y9fJYt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98FXHoAQAA&#10;9AMAAA4AAAAAAAAAAQAgAAAAHwEAAGRycy9lMm9Eb2MueG1sUEsFBgAAAAAGAAYAWQEAAHkFAAAA&#10;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4930"/>
    <w:multiLevelType w:val="singleLevel"/>
    <w:tmpl w:val="16FF4930"/>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172A27"/>
    <w:rsid w:val="00002F55"/>
    <w:rsid w:val="00816981"/>
    <w:rsid w:val="009A27EB"/>
    <w:rsid w:val="009A3127"/>
    <w:rsid w:val="00C20709"/>
    <w:rsid w:val="00DB1610"/>
    <w:rsid w:val="00EC1EA8"/>
    <w:rsid w:val="032E3D2F"/>
    <w:rsid w:val="034A192F"/>
    <w:rsid w:val="034D644F"/>
    <w:rsid w:val="036877E1"/>
    <w:rsid w:val="039A1168"/>
    <w:rsid w:val="03A94575"/>
    <w:rsid w:val="03B24BC9"/>
    <w:rsid w:val="03FC2B2A"/>
    <w:rsid w:val="045B5A4E"/>
    <w:rsid w:val="046162F8"/>
    <w:rsid w:val="046C7F19"/>
    <w:rsid w:val="051C4EF0"/>
    <w:rsid w:val="054A1E5F"/>
    <w:rsid w:val="058B47FD"/>
    <w:rsid w:val="05F861BF"/>
    <w:rsid w:val="06030E73"/>
    <w:rsid w:val="06EB21E3"/>
    <w:rsid w:val="07494150"/>
    <w:rsid w:val="075B510F"/>
    <w:rsid w:val="077C5BD9"/>
    <w:rsid w:val="079677C6"/>
    <w:rsid w:val="07E81A45"/>
    <w:rsid w:val="087B5448"/>
    <w:rsid w:val="090B7450"/>
    <w:rsid w:val="09446D83"/>
    <w:rsid w:val="098A67D0"/>
    <w:rsid w:val="0A391FB2"/>
    <w:rsid w:val="0AC11BDC"/>
    <w:rsid w:val="0AE86876"/>
    <w:rsid w:val="0B423E12"/>
    <w:rsid w:val="0B797607"/>
    <w:rsid w:val="0C9C79C2"/>
    <w:rsid w:val="0CD46F85"/>
    <w:rsid w:val="0D035850"/>
    <w:rsid w:val="0D24317C"/>
    <w:rsid w:val="0F1F2831"/>
    <w:rsid w:val="0F380365"/>
    <w:rsid w:val="0FBD267A"/>
    <w:rsid w:val="0FC22CC9"/>
    <w:rsid w:val="0FC56797"/>
    <w:rsid w:val="10007921"/>
    <w:rsid w:val="104D61E3"/>
    <w:rsid w:val="10AF73A3"/>
    <w:rsid w:val="110F2447"/>
    <w:rsid w:val="11116062"/>
    <w:rsid w:val="12296C83"/>
    <w:rsid w:val="125761D2"/>
    <w:rsid w:val="12601A78"/>
    <w:rsid w:val="12C760D9"/>
    <w:rsid w:val="12F765DF"/>
    <w:rsid w:val="13164028"/>
    <w:rsid w:val="13201F03"/>
    <w:rsid w:val="134D3F21"/>
    <w:rsid w:val="13DF0179"/>
    <w:rsid w:val="14422D0F"/>
    <w:rsid w:val="144912A6"/>
    <w:rsid w:val="145F355E"/>
    <w:rsid w:val="14642452"/>
    <w:rsid w:val="157A41C0"/>
    <w:rsid w:val="164B7534"/>
    <w:rsid w:val="166404DF"/>
    <w:rsid w:val="16DC482D"/>
    <w:rsid w:val="1755108A"/>
    <w:rsid w:val="17993D2A"/>
    <w:rsid w:val="18B071BC"/>
    <w:rsid w:val="19724BE9"/>
    <w:rsid w:val="19EA6BC3"/>
    <w:rsid w:val="1AAF2F28"/>
    <w:rsid w:val="1AB53CEB"/>
    <w:rsid w:val="1AC772BC"/>
    <w:rsid w:val="1C2A18B9"/>
    <w:rsid w:val="1C3670BD"/>
    <w:rsid w:val="1C9A0677"/>
    <w:rsid w:val="1CA12BD0"/>
    <w:rsid w:val="1D157290"/>
    <w:rsid w:val="1D2E5E73"/>
    <w:rsid w:val="1DC62E2E"/>
    <w:rsid w:val="1E6750B8"/>
    <w:rsid w:val="1F0C5BE8"/>
    <w:rsid w:val="1F4A78D2"/>
    <w:rsid w:val="1F55173B"/>
    <w:rsid w:val="1FC877FB"/>
    <w:rsid w:val="1FE02C42"/>
    <w:rsid w:val="20274984"/>
    <w:rsid w:val="20514BB9"/>
    <w:rsid w:val="20946A08"/>
    <w:rsid w:val="216D3870"/>
    <w:rsid w:val="219C2A38"/>
    <w:rsid w:val="21B53D11"/>
    <w:rsid w:val="22F9790F"/>
    <w:rsid w:val="23591569"/>
    <w:rsid w:val="23652CF6"/>
    <w:rsid w:val="23917D55"/>
    <w:rsid w:val="2399021F"/>
    <w:rsid w:val="23A24289"/>
    <w:rsid w:val="23B17556"/>
    <w:rsid w:val="23D130DD"/>
    <w:rsid w:val="23E84D14"/>
    <w:rsid w:val="23F54CB5"/>
    <w:rsid w:val="24122476"/>
    <w:rsid w:val="241F1F87"/>
    <w:rsid w:val="2477376A"/>
    <w:rsid w:val="24E41FED"/>
    <w:rsid w:val="252E4E2C"/>
    <w:rsid w:val="25626F16"/>
    <w:rsid w:val="25747286"/>
    <w:rsid w:val="25AC35E1"/>
    <w:rsid w:val="25E22FB3"/>
    <w:rsid w:val="2621245F"/>
    <w:rsid w:val="265C359F"/>
    <w:rsid w:val="26AD6F37"/>
    <w:rsid w:val="26CB6A43"/>
    <w:rsid w:val="26E24956"/>
    <w:rsid w:val="26F50813"/>
    <w:rsid w:val="271B2255"/>
    <w:rsid w:val="271E67D0"/>
    <w:rsid w:val="272F5E87"/>
    <w:rsid w:val="27AC7CCB"/>
    <w:rsid w:val="27B86E67"/>
    <w:rsid w:val="27CB53AC"/>
    <w:rsid w:val="27ED4318"/>
    <w:rsid w:val="27F90EA4"/>
    <w:rsid w:val="29396650"/>
    <w:rsid w:val="29D34488"/>
    <w:rsid w:val="29D9639C"/>
    <w:rsid w:val="29E5539D"/>
    <w:rsid w:val="29E735AD"/>
    <w:rsid w:val="2A23041C"/>
    <w:rsid w:val="2A2F3BDC"/>
    <w:rsid w:val="2AD273EF"/>
    <w:rsid w:val="2B090A7F"/>
    <w:rsid w:val="2B1F78C0"/>
    <w:rsid w:val="2C2C4829"/>
    <w:rsid w:val="2C667CDC"/>
    <w:rsid w:val="2CAB64CE"/>
    <w:rsid w:val="2D1D6CD4"/>
    <w:rsid w:val="2D2D7E4D"/>
    <w:rsid w:val="2D710390"/>
    <w:rsid w:val="2E225C3F"/>
    <w:rsid w:val="2E236CBE"/>
    <w:rsid w:val="2E3F5E65"/>
    <w:rsid w:val="2E6C5773"/>
    <w:rsid w:val="2F0F5E28"/>
    <w:rsid w:val="2F200F6F"/>
    <w:rsid w:val="30AA76F8"/>
    <w:rsid w:val="30C26CA0"/>
    <w:rsid w:val="30CF121D"/>
    <w:rsid w:val="30D81B98"/>
    <w:rsid w:val="311C616E"/>
    <w:rsid w:val="31263E60"/>
    <w:rsid w:val="3150644B"/>
    <w:rsid w:val="31507FE3"/>
    <w:rsid w:val="31642EBC"/>
    <w:rsid w:val="31983622"/>
    <w:rsid w:val="31A911F4"/>
    <w:rsid w:val="32291536"/>
    <w:rsid w:val="325058E5"/>
    <w:rsid w:val="326928C9"/>
    <w:rsid w:val="327902AD"/>
    <w:rsid w:val="32BE7D33"/>
    <w:rsid w:val="330204EE"/>
    <w:rsid w:val="330267BB"/>
    <w:rsid w:val="3332032C"/>
    <w:rsid w:val="33B76376"/>
    <w:rsid w:val="34880C56"/>
    <w:rsid w:val="34CE3D31"/>
    <w:rsid w:val="350862D2"/>
    <w:rsid w:val="35343E1E"/>
    <w:rsid w:val="35B22B58"/>
    <w:rsid w:val="35C1391C"/>
    <w:rsid w:val="35FF01CD"/>
    <w:rsid w:val="360F337B"/>
    <w:rsid w:val="36725816"/>
    <w:rsid w:val="37513525"/>
    <w:rsid w:val="37DF6E63"/>
    <w:rsid w:val="3814056D"/>
    <w:rsid w:val="383B1642"/>
    <w:rsid w:val="387A36D7"/>
    <w:rsid w:val="38850266"/>
    <w:rsid w:val="39220B0F"/>
    <w:rsid w:val="3952158A"/>
    <w:rsid w:val="399F44E8"/>
    <w:rsid w:val="39DB6BB9"/>
    <w:rsid w:val="39E1247F"/>
    <w:rsid w:val="3A672B6E"/>
    <w:rsid w:val="3AAC1F6A"/>
    <w:rsid w:val="3ACC61A6"/>
    <w:rsid w:val="3B384FAC"/>
    <w:rsid w:val="3B5810C5"/>
    <w:rsid w:val="3B5D585E"/>
    <w:rsid w:val="3B9462AB"/>
    <w:rsid w:val="3BE9336E"/>
    <w:rsid w:val="3C1F0F75"/>
    <w:rsid w:val="3C8F42E0"/>
    <w:rsid w:val="3CAE7E6B"/>
    <w:rsid w:val="3D841125"/>
    <w:rsid w:val="3E3B7D35"/>
    <w:rsid w:val="3EC37D02"/>
    <w:rsid w:val="41092E9E"/>
    <w:rsid w:val="411945B0"/>
    <w:rsid w:val="413851B6"/>
    <w:rsid w:val="41590DF6"/>
    <w:rsid w:val="416C33BE"/>
    <w:rsid w:val="41894043"/>
    <w:rsid w:val="419C7CCF"/>
    <w:rsid w:val="41F208FB"/>
    <w:rsid w:val="42272213"/>
    <w:rsid w:val="42625B03"/>
    <w:rsid w:val="42BC5DD5"/>
    <w:rsid w:val="432631F1"/>
    <w:rsid w:val="43620B2E"/>
    <w:rsid w:val="438E2484"/>
    <w:rsid w:val="43D62B93"/>
    <w:rsid w:val="44347D00"/>
    <w:rsid w:val="4462601A"/>
    <w:rsid w:val="44827A67"/>
    <w:rsid w:val="449432A7"/>
    <w:rsid w:val="44EA039F"/>
    <w:rsid w:val="452436BA"/>
    <w:rsid w:val="45697975"/>
    <w:rsid w:val="459F2553"/>
    <w:rsid w:val="45FC371B"/>
    <w:rsid w:val="45FD4B29"/>
    <w:rsid w:val="460F66AF"/>
    <w:rsid w:val="47850B9D"/>
    <w:rsid w:val="47876A11"/>
    <w:rsid w:val="4833049F"/>
    <w:rsid w:val="486140CF"/>
    <w:rsid w:val="48647C23"/>
    <w:rsid w:val="486C4C8C"/>
    <w:rsid w:val="48704424"/>
    <w:rsid w:val="48995B9A"/>
    <w:rsid w:val="48AA0276"/>
    <w:rsid w:val="492B07F9"/>
    <w:rsid w:val="49E54C53"/>
    <w:rsid w:val="4A3B45C8"/>
    <w:rsid w:val="4A7058CA"/>
    <w:rsid w:val="4B1D04B8"/>
    <w:rsid w:val="4B2F2BE9"/>
    <w:rsid w:val="4B930E24"/>
    <w:rsid w:val="4BAD6317"/>
    <w:rsid w:val="4BCE0F4C"/>
    <w:rsid w:val="4CC0627A"/>
    <w:rsid w:val="4CD014C8"/>
    <w:rsid w:val="4E2F12B3"/>
    <w:rsid w:val="4E374A58"/>
    <w:rsid w:val="4E621C80"/>
    <w:rsid w:val="4E6720B3"/>
    <w:rsid w:val="4E812760"/>
    <w:rsid w:val="4EA76327"/>
    <w:rsid w:val="4ED13FFE"/>
    <w:rsid w:val="4EFB2E9B"/>
    <w:rsid w:val="4F1E6E4A"/>
    <w:rsid w:val="4F416EB3"/>
    <w:rsid w:val="4FB95297"/>
    <w:rsid w:val="501A384E"/>
    <w:rsid w:val="50A63E6F"/>
    <w:rsid w:val="50D8409E"/>
    <w:rsid w:val="51F7633D"/>
    <w:rsid w:val="527818DA"/>
    <w:rsid w:val="52BF2782"/>
    <w:rsid w:val="5306097B"/>
    <w:rsid w:val="53115B57"/>
    <w:rsid w:val="534515C4"/>
    <w:rsid w:val="53A2518B"/>
    <w:rsid w:val="53AD7C6A"/>
    <w:rsid w:val="53F769CB"/>
    <w:rsid w:val="54A05EC7"/>
    <w:rsid w:val="552C646A"/>
    <w:rsid w:val="553D073C"/>
    <w:rsid w:val="554E5295"/>
    <w:rsid w:val="55B16E25"/>
    <w:rsid w:val="55F5335F"/>
    <w:rsid w:val="567D07EF"/>
    <w:rsid w:val="568C75DE"/>
    <w:rsid w:val="56F628FC"/>
    <w:rsid w:val="57347982"/>
    <w:rsid w:val="576372A1"/>
    <w:rsid w:val="57941015"/>
    <w:rsid w:val="57CD374C"/>
    <w:rsid w:val="57D96D8D"/>
    <w:rsid w:val="57DF1703"/>
    <w:rsid w:val="58352EC7"/>
    <w:rsid w:val="58442C9A"/>
    <w:rsid w:val="58DE0841"/>
    <w:rsid w:val="59021208"/>
    <w:rsid w:val="598702BB"/>
    <w:rsid w:val="5A2122E7"/>
    <w:rsid w:val="5A2471EA"/>
    <w:rsid w:val="5A594537"/>
    <w:rsid w:val="5AD34419"/>
    <w:rsid w:val="5B085AAC"/>
    <w:rsid w:val="5B495B95"/>
    <w:rsid w:val="5B775232"/>
    <w:rsid w:val="5BAA6CEA"/>
    <w:rsid w:val="5BFD5492"/>
    <w:rsid w:val="5BFF0C50"/>
    <w:rsid w:val="5C594DCD"/>
    <w:rsid w:val="5C9B1065"/>
    <w:rsid w:val="5CA1025D"/>
    <w:rsid w:val="5D2C58F5"/>
    <w:rsid w:val="5D514790"/>
    <w:rsid w:val="5D8A443C"/>
    <w:rsid w:val="5D8A6406"/>
    <w:rsid w:val="5DC25450"/>
    <w:rsid w:val="5E243A70"/>
    <w:rsid w:val="5E4113C0"/>
    <w:rsid w:val="5E4C05D4"/>
    <w:rsid w:val="5E4F083E"/>
    <w:rsid w:val="5E830EBA"/>
    <w:rsid w:val="5F6246AE"/>
    <w:rsid w:val="5F882C55"/>
    <w:rsid w:val="60B2455F"/>
    <w:rsid w:val="60BE7A94"/>
    <w:rsid w:val="611747D9"/>
    <w:rsid w:val="6124692A"/>
    <w:rsid w:val="6153369D"/>
    <w:rsid w:val="617C7240"/>
    <w:rsid w:val="619A2A95"/>
    <w:rsid w:val="619E6023"/>
    <w:rsid w:val="61CA165F"/>
    <w:rsid w:val="620F2589"/>
    <w:rsid w:val="62400DDB"/>
    <w:rsid w:val="624326F2"/>
    <w:rsid w:val="62974EC4"/>
    <w:rsid w:val="62D66588"/>
    <w:rsid w:val="64010A29"/>
    <w:rsid w:val="641E561B"/>
    <w:rsid w:val="645C3AF2"/>
    <w:rsid w:val="6496076A"/>
    <w:rsid w:val="64E878B0"/>
    <w:rsid w:val="650D3927"/>
    <w:rsid w:val="65272D9B"/>
    <w:rsid w:val="65576A1E"/>
    <w:rsid w:val="65C37107"/>
    <w:rsid w:val="663C1B5D"/>
    <w:rsid w:val="66D86FBB"/>
    <w:rsid w:val="66DB6C70"/>
    <w:rsid w:val="67CF4483"/>
    <w:rsid w:val="67D636FF"/>
    <w:rsid w:val="67EF0799"/>
    <w:rsid w:val="67F372EA"/>
    <w:rsid w:val="68312D4F"/>
    <w:rsid w:val="686C1260"/>
    <w:rsid w:val="686D2CC1"/>
    <w:rsid w:val="68A115A8"/>
    <w:rsid w:val="6904636E"/>
    <w:rsid w:val="692D3239"/>
    <w:rsid w:val="693273A5"/>
    <w:rsid w:val="693667A6"/>
    <w:rsid w:val="69FF78AD"/>
    <w:rsid w:val="6A0521C7"/>
    <w:rsid w:val="6A79607F"/>
    <w:rsid w:val="6A9C790B"/>
    <w:rsid w:val="6AA03711"/>
    <w:rsid w:val="6AFB220C"/>
    <w:rsid w:val="6B3E3F90"/>
    <w:rsid w:val="6B4150D3"/>
    <w:rsid w:val="6BDB2BE7"/>
    <w:rsid w:val="6CFA23A3"/>
    <w:rsid w:val="6D735460"/>
    <w:rsid w:val="6D7541D0"/>
    <w:rsid w:val="6DE36049"/>
    <w:rsid w:val="6E195076"/>
    <w:rsid w:val="6E4E6615"/>
    <w:rsid w:val="6E875D74"/>
    <w:rsid w:val="6F3A1ED9"/>
    <w:rsid w:val="6F7E1C23"/>
    <w:rsid w:val="6FF56118"/>
    <w:rsid w:val="70411117"/>
    <w:rsid w:val="704C6B9C"/>
    <w:rsid w:val="714E44D6"/>
    <w:rsid w:val="719F0FDA"/>
    <w:rsid w:val="71EC46AE"/>
    <w:rsid w:val="721026BB"/>
    <w:rsid w:val="7333350E"/>
    <w:rsid w:val="735B31BC"/>
    <w:rsid w:val="73AE6B15"/>
    <w:rsid w:val="73DD0FA0"/>
    <w:rsid w:val="73EA2553"/>
    <w:rsid w:val="74181319"/>
    <w:rsid w:val="74323064"/>
    <w:rsid w:val="74376D04"/>
    <w:rsid w:val="75186DD4"/>
    <w:rsid w:val="75C62A4F"/>
    <w:rsid w:val="75DF1384"/>
    <w:rsid w:val="75F851AA"/>
    <w:rsid w:val="76981F72"/>
    <w:rsid w:val="7703137E"/>
    <w:rsid w:val="77053A21"/>
    <w:rsid w:val="77A24AD1"/>
    <w:rsid w:val="77B67008"/>
    <w:rsid w:val="77DC19B1"/>
    <w:rsid w:val="78971B97"/>
    <w:rsid w:val="79602BA1"/>
    <w:rsid w:val="79E35BF0"/>
    <w:rsid w:val="7A082BC2"/>
    <w:rsid w:val="7ABE1B21"/>
    <w:rsid w:val="7AC317DA"/>
    <w:rsid w:val="7B34396A"/>
    <w:rsid w:val="7B377253"/>
    <w:rsid w:val="7B387AAF"/>
    <w:rsid w:val="7B7F39AE"/>
    <w:rsid w:val="7BCE4DF8"/>
    <w:rsid w:val="7C02318B"/>
    <w:rsid w:val="7C4654A9"/>
    <w:rsid w:val="7C8371C2"/>
    <w:rsid w:val="7D7B6346"/>
    <w:rsid w:val="7D9F3A86"/>
    <w:rsid w:val="7DDF7431"/>
    <w:rsid w:val="7E027662"/>
    <w:rsid w:val="7E2D765F"/>
    <w:rsid w:val="7E683AF0"/>
    <w:rsid w:val="7E8F77F0"/>
    <w:rsid w:val="7E951DCE"/>
    <w:rsid w:val="7E9762B5"/>
    <w:rsid w:val="7F4F3B72"/>
    <w:rsid w:val="7FC35C1E"/>
    <w:rsid w:val="7FE6749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预算公开正文内容"/>
    <w:basedOn w:val="15"/>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e0fd1-fad1-4337-9357-19f0ee103e16}">
  <ds:schemaRefs/>
</ds:datastoreItem>
</file>

<file path=customXml/itemProps3.xml><?xml version="1.0" encoding="utf-8"?>
<ds:datastoreItem xmlns:ds="http://schemas.openxmlformats.org/officeDocument/2006/customXml" ds:itemID="{028ac63b-fb71-451d-9248-e49b2e63c841}">
  <ds:schemaRefs/>
</ds:datastoreItem>
</file>

<file path=customXml/itemProps4.xml><?xml version="1.0" encoding="utf-8"?>
<ds:datastoreItem xmlns:ds="http://schemas.openxmlformats.org/officeDocument/2006/customXml" ds:itemID="{a0315f5a-5fb6-4115-8eb3-43bc8a646e75}">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2025-04-26T11:04:56Z</cp:lastPrinted>
  <dcterms:modified xsi:type="dcterms:W3CDTF">2025-04-26T11:35:19Z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