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eastAsia="zh-CN"/>
        </w:rPr>
      </w:pPr>
    </w:p>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eastAsia="zh-CN"/>
        </w:rPr>
      </w:pPr>
    </w:p>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eastAsia="zh-CN"/>
        </w:rPr>
      </w:pPr>
    </w:p>
    <w:p>
      <w:pPr>
        <w:widowControl/>
        <w:spacing w:before="100" w:beforeAutospacing="1" w:after="100" w:afterAutospacing="1"/>
        <w:jc w:val="center"/>
        <w:outlineLvl w:val="1"/>
        <w:rPr>
          <w:rFonts w:hint="default"/>
        </w:rPr>
      </w:pPr>
      <w:r>
        <w:rPr>
          <w:rFonts w:hint="eastAsia" w:ascii="方正小标宋_GBK" w:hAnsi="宋体" w:eastAsia="方正小标宋_GBK"/>
          <w:color w:val="auto"/>
          <w:kern w:val="0"/>
          <w:sz w:val="44"/>
          <w:szCs w:val="44"/>
          <w:highlight w:val="none"/>
          <w:lang w:eastAsia="zh-CN"/>
        </w:rPr>
        <w:t>新疆维吾尔自治区巴音郭楞蒙古自治州</w:t>
      </w:r>
    </w:p>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val="en-US" w:eastAsia="zh-CN"/>
        </w:rPr>
      </w:pPr>
      <w:r>
        <w:rPr>
          <w:rFonts w:hint="eastAsia" w:ascii="方正小标宋_GBK" w:hAnsi="宋体" w:eastAsia="方正小标宋_GBK"/>
          <w:color w:val="auto"/>
          <w:kern w:val="0"/>
          <w:sz w:val="44"/>
          <w:szCs w:val="44"/>
          <w:highlight w:val="none"/>
          <w:lang w:val="en-US" w:eastAsia="zh-CN"/>
        </w:rPr>
        <w:t>焉耆回族自治县市政工程维护管理处</w:t>
      </w:r>
    </w:p>
    <w:p>
      <w:pPr>
        <w:widowControl/>
        <w:spacing w:before="100" w:beforeAutospacing="1" w:after="100" w:afterAutospacing="1"/>
        <w:jc w:val="center"/>
        <w:outlineLvl w:val="1"/>
        <w:rPr>
          <w:rFonts w:hint="default" w:ascii="方正小标宋_GBK" w:hAnsi="宋体" w:eastAsia="方正小标宋_GBK"/>
          <w:color w:val="auto"/>
          <w:kern w:val="0"/>
          <w:sz w:val="44"/>
          <w:szCs w:val="44"/>
          <w:highlight w:val="none"/>
        </w:rPr>
      </w:pPr>
      <w:r>
        <w:rPr>
          <w:rFonts w:hint="eastAsia" w:ascii="方正小标宋_GBK" w:hAnsi="宋体" w:eastAsia="方正小标宋_GBK"/>
          <w:color w:val="auto"/>
          <w:kern w:val="0"/>
          <w:sz w:val="44"/>
          <w:szCs w:val="44"/>
          <w:highlight w:val="none"/>
          <w:lang w:val="en-US" w:eastAsia="zh-CN"/>
        </w:rPr>
        <w:t>2025年单位</w:t>
      </w:r>
      <w:r>
        <w:rPr>
          <w:rFonts w:hint="eastAsia" w:ascii="方正小标宋_GBK" w:hAnsi="宋体" w:eastAsia="方正小标宋_GBK"/>
          <w:color w:val="auto"/>
          <w:kern w:val="0"/>
          <w:sz w:val="44"/>
          <w:szCs w:val="44"/>
          <w:highlight w:val="none"/>
        </w:rPr>
        <w:t>预算公开</w:t>
      </w:r>
    </w:p>
    <w:p>
      <w:pPr>
        <w:widowControl/>
        <w:spacing w:line="440" w:lineRule="exact"/>
        <w:jc w:val="both"/>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both"/>
        <w:outlineLvl w:val="1"/>
        <w:rPr>
          <w:rFonts w:hint="eastAsia" w:ascii="黑体" w:hAnsi="黑体" w:eastAsia="黑体"/>
          <w:color w:val="auto"/>
          <w:kern w:val="0"/>
          <w:sz w:val="36"/>
          <w:szCs w:val="32"/>
          <w:highlight w:val="none"/>
        </w:rPr>
        <w:sectPr>
          <w:footerReference r:id="rId3" w:type="default"/>
          <w:pgSz w:w="11906" w:h="16838"/>
          <w:pgMar w:top="2098" w:right="1418" w:bottom="1928" w:left="1588" w:header="851" w:footer="992" w:gutter="0"/>
          <w:pgBorders>
            <w:top w:val="none" w:sz="0" w:space="0"/>
            <w:left w:val="none" w:sz="0" w:space="0"/>
            <w:bottom w:val="none" w:sz="0" w:space="0"/>
            <w:right w:val="none" w:sz="0" w:space="0"/>
          </w:pgBorders>
          <w:pgNumType w:fmt="decimal" w:start="1"/>
          <w:cols w:space="720" w:num="1"/>
          <w:docGrid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目 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仿宋_GB2312" w:hAnsi="仿宋_GB2312" w:eastAsia="仿宋_GB2312" w:cs="仿宋_GB2312"/>
          <w:b/>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第一部分 2025年单位概况</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一、主要职能</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二、机构设置及人员情况</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第二部分 2025年单位预算公开表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一、单位收支总体情况表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二、单位收入总体情况表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三、单位支出总体情况表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四、财政拨款收支预算总体情况表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五、一般公共预算支出情况表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六、一般公共预算基本支出情况表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七、一般公共预算项目支出情况表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八、政府性基金预算支出情况表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九、国有资本经营预算支出情况表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十、财政拨款“三公”经费支出情况表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十一、上年结转结余情况明细表</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第三部分 2025年单位预算情况说明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一、关于焉耆回族自治县市政工程维护管理处2025年收支预算情况的总体说明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二、关于焉耆回族自治县市政工程维护管理处2025年收入预算情况说明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三、关于焉耆回族自治县市政工程维护管理处2025年支出预算情况说明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四、关于焉耆回族自治县市政工程维护管理处2025年财政拨款收支预算情况的总体说明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五、关于焉耆回族自治县市政工程维护管理处2025年一般公共预算当年拨款情况说明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六、关于焉耆回族自治县市政工程维护管理处2025年一般公共预算基本支出情况说明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七、关于焉耆回族自治县市政工程维护管理处2025年一般公共预算项目支出情况说明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八、关于焉耆回族自治县市政工程维护管理处2025年政府性基金预算拨款情况说明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九、关于焉耆回族自治县市政工程维护管理处2025年国有资本经营预算拨款情况说明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十、关于焉耆回族自治县市政工程维护管理处2025年财政拨款“三公”经费预算情况说明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十一、关于焉耆回族自治县市政工程维护管理处2025年上年结转结余预算情况说明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十二、其他重要事项的情况说明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第四部分 名词解释</w:t>
      </w:r>
    </w:p>
    <w:p>
      <w:pPr>
        <w:rPr>
          <w:rFonts w:hint="eastAsia" w:ascii="仿宋_GB2312" w:hAnsi="仿宋_GB2312" w:eastAsia="仿宋_GB2312" w:cs="仿宋_GB2312"/>
          <w:b/>
          <w:color w:val="auto"/>
          <w:kern w:val="0"/>
          <w:sz w:val="32"/>
          <w:szCs w:val="32"/>
          <w:highlight w:val="none"/>
          <w:lang w:val="en-US" w:eastAsia="zh-CN"/>
        </w:rPr>
      </w:pPr>
      <w:r>
        <w:br w:type="page"/>
      </w:r>
    </w:p>
    <w:p>
      <w:pPr>
        <w:keepNext w:val="0"/>
        <w:keepLines w:val="0"/>
        <w:pageBreakBefore w:val="0"/>
        <w:widowControl/>
        <w:kinsoku/>
        <w:wordWrap/>
        <w:overflowPunct/>
        <w:topLinePunct w:val="0"/>
        <w:autoSpaceDE/>
        <w:autoSpaceDN/>
        <w:bidi w:val="0"/>
        <w:adjustRightInd/>
        <w:snapToGrid/>
        <w:spacing w:beforeLines="0" w:line="540" w:lineRule="exact"/>
        <w:jc w:val="center"/>
        <w:textAlignment w:val="auto"/>
        <w:outlineLvl w:val="1"/>
        <w:rPr>
          <w:rFonts w:hint="eastAsia" w:ascii="黑体" w:hAnsi="黑体" w:eastAsia="黑体"/>
          <w:color w:val="auto"/>
          <w:kern w:val="0"/>
          <w:sz w:val="32"/>
          <w:szCs w:val="32"/>
          <w:highlight w:val="none"/>
          <w:lang w:eastAsia="zh-CN"/>
        </w:rPr>
      </w:pPr>
      <w:r>
        <w:rPr>
          <w:rFonts w:hint="eastAsia" w:ascii="黑体" w:hAnsi="黑体" w:eastAsia="黑体"/>
          <w:color w:val="auto"/>
          <w:kern w:val="0"/>
          <w:sz w:val="32"/>
          <w:szCs w:val="32"/>
          <w:highlight w:val="none"/>
          <w:lang w:val="en-US" w:eastAsia="zh-CN"/>
        </w:rPr>
        <w:t>第一部分  2025年单位概况</w:t>
      </w:r>
    </w:p>
    <w:p>
      <w:pPr>
        <w:keepNext w:val="0"/>
        <w:keepLines w:val="0"/>
        <w:pageBreakBefore w:val="0"/>
        <w:widowControl/>
        <w:kinsoku/>
        <w:wordWrap/>
        <w:overflowPunct/>
        <w:topLinePunct w:val="0"/>
        <w:autoSpaceDE/>
        <w:autoSpaceDN/>
        <w:bidi w:val="0"/>
        <w:adjustRightInd/>
        <w:snapToGrid/>
        <w:spacing w:beforeLines="0" w:line="540" w:lineRule="exact"/>
        <w:jc w:val="center"/>
        <w:textAlignment w:val="auto"/>
        <w:outlineLvl w:val="1"/>
        <w:rPr>
          <w:rFonts w:ascii="宋体" w:hAnsi="宋体"/>
          <w:b/>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rPr>
        <w:t>一、主要职能</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1.为生产生活提供市政工程设施维护管理，市政污水处理设施维护管理，城市街道与小区照明设施维护管理；</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2.街道霓虹灯、广告设施维护管理；</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3.县城内道路缺失的标志、标线、指示牌等安装，县城内道路标线施划工作，个别位置标线不清楚的补划；</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4.维修破损人行道、路缘石，维修人工湖边铁链脱落修复、维修广场、人行桥破损大理石凳子；</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5.维修县城路灯底座螺丝钉松动，维修更换县城各条道路破损节能灯、钠灯，更换灯头，换电线；</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6.督促路灯所、道路养护所按规范操作。</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rPr>
        <w:t>二、机构设置及人员情况</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黑体" w:eastAsia="仿宋_GB2312" w:cs="宋体"/>
          <w:bCs/>
          <w:color w:val="auto"/>
          <w:kern w:val="0"/>
          <w:sz w:val="32"/>
          <w:szCs w:val="32"/>
          <w:highlight w:val="none"/>
          <w:lang w:val="en-US" w:eastAsia="zh-CN"/>
        </w:rPr>
      </w:pPr>
      <w:r>
        <w:rPr>
          <w:rFonts w:hint="eastAsia" w:ascii="仿宋_GB2312" w:hAnsi="黑体" w:eastAsia="仿宋_GB2312" w:cs="宋体"/>
          <w:bCs/>
          <w:color w:val="auto"/>
          <w:kern w:val="0"/>
          <w:sz w:val="32"/>
          <w:szCs w:val="32"/>
          <w:highlight w:val="none"/>
          <w:lang w:val="en-US" w:eastAsia="zh-CN"/>
        </w:rPr>
        <w:t>焉耆回族自治县市政工程维护管理处无下属预算单位，下设4个处室，分别是：行政办、技术办、路灯所、道路养护所。</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黑体" w:eastAsia="仿宋_GB2312" w:cs="宋体"/>
          <w:bCs/>
          <w:color w:val="auto"/>
          <w:kern w:val="0"/>
          <w:sz w:val="32"/>
          <w:szCs w:val="32"/>
          <w:highlight w:val="none"/>
          <w:lang w:val="en-US" w:eastAsia="zh-CN"/>
        </w:rPr>
      </w:pPr>
      <w:r>
        <w:rPr>
          <w:rFonts w:hint="eastAsia" w:ascii="仿宋_GB2312" w:hAnsi="黑体" w:eastAsia="仿宋_GB2312" w:cs="宋体"/>
          <w:bCs/>
          <w:color w:val="auto"/>
          <w:kern w:val="0"/>
          <w:sz w:val="32"/>
          <w:szCs w:val="32"/>
          <w:highlight w:val="none"/>
          <w:lang w:val="en-US" w:eastAsia="zh-CN"/>
        </w:rPr>
        <w:t>焉耆回族自治县市政工程维护管理处编制数10，实有人数26人，其中：在职18人，增加0人；退休8人，增加0人；离休0人，增加0人。</w:t>
      </w:r>
    </w:p>
    <w:p>
      <w:r>
        <w:br w:type="page"/>
      </w:r>
    </w:p>
    <w:p>
      <w:pPr>
        <w:keepNext w:val="0"/>
        <w:keepLines w:val="0"/>
        <w:pageBreakBefore w:val="0"/>
        <w:widowControl/>
        <w:kinsoku/>
        <w:wordWrap/>
        <w:overflowPunct/>
        <w:topLinePunct w:val="0"/>
        <w:autoSpaceDE/>
        <w:autoSpaceDN/>
        <w:bidi w:val="0"/>
        <w:adjustRightInd/>
        <w:snapToGrid/>
        <w:spacing w:before="0" w:beforeLines="0" w:line="440" w:lineRule="exact"/>
        <w:jc w:val="center"/>
        <w:textAlignment w:val="auto"/>
        <w:outlineLvl w:val="1"/>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 xml:space="preserve">第二部分 </w:t>
      </w:r>
      <w:r>
        <w:rPr>
          <w:rFonts w:hint="default" w:ascii="Times New Roman" w:hAnsi="Times New Roman" w:eastAsia="黑体" w:cs="Times New Roman"/>
          <w:color w:val="auto"/>
          <w:kern w:val="0"/>
          <w:sz w:val="32"/>
          <w:szCs w:val="32"/>
          <w:highlight w:val="none"/>
          <w:lang w:val="en-US" w:eastAsia="zh-CN"/>
        </w:rPr>
        <w:t>2025年</w:t>
      </w:r>
      <w:r>
        <w:rPr>
          <w:rFonts w:hint="default" w:ascii="Times New Roman" w:hAnsi="Times New Roman" w:eastAsia="黑体" w:cs="Times New Roman"/>
          <w:color w:val="auto"/>
          <w:kern w:val="0"/>
          <w:sz w:val="32"/>
          <w:szCs w:val="32"/>
          <w:highlight w:val="none"/>
        </w:rPr>
        <w:t>单位预算公开表</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表1</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1"/>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单位收支总体情况表</w:t>
      </w:r>
    </w:p>
    <w:p>
      <w:pPr>
        <w:widowControl/>
        <w:spacing w:line="280" w:lineRule="exact"/>
        <w:jc w:val="center"/>
        <w:outlineLvl w:val="1"/>
        <w:rPr>
          <w:rFonts w:hint="default" w:ascii="Times New Roman" w:hAnsi="Times New Roman" w:eastAsia="仿宋_GB2312" w:cs="Times New Roman"/>
          <w:b/>
          <w:color w:val="auto"/>
          <w:kern w:val="0"/>
          <w:sz w:val="32"/>
          <w:szCs w:val="32"/>
          <w:highlight w:val="none"/>
        </w:rPr>
      </w:pPr>
    </w:p>
    <w:p>
      <w:pPr>
        <w:widowControl/>
        <w:spacing w:line="280" w:lineRule="exac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val="en-US" w:eastAsia="zh-CN"/>
        </w:rPr>
        <w:t>焉耆回族自治县市政工程维护管理处</w:t>
      </w:r>
      <w:r>
        <w:rPr>
          <w:rFonts w:hint="default" w:ascii="Times New Roman" w:hAnsi="Times New Roman" w:eastAsia="仿宋_GB2312" w:cs="Times New Roman"/>
          <w:color w:val="auto"/>
          <w:kern w:val="0"/>
          <w:sz w:val="24"/>
          <w:highlight w:val="none"/>
        </w:rPr>
        <w:t xml:space="preserve">                  单位：万元</w:t>
      </w:r>
    </w:p>
    <w:tbl>
      <w:tblPr>
        <w:tblStyle w:val="10"/>
        <w:tblW w:w="8662" w:type="dxa"/>
        <w:tblInd w:w="93" w:type="dxa"/>
        <w:tblLayout w:type="autofit"/>
        <w:tblCellMar>
          <w:top w:w="0" w:type="dxa"/>
          <w:left w:w="108" w:type="dxa"/>
          <w:bottom w:w="0" w:type="dxa"/>
          <w:right w:w="108" w:type="dxa"/>
        </w:tblCellMar>
      </w:tblPr>
      <w:tblGrid>
        <w:gridCol w:w="3165"/>
        <w:gridCol w:w="1103"/>
        <w:gridCol w:w="2693"/>
        <w:gridCol w:w="1701"/>
      </w:tblGrid>
      <w:tr>
        <w:tblPrEx>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noWrap w:val="0"/>
            <w:vAlign w:val="bottom"/>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收     入</w:t>
            </w:r>
          </w:p>
        </w:tc>
        <w:tc>
          <w:tcPr>
            <w:tcW w:w="4394" w:type="dxa"/>
            <w:gridSpan w:val="2"/>
            <w:tcBorders>
              <w:top w:val="single" w:color="auto" w:sz="4" w:space="0"/>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支     出</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b/>
                <w:color w:val="auto"/>
                <w:kern w:val="0"/>
                <w:sz w:val="20"/>
                <w:szCs w:val="20"/>
                <w:highlight w:val="none"/>
              </w:rPr>
              <w:t>项     目</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预算数</w:t>
            </w:r>
          </w:p>
        </w:tc>
        <w:tc>
          <w:tcPr>
            <w:tcW w:w="26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功能分类</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预算数</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一、本年收入</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294.06</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201 一般公共服务支出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1.一般公共预算拨款</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294.06</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202 外交支出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其中：一般财力</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294.06</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203 国防支出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75"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上级一般公共预算安排转移支付</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204 公共安全支出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lang w:eastAsia="zh-CN"/>
              </w:rPr>
            </w:pPr>
            <w:r>
              <w:rPr>
                <w:rFonts w:hint="default" w:ascii="Times New Roman" w:hAnsi="Times New Roman" w:eastAsia="仿宋_GB2312" w:cs="Times New Roman"/>
                <w:color w:val="auto"/>
                <w:kern w:val="0"/>
                <w:sz w:val="18"/>
                <w:szCs w:val="18"/>
                <w:highlight w:val="none"/>
                <w:shd w:val="clear" w:color="auto" w:fill="auto"/>
              </w:rPr>
              <w:t>2.</w:t>
            </w:r>
            <w:r>
              <w:rPr>
                <w:rFonts w:hint="default" w:ascii="Times New Roman" w:hAnsi="Times New Roman" w:eastAsia="仿宋_GB2312" w:cs="Times New Roman"/>
                <w:color w:val="auto"/>
                <w:kern w:val="0"/>
                <w:sz w:val="18"/>
                <w:szCs w:val="18"/>
                <w:highlight w:val="none"/>
                <w:shd w:val="clear" w:color="auto" w:fill="auto"/>
                <w:lang w:val="en-US" w:eastAsia="zh-CN"/>
              </w:rPr>
              <w:t>政府性</w:t>
            </w:r>
            <w:r>
              <w:rPr>
                <w:rFonts w:hint="default" w:ascii="Times New Roman" w:hAnsi="Times New Roman" w:eastAsia="仿宋_GB2312" w:cs="Times New Roman"/>
                <w:color w:val="auto"/>
                <w:kern w:val="0"/>
                <w:sz w:val="18"/>
                <w:szCs w:val="18"/>
                <w:highlight w:val="none"/>
                <w:shd w:val="clear" w:color="auto" w:fill="auto"/>
              </w:rPr>
              <w:t>基金预算拨款</w:t>
            </w:r>
            <w:r>
              <w:rPr>
                <w:rFonts w:hint="default" w:ascii="Times New Roman" w:hAnsi="Times New Roman" w:eastAsia="仿宋_GB2312" w:cs="Times New Roman"/>
                <w:color w:val="auto"/>
                <w:kern w:val="0"/>
                <w:sz w:val="18"/>
                <w:szCs w:val="18"/>
                <w:highlight w:val="none"/>
                <w:shd w:val="clear" w:color="auto" w:fill="auto"/>
                <w:lang w:eastAsia="zh-CN"/>
              </w:rPr>
              <w:tab/>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205 教育支出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其中：政府性基金收入</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206 科学技术支出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上级政府性基金安排转移支付</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207 文化旅游体育与传媒支出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3.国有资本经营预算拨款</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208 社会保障和就业支出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47.38</w:t>
            </w:r>
          </w:p>
        </w:tc>
      </w:tr>
      <w:tr>
        <w:tblPrEx>
          <w:tblCellMar>
            <w:top w:w="0" w:type="dxa"/>
            <w:left w:w="108" w:type="dxa"/>
            <w:bottom w:w="0" w:type="dxa"/>
            <w:right w:w="108" w:type="dxa"/>
          </w:tblCellMar>
        </w:tblPrEx>
        <w:trPr>
          <w:trHeight w:val="315"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其中：国有资本经营收入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209 社会保险基金支出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297"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上级国有资本经营预算安排转移支付</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210</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卫生健康支出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13.74</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4.财政专户核拨</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211 节能环保支出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5.单位资金</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212 城乡社区支出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210.16</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其中：事业收入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213 农林水支出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上级补助收入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214 交通运输支出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附属单位上缴收入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215 资源勘探</w:t>
            </w:r>
            <w:r>
              <w:rPr>
                <w:rFonts w:hint="default" w:ascii="Times New Roman" w:hAnsi="Times New Roman" w:eastAsia="仿宋_GB2312" w:cs="Times New Roman"/>
                <w:color w:val="auto"/>
                <w:kern w:val="0"/>
                <w:sz w:val="18"/>
                <w:szCs w:val="18"/>
                <w:highlight w:val="none"/>
                <w:lang w:val="en-US" w:eastAsia="zh-Hans"/>
              </w:rPr>
              <w:t>工业</w:t>
            </w:r>
            <w:r>
              <w:rPr>
                <w:rFonts w:hint="default" w:ascii="Times New Roman" w:hAnsi="Times New Roman" w:eastAsia="仿宋_GB2312" w:cs="Times New Roman"/>
                <w:color w:val="auto"/>
                <w:kern w:val="0"/>
                <w:sz w:val="18"/>
                <w:szCs w:val="18"/>
                <w:highlight w:val="none"/>
              </w:rPr>
              <w:t>信息等支出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280"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事业单位经营收入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216 商业服务业等支出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其他收入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217 金融支出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二、上年结转结余</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219 援助其他地区支出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1.财政拨款结转</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220 自然资源海洋气象等支出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其中：一般公共预算拨款</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221 住房保障支出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22.78</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lang w:val="en-US" w:eastAsia="zh-CN"/>
              </w:rPr>
              <w:t>政府性</w:t>
            </w:r>
            <w:r>
              <w:rPr>
                <w:rFonts w:hint="default" w:ascii="Times New Roman" w:hAnsi="Times New Roman" w:eastAsia="仿宋_GB2312" w:cs="Times New Roman"/>
                <w:color w:val="auto"/>
                <w:kern w:val="0"/>
                <w:sz w:val="18"/>
                <w:szCs w:val="18"/>
                <w:highlight w:val="none"/>
                <w:shd w:val="clear" w:color="auto" w:fill="auto"/>
              </w:rPr>
              <w:t>基金预算拨款</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222 粮油物资储备支出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国有资本经营预算拨款</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223 国有资本经营预算支出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2.非财政拨款结余</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224</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灾害防治及应急管理支出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其中：财政专户核拨</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227 预备费</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单位资金</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229 其他支出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296"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5"/>
                <w:szCs w:val="15"/>
                <w:highlight w:val="none"/>
              </w:rPr>
            </w:pPr>
            <w:r>
              <w:rPr>
                <w:rFonts w:hint="default" w:ascii="Times New Roman" w:hAnsi="Times New Roman" w:eastAsia="仿宋_GB2312" w:cs="Times New Roman"/>
                <w:color w:val="auto"/>
                <w:kern w:val="0"/>
                <w:sz w:val="18"/>
                <w:szCs w:val="18"/>
                <w:highlight w:val="none"/>
              </w:rPr>
              <w:t>230</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转移性支出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231 债务还本支出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232 债务付息支出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233 债务发行费用支出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xml:space="preserve">                    </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auto"/>
                <w:kern w:val="0"/>
                <w:sz w:val="18"/>
                <w:szCs w:val="18"/>
                <w:highlight w:val="none"/>
                <w:lang w:bidi="ar"/>
              </w:rPr>
            </w:pP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65" w:hRule="atLeast"/>
        </w:trPr>
        <w:tc>
          <w:tcPr>
            <w:tcW w:w="3165" w:type="dxa"/>
            <w:tcBorders>
              <w:top w:val="nil"/>
              <w:left w:val="single" w:color="auto" w:sz="4" w:space="0"/>
              <w:bottom w:val="single" w:color="auto" w:sz="4" w:space="0"/>
              <w:right w:val="nil"/>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收  入  总  计</w:t>
            </w: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294.06</w:t>
            </w:r>
          </w:p>
        </w:tc>
        <w:tc>
          <w:tcPr>
            <w:tcW w:w="2693" w:type="dxa"/>
            <w:tcBorders>
              <w:top w:val="nil"/>
              <w:left w:val="nil"/>
              <w:bottom w:val="single" w:color="auto" w:sz="4" w:space="0"/>
              <w:right w:val="nil"/>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支  出  总  计</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20"/>
                <w:szCs w:val="20"/>
                <w:highlight w:val="none"/>
                <w:lang w:val="en-US" w:eastAsia="zh-CN"/>
              </w:rPr>
              <w:t>294.06</w:t>
            </w: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表2</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1"/>
        <w:rPr>
          <w:rFonts w:hint="default" w:ascii="Times New Roman" w:hAnsi="Times New Roman" w:eastAsia="仿宋_GB2312" w:cs="Times New Roman"/>
          <w:b/>
          <w:color w:val="auto"/>
          <w:kern w:val="0"/>
          <w:sz w:val="32"/>
          <w:szCs w:val="32"/>
          <w:highlight w:val="none"/>
          <w:lang w:eastAsia="zh-CN"/>
        </w:rPr>
      </w:pPr>
      <w:r>
        <w:rPr>
          <w:rFonts w:hint="default" w:ascii="Times New Roman" w:hAnsi="Times New Roman" w:eastAsia="仿宋_GB2312" w:cs="Times New Roman"/>
          <w:b/>
          <w:bCs w:val="0"/>
          <w:color w:val="auto"/>
          <w:kern w:val="0"/>
          <w:sz w:val="32"/>
          <w:szCs w:val="32"/>
          <w:highlight w:val="none"/>
        </w:rPr>
        <w:t>单位收入总体情况表</w:t>
      </w:r>
    </w:p>
    <w:p>
      <w:pPr>
        <w:widowControl/>
        <w:jc w:val="lef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val="en-US" w:eastAsia="zh-CN"/>
        </w:rPr>
        <w:t>焉耆回族自治县市政工程维护管理处</w:t>
      </w:r>
      <w:r>
        <w:rPr>
          <w:rFonts w:hint="default" w:ascii="Times New Roman" w:hAnsi="Times New Roman" w:eastAsia="仿宋_GB2312" w:cs="Times New Roman"/>
          <w:color w:val="auto"/>
          <w:kern w:val="0"/>
          <w:sz w:val="24"/>
          <w:highlight w:val="none"/>
        </w:rPr>
        <w:t xml:space="preserve">                </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单位：万元</w:t>
      </w:r>
    </w:p>
    <w:tbl>
      <w:tblPr>
        <w:tblStyle w:val="10"/>
        <w:tblW w:w="9913" w:type="dxa"/>
        <w:tblInd w:w="-535" w:type="dxa"/>
        <w:tblLayout w:type="fixed"/>
        <w:tblCellMar>
          <w:top w:w="0" w:type="dxa"/>
          <w:left w:w="108" w:type="dxa"/>
          <w:bottom w:w="0" w:type="dxa"/>
          <w:right w:w="108" w:type="dxa"/>
        </w:tblCellMar>
      </w:tblPr>
      <w:tblGrid>
        <w:gridCol w:w="502"/>
        <w:gridCol w:w="417"/>
        <w:gridCol w:w="417"/>
        <w:gridCol w:w="1783"/>
        <w:gridCol w:w="888"/>
        <w:gridCol w:w="947"/>
        <w:gridCol w:w="908"/>
        <w:gridCol w:w="651"/>
        <w:gridCol w:w="336"/>
        <w:gridCol w:w="651"/>
        <w:gridCol w:w="382"/>
        <w:gridCol w:w="664"/>
        <w:gridCol w:w="361"/>
        <w:gridCol w:w="342"/>
        <w:gridCol w:w="361"/>
        <w:gridCol w:w="303"/>
      </w:tblGrid>
      <w:tr>
        <w:tblPrEx>
          <w:tblCellMar>
            <w:top w:w="0" w:type="dxa"/>
            <w:left w:w="108" w:type="dxa"/>
            <w:bottom w:w="0" w:type="dxa"/>
            <w:right w:w="108" w:type="dxa"/>
          </w:tblCellMar>
        </w:tblPrEx>
        <w:trPr>
          <w:trHeight w:val="697" w:hRule="atLeast"/>
        </w:trPr>
        <w:tc>
          <w:tcPr>
            <w:tcW w:w="133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4"/>
                <w:szCs w:val="24"/>
                <w:highlight w:val="none"/>
              </w:rPr>
              <w:t>功能分类科目编码</w:t>
            </w:r>
          </w:p>
        </w:tc>
        <w:tc>
          <w:tcPr>
            <w:tcW w:w="1783"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功能分类科目名称</w:t>
            </w:r>
          </w:p>
        </w:tc>
        <w:tc>
          <w:tcPr>
            <w:tcW w:w="888"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val="0"/>
                <w:color w:val="auto"/>
                <w:sz w:val="20"/>
                <w:szCs w:val="20"/>
                <w:highlight w:val="none"/>
              </w:rPr>
            </w:pPr>
            <w:r>
              <w:rPr>
                <w:rFonts w:hint="default" w:ascii="Times New Roman" w:hAnsi="Times New Roman" w:eastAsia="仿宋_GB2312" w:cs="Times New Roman"/>
                <w:b/>
                <w:bCs w:val="0"/>
                <w:color w:val="auto"/>
                <w:sz w:val="20"/>
                <w:szCs w:val="20"/>
                <w:highlight w:val="none"/>
              </w:rPr>
              <w:t>总  计</w:t>
            </w:r>
          </w:p>
        </w:tc>
        <w:tc>
          <w:tcPr>
            <w:tcW w:w="4539"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val="0"/>
                <w:color w:val="auto"/>
                <w:sz w:val="20"/>
                <w:szCs w:val="20"/>
                <w:highlight w:val="none"/>
              </w:rPr>
            </w:pPr>
            <w:r>
              <w:rPr>
                <w:rFonts w:hint="default" w:ascii="Times New Roman" w:hAnsi="Times New Roman" w:eastAsia="仿宋_GB2312" w:cs="Times New Roman"/>
                <w:b/>
                <w:bCs w:val="0"/>
                <w:color w:val="auto"/>
                <w:sz w:val="24"/>
                <w:szCs w:val="24"/>
                <w:highlight w:val="none"/>
              </w:rPr>
              <w:t>财  政  拨  款  (  补  助  )</w:t>
            </w:r>
          </w:p>
        </w:tc>
        <w:tc>
          <w:tcPr>
            <w:tcW w:w="361"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val="0"/>
                <w:color w:val="auto"/>
                <w:sz w:val="20"/>
                <w:szCs w:val="20"/>
                <w:highlight w:val="none"/>
              </w:rPr>
            </w:pPr>
            <w:r>
              <w:rPr>
                <w:rFonts w:hint="default" w:ascii="Times New Roman" w:hAnsi="Times New Roman" w:eastAsia="仿宋_GB2312" w:cs="Times New Roman"/>
                <w:b/>
                <w:bCs w:val="0"/>
                <w:color w:val="auto"/>
                <w:sz w:val="20"/>
                <w:szCs w:val="20"/>
                <w:highlight w:val="none"/>
              </w:rPr>
              <w:t>财政专户（教育收费）</w:t>
            </w:r>
          </w:p>
        </w:tc>
        <w:tc>
          <w:tcPr>
            <w:tcW w:w="342"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单位资金</w:t>
            </w:r>
          </w:p>
        </w:tc>
        <w:tc>
          <w:tcPr>
            <w:tcW w:w="361"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财政拨款结转</w:t>
            </w:r>
          </w:p>
        </w:tc>
        <w:tc>
          <w:tcPr>
            <w:tcW w:w="303"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非财政拨款结转结余</w:t>
            </w:r>
          </w:p>
        </w:tc>
      </w:tr>
      <w:tr>
        <w:tblPrEx>
          <w:tblCellMar>
            <w:top w:w="0" w:type="dxa"/>
            <w:left w:w="108" w:type="dxa"/>
            <w:bottom w:w="0" w:type="dxa"/>
            <w:right w:w="108" w:type="dxa"/>
          </w:tblCellMar>
        </w:tblPrEx>
        <w:trPr>
          <w:trHeight w:val="2394" w:hRule="atLeast"/>
        </w:trPr>
        <w:tc>
          <w:tcPr>
            <w:tcW w:w="502" w:type="dxa"/>
            <w:tcBorders>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b/>
                <w:color w:val="auto"/>
                <w:sz w:val="20"/>
                <w:szCs w:val="20"/>
                <w:highlight w:val="none"/>
                <w:lang w:val="en-US" w:eastAsia="zh-Hans"/>
              </w:rPr>
            </w:pPr>
            <w:r>
              <w:rPr>
                <w:rFonts w:hint="default" w:ascii="Times New Roman" w:hAnsi="Times New Roman" w:eastAsia="仿宋_GB2312" w:cs="Times New Roman"/>
                <w:b/>
                <w:color w:val="auto"/>
                <w:sz w:val="20"/>
                <w:szCs w:val="20"/>
                <w:highlight w:val="none"/>
                <w:lang w:val="en-US" w:eastAsia="zh-Hans"/>
              </w:rPr>
              <w:t>类</w:t>
            </w:r>
          </w:p>
        </w:tc>
        <w:tc>
          <w:tcPr>
            <w:tcW w:w="417" w:type="dxa"/>
            <w:tcBorders>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color w:val="auto"/>
                <w:sz w:val="20"/>
                <w:szCs w:val="20"/>
                <w:highlight w:val="none"/>
                <w:lang w:val="en-US" w:eastAsia="zh-Hans"/>
              </w:rPr>
            </w:pPr>
            <w:r>
              <w:rPr>
                <w:rFonts w:hint="default" w:ascii="Times New Roman" w:hAnsi="Times New Roman" w:eastAsia="仿宋_GB2312" w:cs="Times New Roman"/>
                <w:b/>
                <w:color w:val="auto"/>
                <w:sz w:val="20"/>
                <w:szCs w:val="20"/>
                <w:highlight w:val="none"/>
                <w:lang w:val="en-US" w:eastAsia="zh-Hans"/>
              </w:rPr>
              <w:t>款</w:t>
            </w:r>
          </w:p>
        </w:tc>
        <w:tc>
          <w:tcPr>
            <w:tcW w:w="417" w:type="dxa"/>
            <w:tcBorders>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color w:val="auto"/>
                <w:sz w:val="20"/>
                <w:szCs w:val="20"/>
                <w:highlight w:val="none"/>
                <w:lang w:val="en-US" w:eastAsia="zh-Hans"/>
              </w:rPr>
            </w:pPr>
            <w:r>
              <w:rPr>
                <w:rFonts w:hint="default" w:ascii="Times New Roman" w:hAnsi="Times New Roman" w:eastAsia="仿宋_GB2312" w:cs="Times New Roman"/>
                <w:b/>
                <w:color w:val="auto"/>
                <w:sz w:val="20"/>
                <w:szCs w:val="20"/>
                <w:highlight w:val="none"/>
                <w:lang w:val="en-US" w:eastAsia="zh-Hans"/>
              </w:rPr>
              <w:t>项</w:t>
            </w:r>
          </w:p>
        </w:tc>
        <w:tc>
          <w:tcPr>
            <w:tcW w:w="1783"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888"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947"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财政拨款(补助)小计</w:t>
            </w:r>
          </w:p>
        </w:tc>
        <w:tc>
          <w:tcPr>
            <w:tcW w:w="908"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一般公共预算</w:t>
            </w:r>
          </w:p>
        </w:tc>
        <w:tc>
          <w:tcPr>
            <w:tcW w:w="651"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上级一般公共预算安排的转移支付</w:t>
            </w:r>
          </w:p>
        </w:tc>
        <w:tc>
          <w:tcPr>
            <w:tcW w:w="336"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政府性基金预算</w:t>
            </w:r>
          </w:p>
        </w:tc>
        <w:tc>
          <w:tcPr>
            <w:tcW w:w="651"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上级政府性基金安排的转移支付</w:t>
            </w:r>
          </w:p>
        </w:tc>
        <w:tc>
          <w:tcPr>
            <w:tcW w:w="382"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国有资本经营预算</w:t>
            </w:r>
          </w:p>
        </w:tc>
        <w:tc>
          <w:tcPr>
            <w:tcW w:w="664"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上级国有资本经营预算安排的转移支付</w:t>
            </w:r>
          </w:p>
        </w:tc>
        <w:tc>
          <w:tcPr>
            <w:tcW w:w="361"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342"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361"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303"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02" w:type="dxa"/>
            <w:tcBorders>
              <w:top w:val="nil"/>
              <w:left w:val="single" w:color="auto" w:sz="4" w:space="0"/>
              <w:bottom w:val="single" w:color="auto" w:sz="4" w:space="0"/>
              <w:right w:val="single" w:color="auto" w:sz="4" w:space="0"/>
            </w:tcBorders>
            <w:shd w:val="clear" w:color="auto" w:fill="auto"/>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rPr>
              <w:t>208</w:t>
            </w:r>
          </w:p>
        </w:tc>
        <w:tc>
          <w:tcPr>
            <w:tcW w:w="417" w:type="dxa"/>
            <w:tcBorders>
              <w:top w:val="nil"/>
              <w:left w:val="nil"/>
              <w:bottom w:val="single" w:color="auto" w:sz="4" w:space="0"/>
              <w:right w:val="single" w:color="auto" w:sz="4" w:space="0"/>
            </w:tcBorders>
            <w:shd w:val="clear" w:color="auto" w:fill="auto"/>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p>
        </w:tc>
        <w:tc>
          <w:tcPr>
            <w:tcW w:w="417" w:type="dxa"/>
            <w:tcBorders>
              <w:top w:val="nil"/>
              <w:left w:val="nil"/>
              <w:bottom w:val="single" w:color="auto" w:sz="4" w:space="0"/>
              <w:right w:val="single" w:color="auto" w:sz="4" w:space="0"/>
            </w:tcBorders>
            <w:shd w:val="clear" w:color="auto" w:fill="auto"/>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p>
        </w:tc>
        <w:tc>
          <w:tcPr>
            <w:tcW w:w="1783" w:type="dxa"/>
            <w:tcBorders>
              <w:top w:val="nil"/>
              <w:left w:val="nil"/>
              <w:bottom w:val="single" w:color="auto" w:sz="4" w:space="0"/>
              <w:right w:val="single" w:color="auto" w:sz="4" w:space="0"/>
            </w:tcBorders>
            <w:shd w:val="clear" w:color="auto" w:fill="auto"/>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rPr>
              <w:t>社会保险和就业</w:t>
            </w:r>
            <w:r>
              <w:rPr>
                <w:rFonts w:hint="default" w:ascii="Times New Roman" w:hAnsi="Times New Roman" w:eastAsia="仿宋_GB2312" w:cs="Times New Roman"/>
                <w:color w:val="auto"/>
                <w:kern w:val="0"/>
                <w:sz w:val="18"/>
                <w:szCs w:val="18"/>
                <w:highlight w:val="none"/>
                <w:lang w:val="en-US" w:eastAsia="zh-CN"/>
              </w:rPr>
              <w:t>支出</w:t>
            </w:r>
          </w:p>
        </w:tc>
        <w:tc>
          <w:tcPr>
            <w:tcW w:w="888" w:type="dxa"/>
            <w:tcBorders>
              <w:top w:val="nil"/>
              <w:left w:val="nil"/>
              <w:bottom w:val="single" w:color="auto" w:sz="4" w:space="0"/>
              <w:right w:val="single" w:color="auto" w:sz="4" w:space="0"/>
            </w:tcBorders>
            <w:shd w:val="clear" w:color="000000" w:fill="FFFFFF"/>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47.38</w:t>
            </w:r>
            <w:r>
              <w:rPr>
                <w:rFonts w:hint="default" w:ascii="Times New Roman" w:hAnsi="Times New Roman" w:eastAsia="仿宋_GB2312" w:cs="Times New Roman"/>
                <w:color w:val="auto"/>
                <w:sz w:val="20"/>
                <w:szCs w:val="20"/>
                <w:highlight w:val="none"/>
              </w:rPr>
              <w:t>　</w:t>
            </w:r>
          </w:p>
        </w:tc>
        <w:tc>
          <w:tcPr>
            <w:tcW w:w="947" w:type="dxa"/>
            <w:tcBorders>
              <w:top w:val="nil"/>
              <w:left w:val="nil"/>
              <w:bottom w:val="single" w:color="auto" w:sz="4" w:space="0"/>
              <w:right w:val="single" w:color="auto" w:sz="4" w:space="0"/>
            </w:tcBorders>
            <w:shd w:val="clear" w:color="000000" w:fill="FFFFFF"/>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47.38</w:t>
            </w:r>
            <w:r>
              <w:rPr>
                <w:rFonts w:hint="default" w:ascii="Times New Roman" w:hAnsi="Times New Roman" w:eastAsia="仿宋_GB2312" w:cs="Times New Roman"/>
                <w:color w:val="auto"/>
                <w:sz w:val="20"/>
                <w:szCs w:val="20"/>
                <w:highlight w:val="none"/>
              </w:rPr>
              <w:t>　</w:t>
            </w:r>
          </w:p>
        </w:tc>
        <w:tc>
          <w:tcPr>
            <w:tcW w:w="908" w:type="dxa"/>
            <w:tcBorders>
              <w:top w:val="nil"/>
              <w:left w:val="nil"/>
              <w:bottom w:val="single" w:color="auto" w:sz="4" w:space="0"/>
              <w:right w:val="single" w:color="auto" w:sz="4" w:space="0"/>
            </w:tcBorders>
            <w:shd w:val="clear" w:color="000000" w:fill="FFFFFF"/>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47.38</w:t>
            </w:r>
            <w:r>
              <w:rPr>
                <w:rFonts w:hint="default" w:ascii="Times New Roman" w:hAnsi="Times New Roman" w:eastAsia="仿宋_GB2312" w:cs="Times New Roman"/>
                <w:color w:val="auto"/>
                <w:sz w:val="20"/>
                <w:szCs w:val="20"/>
                <w:highlight w:val="none"/>
              </w:rPr>
              <w:t>　</w:t>
            </w:r>
          </w:p>
        </w:tc>
        <w:tc>
          <w:tcPr>
            <w:tcW w:w="651"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p>
        </w:tc>
        <w:tc>
          <w:tcPr>
            <w:tcW w:w="336"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51"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82"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64"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61"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p>
        </w:tc>
        <w:tc>
          <w:tcPr>
            <w:tcW w:w="342"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p>
        </w:tc>
        <w:tc>
          <w:tcPr>
            <w:tcW w:w="361"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p>
        </w:tc>
        <w:tc>
          <w:tcPr>
            <w:tcW w:w="303"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02" w:type="dxa"/>
            <w:tcBorders>
              <w:top w:val="nil"/>
              <w:left w:val="single" w:color="auto" w:sz="4" w:space="0"/>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rPr>
              <w:t>208</w:t>
            </w:r>
          </w:p>
        </w:tc>
        <w:tc>
          <w:tcPr>
            <w:tcW w:w="417"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rPr>
              <w:t>05</w:t>
            </w:r>
          </w:p>
        </w:tc>
        <w:tc>
          <w:tcPr>
            <w:tcW w:w="417"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p>
        </w:tc>
        <w:tc>
          <w:tcPr>
            <w:tcW w:w="178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rPr>
              <w:t>行政事业单位养老</w:t>
            </w:r>
            <w:r>
              <w:rPr>
                <w:rFonts w:hint="default" w:ascii="Times New Roman" w:hAnsi="Times New Roman" w:eastAsia="仿宋_GB2312" w:cs="Times New Roman"/>
                <w:color w:val="auto"/>
                <w:kern w:val="0"/>
                <w:sz w:val="18"/>
                <w:szCs w:val="18"/>
                <w:highlight w:val="none"/>
                <w:lang w:val="en-US" w:eastAsia="zh-CN"/>
              </w:rPr>
              <w:t>支出</w:t>
            </w:r>
          </w:p>
        </w:tc>
        <w:tc>
          <w:tcPr>
            <w:tcW w:w="88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47.38</w:t>
            </w:r>
            <w:r>
              <w:rPr>
                <w:rFonts w:hint="default" w:ascii="Times New Roman" w:hAnsi="Times New Roman" w:eastAsia="仿宋_GB2312" w:cs="Times New Roman"/>
                <w:color w:val="auto"/>
                <w:sz w:val="20"/>
                <w:szCs w:val="20"/>
                <w:highlight w:val="none"/>
              </w:rPr>
              <w:t>　</w:t>
            </w:r>
          </w:p>
        </w:tc>
        <w:tc>
          <w:tcPr>
            <w:tcW w:w="94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47.38</w:t>
            </w:r>
            <w:r>
              <w:rPr>
                <w:rFonts w:hint="default" w:ascii="Times New Roman" w:hAnsi="Times New Roman" w:eastAsia="仿宋_GB2312" w:cs="Times New Roman"/>
                <w:color w:val="auto"/>
                <w:sz w:val="20"/>
                <w:szCs w:val="20"/>
                <w:highlight w:val="none"/>
              </w:rPr>
              <w:t>　</w:t>
            </w:r>
          </w:p>
        </w:tc>
        <w:tc>
          <w:tcPr>
            <w:tcW w:w="90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47.38</w:t>
            </w:r>
            <w:r>
              <w:rPr>
                <w:rFonts w:hint="default" w:ascii="Times New Roman" w:hAnsi="Times New Roman" w:eastAsia="仿宋_GB2312" w:cs="Times New Roman"/>
                <w:color w:val="auto"/>
                <w:sz w:val="20"/>
                <w:szCs w:val="20"/>
                <w:highlight w:val="none"/>
              </w:rPr>
              <w:t>　</w:t>
            </w:r>
          </w:p>
        </w:tc>
        <w:tc>
          <w:tcPr>
            <w:tcW w:w="65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3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5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8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6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61"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42"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61"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0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02" w:type="dxa"/>
            <w:tcBorders>
              <w:top w:val="nil"/>
              <w:left w:val="single" w:color="auto" w:sz="4" w:space="0"/>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rPr>
              <w:t>208</w:t>
            </w:r>
          </w:p>
        </w:tc>
        <w:tc>
          <w:tcPr>
            <w:tcW w:w="417"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rPr>
              <w:t>05</w:t>
            </w:r>
          </w:p>
        </w:tc>
        <w:tc>
          <w:tcPr>
            <w:tcW w:w="417"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rPr>
              <w:t>02</w:t>
            </w:r>
          </w:p>
        </w:tc>
        <w:tc>
          <w:tcPr>
            <w:tcW w:w="178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rPr>
              <w:t>事业单位离退休</w:t>
            </w:r>
          </w:p>
        </w:tc>
        <w:tc>
          <w:tcPr>
            <w:tcW w:w="88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1.83</w:t>
            </w:r>
            <w:r>
              <w:rPr>
                <w:rFonts w:hint="default" w:ascii="Times New Roman" w:hAnsi="Times New Roman" w:eastAsia="仿宋_GB2312" w:cs="Times New Roman"/>
                <w:color w:val="auto"/>
                <w:sz w:val="20"/>
                <w:szCs w:val="20"/>
                <w:highlight w:val="none"/>
              </w:rPr>
              <w:t>　</w:t>
            </w:r>
          </w:p>
        </w:tc>
        <w:tc>
          <w:tcPr>
            <w:tcW w:w="94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1.83</w:t>
            </w:r>
            <w:r>
              <w:rPr>
                <w:rFonts w:hint="default" w:ascii="Times New Roman" w:hAnsi="Times New Roman" w:eastAsia="仿宋_GB2312" w:cs="Times New Roman"/>
                <w:color w:val="auto"/>
                <w:sz w:val="20"/>
                <w:szCs w:val="20"/>
                <w:highlight w:val="none"/>
              </w:rPr>
              <w:t>　</w:t>
            </w:r>
          </w:p>
        </w:tc>
        <w:tc>
          <w:tcPr>
            <w:tcW w:w="90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1.83</w:t>
            </w:r>
            <w:r>
              <w:rPr>
                <w:rFonts w:hint="default" w:ascii="Times New Roman" w:hAnsi="Times New Roman" w:eastAsia="仿宋_GB2312" w:cs="Times New Roman"/>
                <w:color w:val="auto"/>
                <w:sz w:val="20"/>
                <w:szCs w:val="20"/>
                <w:highlight w:val="none"/>
              </w:rPr>
              <w:t>　</w:t>
            </w:r>
          </w:p>
        </w:tc>
        <w:tc>
          <w:tcPr>
            <w:tcW w:w="65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3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5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8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6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61"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42"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61"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0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02" w:type="dxa"/>
            <w:tcBorders>
              <w:top w:val="nil"/>
              <w:left w:val="single" w:color="auto" w:sz="4" w:space="0"/>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rPr>
              <w:t>208</w:t>
            </w:r>
          </w:p>
        </w:tc>
        <w:tc>
          <w:tcPr>
            <w:tcW w:w="417"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rPr>
              <w:t>05</w:t>
            </w:r>
          </w:p>
        </w:tc>
        <w:tc>
          <w:tcPr>
            <w:tcW w:w="417"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rPr>
              <w:t>05</w:t>
            </w:r>
          </w:p>
        </w:tc>
        <w:tc>
          <w:tcPr>
            <w:tcW w:w="178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rPr>
              <w:t>机关事业单位基本养老保险缴费</w:t>
            </w:r>
            <w:r>
              <w:rPr>
                <w:rFonts w:hint="default" w:ascii="Times New Roman" w:hAnsi="Times New Roman" w:eastAsia="仿宋_GB2312" w:cs="Times New Roman"/>
                <w:color w:val="auto"/>
                <w:kern w:val="0"/>
                <w:sz w:val="18"/>
                <w:szCs w:val="18"/>
                <w:highlight w:val="none"/>
                <w:lang w:val="en-US" w:eastAsia="zh-CN"/>
              </w:rPr>
              <w:t>支出</w:t>
            </w:r>
          </w:p>
        </w:tc>
        <w:tc>
          <w:tcPr>
            <w:tcW w:w="88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30.37</w:t>
            </w:r>
            <w:r>
              <w:rPr>
                <w:rFonts w:hint="default" w:ascii="Times New Roman" w:hAnsi="Times New Roman" w:eastAsia="仿宋_GB2312" w:cs="Times New Roman"/>
                <w:color w:val="auto"/>
                <w:sz w:val="20"/>
                <w:szCs w:val="20"/>
                <w:highlight w:val="none"/>
              </w:rPr>
              <w:t>　</w:t>
            </w:r>
          </w:p>
        </w:tc>
        <w:tc>
          <w:tcPr>
            <w:tcW w:w="94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30.37</w:t>
            </w:r>
            <w:r>
              <w:rPr>
                <w:rFonts w:hint="default" w:ascii="Times New Roman" w:hAnsi="Times New Roman" w:eastAsia="仿宋_GB2312" w:cs="Times New Roman"/>
                <w:color w:val="auto"/>
                <w:sz w:val="20"/>
                <w:szCs w:val="20"/>
                <w:highlight w:val="none"/>
              </w:rPr>
              <w:t>　</w:t>
            </w:r>
          </w:p>
        </w:tc>
        <w:tc>
          <w:tcPr>
            <w:tcW w:w="90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30.37</w:t>
            </w:r>
            <w:r>
              <w:rPr>
                <w:rFonts w:hint="default" w:ascii="Times New Roman" w:hAnsi="Times New Roman" w:eastAsia="仿宋_GB2312" w:cs="Times New Roman"/>
                <w:color w:val="auto"/>
                <w:sz w:val="20"/>
                <w:szCs w:val="20"/>
                <w:highlight w:val="none"/>
              </w:rPr>
              <w:t>　</w:t>
            </w:r>
          </w:p>
        </w:tc>
        <w:tc>
          <w:tcPr>
            <w:tcW w:w="65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3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5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8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6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61"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42"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61"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0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02" w:type="dxa"/>
            <w:tcBorders>
              <w:top w:val="nil"/>
              <w:left w:val="single" w:color="auto" w:sz="4" w:space="0"/>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rPr>
              <w:t>208</w:t>
            </w:r>
          </w:p>
        </w:tc>
        <w:tc>
          <w:tcPr>
            <w:tcW w:w="417"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rPr>
              <w:t>05</w:t>
            </w:r>
          </w:p>
        </w:tc>
        <w:tc>
          <w:tcPr>
            <w:tcW w:w="417"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rPr>
              <w:t>06</w:t>
            </w:r>
          </w:p>
        </w:tc>
        <w:tc>
          <w:tcPr>
            <w:tcW w:w="178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rPr>
              <w:t>机关事业单位职业年金缴费</w:t>
            </w:r>
            <w:r>
              <w:rPr>
                <w:rFonts w:hint="default" w:ascii="Times New Roman" w:hAnsi="Times New Roman" w:eastAsia="仿宋_GB2312" w:cs="Times New Roman"/>
                <w:color w:val="auto"/>
                <w:kern w:val="0"/>
                <w:sz w:val="18"/>
                <w:szCs w:val="18"/>
                <w:highlight w:val="none"/>
                <w:lang w:val="en-US" w:eastAsia="zh-CN"/>
              </w:rPr>
              <w:t>支出</w:t>
            </w:r>
          </w:p>
        </w:tc>
        <w:tc>
          <w:tcPr>
            <w:tcW w:w="88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15.18</w:t>
            </w:r>
            <w:r>
              <w:rPr>
                <w:rFonts w:hint="default" w:ascii="Times New Roman" w:hAnsi="Times New Roman" w:eastAsia="仿宋_GB2312" w:cs="Times New Roman"/>
                <w:color w:val="auto"/>
                <w:sz w:val="20"/>
                <w:szCs w:val="20"/>
                <w:highlight w:val="none"/>
              </w:rPr>
              <w:t>　</w:t>
            </w:r>
          </w:p>
        </w:tc>
        <w:tc>
          <w:tcPr>
            <w:tcW w:w="94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15.18</w:t>
            </w:r>
            <w:r>
              <w:rPr>
                <w:rFonts w:hint="default" w:ascii="Times New Roman" w:hAnsi="Times New Roman" w:eastAsia="仿宋_GB2312" w:cs="Times New Roman"/>
                <w:color w:val="auto"/>
                <w:sz w:val="20"/>
                <w:szCs w:val="20"/>
                <w:highlight w:val="none"/>
              </w:rPr>
              <w:t>　</w:t>
            </w:r>
          </w:p>
        </w:tc>
        <w:tc>
          <w:tcPr>
            <w:tcW w:w="90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15.18</w:t>
            </w:r>
            <w:r>
              <w:rPr>
                <w:rFonts w:hint="default" w:ascii="Times New Roman" w:hAnsi="Times New Roman" w:eastAsia="仿宋_GB2312" w:cs="Times New Roman"/>
                <w:color w:val="auto"/>
                <w:sz w:val="20"/>
                <w:szCs w:val="20"/>
                <w:highlight w:val="none"/>
              </w:rPr>
              <w:t>　</w:t>
            </w:r>
          </w:p>
        </w:tc>
        <w:tc>
          <w:tcPr>
            <w:tcW w:w="65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3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5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8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6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61"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42"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61"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0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02" w:type="dxa"/>
            <w:tcBorders>
              <w:top w:val="nil"/>
              <w:left w:val="single" w:color="auto" w:sz="4" w:space="0"/>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rPr>
              <w:t>210</w:t>
            </w:r>
          </w:p>
        </w:tc>
        <w:tc>
          <w:tcPr>
            <w:tcW w:w="417"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p>
        </w:tc>
        <w:tc>
          <w:tcPr>
            <w:tcW w:w="417"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p>
        </w:tc>
        <w:tc>
          <w:tcPr>
            <w:tcW w:w="178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rPr>
              <w:t>卫生健康</w:t>
            </w:r>
            <w:r>
              <w:rPr>
                <w:rFonts w:hint="default" w:ascii="Times New Roman" w:hAnsi="Times New Roman" w:eastAsia="仿宋_GB2312" w:cs="Times New Roman"/>
                <w:color w:val="auto"/>
                <w:kern w:val="0"/>
                <w:sz w:val="18"/>
                <w:szCs w:val="18"/>
                <w:highlight w:val="none"/>
                <w:lang w:val="en-US" w:eastAsia="zh-CN"/>
              </w:rPr>
              <w:t>支出</w:t>
            </w:r>
          </w:p>
        </w:tc>
        <w:tc>
          <w:tcPr>
            <w:tcW w:w="88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13.74</w:t>
            </w:r>
            <w:r>
              <w:rPr>
                <w:rFonts w:hint="default" w:ascii="Times New Roman" w:hAnsi="Times New Roman" w:eastAsia="仿宋_GB2312" w:cs="Times New Roman"/>
                <w:color w:val="auto"/>
                <w:sz w:val="20"/>
                <w:szCs w:val="20"/>
                <w:highlight w:val="none"/>
              </w:rPr>
              <w:t>　</w:t>
            </w:r>
          </w:p>
        </w:tc>
        <w:tc>
          <w:tcPr>
            <w:tcW w:w="94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13.74</w:t>
            </w:r>
            <w:r>
              <w:rPr>
                <w:rFonts w:hint="default" w:ascii="Times New Roman" w:hAnsi="Times New Roman" w:eastAsia="仿宋_GB2312" w:cs="Times New Roman"/>
                <w:color w:val="auto"/>
                <w:sz w:val="20"/>
                <w:szCs w:val="20"/>
                <w:highlight w:val="none"/>
              </w:rPr>
              <w:t>　</w:t>
            </w:r>
          </w:p>
        </w:tc>
        <w:tc>
          <w:tcPr>
            <w:tcW w:w="90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13.74</w:t>
            </w:r>
            <w:r>
              <w:rPr>
                <w:rFonts w:hint="default" w:ascii="Times New Roman" w:hAnsi="Times New Roman" w:eastAsia="仿宋_GB2312" w:cs="Times New Roman"/>
                <w:color w:val="auto"/>
                <w:sz w:val="20"/>
                <w:szCs w:val="20"/>
                <w:highlight w:val="none"/>
              </w:rPr>
              <w:t>　</w:t>
            </w:r>
          </w:p>
        </w:tc>
        <w:tc>
          <w:tcPr>
            <w:tcW w:w="65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3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5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8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6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61"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42"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61"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0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02" w:type="dxa"/>
            <w:tcBorders>
              <w:top w:val="nil"/>
              <w:left w:val="single" w:color="auto" w:sz="4" w:space="0"/>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rPr>
              <w:t>210</w:t>
            </w:r>
          </w:p>
        </w:tc>
        <w:tc>
          <w:tcPr>
            <w:tcW w:w="417"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rPr>
              <w:t>11</w:t>
            </w:r>
          </w:p>
        </w:tc>
        <w:tc>
          <w:tcPr>
            <w:tcW w:w="417"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p>
        </w:tc>
        <w:tc>
          <w:tcPr>
            <w:tcW w:w="178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rPr>
              <w:t>行政事业单位医疗</w:t>
            </w:r>
          </w:p>
        </w:tc>
        <w:tc>
          <w:tcPr>
            <w:tcW w:w="88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13.74</w:t>
            </w:r>
            <w:r>
              <w:rPr>
                <w:rFonts w:hint="default" w:ascii="Times New Roman" w:hAnsi="Times New Roman" w:eastAsia="仿宋_GB2312" w:cs="Times New Roman"/>
                <w:color w:val="auto"/>
                <w:sz w:val="20"/>
                <w:szCs w:val="20"/>
                <w:highlight w:val="none"/>
              </w:rPr>
              <w:t>　</w:t>
            </w:r>
          </w:p>
        </w:tc>
        <w:tc>
          <w:tcPr>
            <w:tcW w:w="94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13.74</w:t>
            </w:r>
            <w:r>
              <w:rPr>
                <w:rFonts w:hint="default" w:ascii="Times New Roman" w:hAnsi="Times New Roman" w:eastAsia="仿宋_GB2312" w:cs="Times New Roman"/>
                <w:color w:val="auto"/>
                <w:sz w:val="20"/>
                <w:szCs w:val="20"/>
                <w:highlight w:val="none"/>
              </w:rPr>
              <w:t>　</w:t>
            </w:r>
          </w:p>
        </w:tc>
        <w:tc>
          <w:tcPr>
            <w:tcW w:w="90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13.74</w:t>
            </w:r>
            <w:r>
              <w:rPr>
                <w:rFonts w:hint="default" w:ascii="Times New Roman" w:hAnsi="Times New Roman" w:eastAsia="仿宋_GB2312" w:cs="Times New Roman"/>
                <w:color w:val="auto"/>
                <w:sz w:val="20"/>
                <w:szCs w:val="20"/>
                <w:highlight w:val="none"/>
              </w:rPr>
              <w:t>　</w:t>
            </w:r>
          </w:p>
        </w:tc>
        <w:tc>
          <w:tcPr>
            <w:tcW w:w="65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3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5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8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6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61"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42"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61"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0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02" w:type="dxa"/>
            <w:tcBorders>
              <w:top w:val="nil"/>
              <w:left w:val="single" w:color="auto" w:sz="4" w:space="0"/>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rPr>
              <w:t>210</w:t>
            </w:r>
          </w:p>
        </w:tc>
        <w:tc>
          <w:tcPr>
            <w:tcW w:w="417"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rPr>
              <w:t>11</w:t>
            </w:r>
          </w:p>
        </w:tc>
        <w:tc>
          <w:tcPr>
            <w:tcW w:w="417"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rPr>
              <w:t>02</w:t>
            </w:r>
          </w:p>
        </w:tc>
        <w:tc>
          <w:tcPr>
            <w:tcW w:w="178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rPr>
              <w:t>事业单位医疗</w:t>
            </w:r>
          </w:p>
        </w:tc>
        <w:tc>
          <w:tcPr>
            <w:tcW w:w="88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13.74</w:t>
            </w:r>
            <w:r>
              <w:rPr>
                <w:rFonts w:hint="default" w:ascii="Times New Roman" w:hAnsi="Times New Roman" w:eastAsia="仿宋_GB2312" w:cs="Times New Roman"/>
                <w:color w:val="auto"/>
                <w:sz w:val="20"/>
                <w:szCs w:val="20"/>
                <w:highlight w:val="none"/>
              </w:rPr>
              <w:t>　</w:t>
            </w:r>
          </w:p>
        </w:tc>
        <w:tc>
          <w:tcPr>
            <w:tcW w:w="94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13.74</w:t>
            </w:r>
            <w:r>
              <w:rPr>
                <w:rFonts w:hint="default" w:ascii="Times New Roman" w:hAnsi="Times New Roman" w:eastAsia="仿宋_GB2312" w:cs="Times New Roman"/>
                <w:color w:val="auto"/>
                <w:sz w:val="20"/>
                <w:szCs w:val="20"/>
                <w:highlight w:val="none"/>
              </w:rPr>
              <w:t>　</w:t>
            </w:r>
          </w:p>
        </w:tc>
        <w:tc>
          <w:tcPr>
            <w:tcW w:w="90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13.74</w:t>
            </w:r>
            <w:r>
              <w:rPr>
                <w:rFonts w:hint="default" w:ascii="Times New Roman" w:hAnsi="Times New Roman" w:eastAsia="仿宋_GB2312" w:cs="Times New Roman"/>
                <w:color w:val="auto"/>
                <w:sz w:val="20"/>
                <w:szCs w:val="20"/>
                <w:highlight w:val="none"/>
              </w:rPr>
              <w:t>　</w:t>
            </w:r>
          </w:p>
        </w:tc>
        <w:tc>
          <w:tcPr>
            <w:tcW w:w="65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3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5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8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6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61"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42"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61"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0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02" w:type="dxa"/>
            <w:tcBorders>
              <w:top w:val="nil"/>
              <w:left w:val="single" w:color="auto" w:sz="4" w:space="0"/>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rPr>
              <w:t>21</w:t>
            </w:r>
            <w:r>
              <w:rPr>
                <w:rFonts w:hint="default" w:ascii="Times New Roman" w:hAnsi="Times New Roman" w:eastAsia="仿宋_GB2312" w:cs="Times New Roman"/>
                <w:color w:val="auto"/>
                <w:kern w:val="0"/>
                <w:sz w:val="18"/>
                <w:szCs w:val="18"/>
                <w:highlight w:val="none"/>
                <w:lang w:val="en-US" w:eastAsia="zh-CN"/>
              </w:rPr>
              <w:t>2</w:t>
            </w:r>
          </w:p>
        </w:tc>
        <w:tc>
          <w:tcPr>
            <w:tcW w:w="417"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p>
        </w:tc>
        <w:tc>
          <w:tcPr>
            <w:tcW w:w="417"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p>
        </w:tc>
        <w:tc>
          <w:tcPr>
            <w:tcW w:w="178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rPr>
              <w:t>城乡社区</w:t>
            </w:r>
            <w:r>
              <w:rPr>
                <w:rFonts w:hint="default" w:ascii="Times New Roman" w:hAnsi="Times New Roman" w:eastAsia="仿宋_GB2312" w:cs="Times New Roman"/>
                <w:color w:val="auto"/>
                <w:kern w:val="0"/>
                <w:sz w:val="18"/>
                <w:szCs w:val="18"/>
                <w:highlight w:val="none"/>
                <w:lang w:val="en-US" w:eastAsia="zh-CN"/>
              </w:rPr>
              <w:t>支出</w:t>
            </w:r>
          </w:p>
        </w:tc>
        <w:tc>
          <w:tcPr>
            <w:tcW w:w="88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210.16</w:t>
            </w:r>
            <w:r>
              <w:rPr>
                <w:rFonts w:hint="default" w:ascii="Times New Roman" w:hAnsi="Times New Roman" w:eastAsia="仿宋_GB2312" w:cs="Times New Roman"/>
                <w:color w:val="auto"/>
                <w:sz w:val="20"/>
                <w:szCs w:val="20"/>
                <w:highlight w:val="none"/>
              </w:rPr>
              <w:t>　</w:t>
            </w:r>
          </w:p>
        </w:tc>
        <w:tc>
          <w:tcPr>
            <w:tcW w:w="94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210.16</w:t>
            </w:r>
            <w:r>
              <w:rPr>
                <w:rFonts w:hint="default" w:ascii="Times New Roman" w:hAnsi="Times New Roman" w:eastAsia="仿宋_GB2312" w:cs="Times New Roman"/>
                <w:color w:val="auto"/>
                <w:sz w:val="20"/>
                <w:szCs w:val="20"/>
                <w:highlight w:val="none"/>
              </w:rPr>
              <w:t>　</w:t>
            </w:r>
          </w:p>
        </w:tc>
        <w:tc>
          <w:tcPr>
            <w:tcW w:w="90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210.16</w:t>
            </w:r>
            <w:r>
              <w:rPr>
                <w:rFonts w:hint="default" w:ascii="Times New Roman" w:hAnsi="Times New Roman" w:eastAsia="仿宋_GB2312" w:cs="Times New Roman"/>
                <w:color w:val="auto"/>
                <w:sz w:val="20"/>
                <w:szCs w:val="20"/>
                <w:highlight w:val="none"/>
              </w:rPr>
              <w:t>　</w:t>
            </w:r>
          </w:p>
        </w:tc>
        <w:tc>
          <w:tcPr>
            <w:tcW w:w="65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3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5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8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6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61"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42"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61"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0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02" w:type="dxa"/>
            <w:tcBorders>
              <w:top w:val="nil"/>
              <w:left w:val="single" w:color="auto" w:sz="4" w:space="0"/>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rPr>
              <w:t>21</w:t>
            </w:r>
            <w:r>
              <w:rPr>
                <w:rFonts w:hint="default" w:ascii="Times New Roman" w:hAnsi="Times New Roman" w:eastAsia="仿宋_GB2312" w:cs="Times New Roman"/>
                <w:color w:val="auto"/>
                <w:kern w:val="0"/>
                <w:sz w:val="18"/>
                <w:szCs w:val="18"/>
                <w:highlight w:val="none"/>
                <w:lang w:val="en-US" w:eastAsia="zh-CN"/>
              </w:rPr>
              <w:t>2</w:t>
            </w:r>
          </w:p>
        </w:tc>
        <w:tc>
          <w:tcPr>
            <w:tcW w:w="417"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rPr>
              <w:t>0</w:t>
            </w:r>
            <w:r>
              <w:rPr>
                <w:rFonts w:hint="default" w:ascii="Times New Roman" w:hAnsi="Times New Roman" w:eastAsia="仿宋_GB2312" w:cs="Times New Roman"/>
                <w:color w:val="auto"/>
                <w:kern w:val="0"/>
                <w:sz w:val="18"/>
                <w:szCs w:val="18"/>
                <w:highlight w:val="none"/>
                <w:lang w:val="en-US" w:eastAsia="zh-CN"/>
              </w:rPr>
              <w:t>1</w:t>
            </w:r>
          </w:p>
        </w:tc>
        <w:tc>
          <w:tcPr>
            <w:tcW w:w="417"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p>
        </w:tc>
        <w:tc>
          <w:tcPr>
            <w:tcW w:w="178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rPr>
              <w:t>城乡社区管理事务</w:t>
            </w:r>
          </w:p>
        </w:tc>
        <w:tc>
          <w:tcPr>
            <w:tcW w:w="88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210.16</w:t>
            </w:r>
            <w:r>
              <w:rPr>
                <w:rFonts w:hint="default" w:ascii="Times New Roman" w:hAnsi="Times New Roman" w:eastAsia="仿宋_GB2312" w:cs="Times New Roman"/>
                <w:color w:val="auto"/>
                <w:sz w:val="20"/>
                <w:szCs w:val="20"/>
                <w:highlight w:val="none"/>
              </w:rPr>
              <w:t>　</w:t>
            </w:r>
          </w:p>
        </w:tc>
        <w:tc>
          <w:tcPr>
            <w:tcW w:w="94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210.16</w:t>
            </w:r>
            <w:r>
              <w:rPr>
                <w:rFonts w:hint="default" w:ascii="Times New Roman" w:hAnsi="Times New Roman" w:eastAsia="仿宋_GB2312" w:cs="Times New Roman"/>
                <w:color w:val="auto"/>
                <w:sz w:val="20"/>
                <w:szCs w:val="20"/>
                <w:highlight w:val="none"/>
              </w:rPr>
              <w:t>　</w:t>
            </w:r>
          </w:p>
        </w:tc>
        <w:tc>
          <w:tcPr>
            <w:tcW w:w="90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210.16</w:t>
            </w:r>
            <w:r>
              <w:rPr>
                <w:rFonts w:hint="default" w:ascii="Times New Roman" w:hAnsi="Times New Roman" w:eastAsia="仿宋_GB2312" w:cs="Times New Roman"/>
                <w:color w:val="auto"/>
                <w:sz w:val="20"/>
                <w:szCs w:val="20"/>
                <w:highlight w:val="none"/>
              </w:rPr>
              <w:t>　</w:t>
            </w:r>
          </w:p>
        </w:tc>
        <w:tc>
          <w:tcPr>
            <w:tcW w:w="65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3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5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8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6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61"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42"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61"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0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02" w:type="dxa"/>
            <w:tcBorders>
              <w:top w:val="nil"/>
              <w:left w:val="single" w:color="auto" w:sz="4" w:space="0"/>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rPr>
              <w:t>212</w:t>
            </w:r>
          </w:p>
        </w:tc>
        <w:tc>
          <w:tcPr>
            <w:tcW w:w="417"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rPr>
              <w:t>01</w:t>
            </w:r>
          </w:p>
        </w:tc>
        <w:tc>
          <w:tcPr>
            <w:tcW w:w="417"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99</w:t>
            </w:r>
          </w:p>
        </w:tc>
        <w:tc>
          <w:tcPr>
            <w:tcW w:w="178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rPr>
              <w:t>其他城乡社区管理事务</w:t>
            </w:r>
            <w:r>
              <w:rPr>
                <w:rFonts w:hint="default" w:ascii="Times New Roman" w:hAnsi="Times New Roman" w:eastAsia="仿宋_GB2312" w:cs="Times New Roman"/>
                <w:color w:val="auto"/>
                <w:kern w:val="0"/>
                <w:sz w:val="18"/>
                <w:szCs w:val="18"/>
                <w:highlight w:val="none"/>
                <w:lang w:val="en-US" w:eastAsia="zh-CN"/>
              </w:rPr>
              <w:t>支出</w:t>
            </w:r>
          </w:p>
        </w:tc>
        <w:tc>
          <w:tcPr>
            <w:tcW w:w="88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210.16</w:t>
            </w:r>
            <w:r>
              <w:rPr>
                <w:rFonts w:hint="default" w:ascii="Times New Roman" w:hAnsi="Times New Roman" w:eastAsia="仿宋_GB2312" w:cs="Times New Roman"/>
                <w:color w:val="auto"/>
                <w:sz w:val="20"/>
                <w:szCs w:val="20"/>
                <w:highlight w:val="none"/>
              </w:rPr>
              <w:t>　</w:t>
            </w:r>
          </w:p>
        </w:tc>
        <w:tc>
          <w:tcPr>
            <w:tcW w:w="94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210.16</w:t>
            </w:r>
            <w:r>
              <w:rPr>
                <w:rFonts w:hint="default" w:ascii="Times New Roman" w:hAnsi="Times New Roman" w:eastAsia="仿宋_GB2312" w:cs="Times New Roman"/>
                <w:color w:val="auto"/>
                <w:sz w:val="20"/>
                <w:szCs w:val="20"/>
                <w:highlight w:val="none"/>
              </w:rPr>
              <w:t>　</w:t>
            </w:r>
          </w:p>
        </w:tc>
        <w:tc>
          <w:tcPr>
            <w:tcW w:w="90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210.16</w:t>
            </w:r>
            <w:r>
              <w:rPr>
                <w:rFonts w:hint="default" w:ascii="Times New Roman" w:hAnsi="Times New Roman" w:eastAsia="仿宋_GB2312" w:cs="Times New Roman"/>
                <w:color w:val="auto"/>
                <w:sz w:val="20"/>
                <w:szCs w:val="20"/>
                <w:highlight w:val="none"/>
              </w:rPr>
              <w:t>　</w:t>
            </w:r>
          </w:p>
        </w:tc>
        <w:tc>
          <w:tcPr>
            <w:tcW w:w="65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3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5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8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6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61"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42"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61"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0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02" w:type="dxa"/>
            <w:tcBorders>
              <w:top w:val="nil"/>
              <w:left w:val="single" w:color="auto" w:sz="4" w:space="0"/>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rPr>
              <w:t>221</w:t>
            </w:r>
          </w:p>
        </w:tc>
        <w:tc>
          <w:tcPr>
            <w:tcW w:w="417"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p>
        </w:tc>
        <w:tc>
          <w:tcPr>
            <w:tcW w:w="417"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p>
        </w:tc>
        <w:tc>
          <w:tcPr>
            <w:tcW w:w="178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rPr>
              <w:t>住房保障</w:t>
            </w:r>
            <w:r>
              <w:rPr>
                <w:rFonts w:hint="default" w:ascii="Times New Roman" w:hAnsi="Times New Roman" w:eastAsia="仿宋_GB2312" w:cs="Times New Roman"/>
                <w:color w:val="auto"/>
                <w:kern w:val="0"/>
                <w:sz w:val="18"/>
                <w:szCs w:val="18"/>
                <w:highlight w:val="none"/>
                <w:lang w:val="en-US" w:eastAsia="zh-CN"/>
              </w:rPr>
              <w:t>支出</w:t>
            </w:r>
          </w:p>
        </w:tc>
        <w:tc>
          <w:tcPr>
            <w:tcW w:w="88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22.78</w:t>
            </w:r>
            <w:r>
              <w:rPr>
                <w:rFonts w:hint="default" w:ascii="Times New Roman" w:hAnsi="Times New Roman" w:eastAsia="仿宋_GB2312" w:cs="Times New Roman"/>
                <w:color w:val="auto"/>
                <w:sz w:val="20"/>
                <w:szCs w:val="20"/>
                <w:highlight w:val="none"/>
              </w:rPr>
              <w:t>　</w:t>
            </w:r>
          </w:p>
        </w:tc>
        <w:tc>
          <w:tcPr>
            <w:tcW w:w="94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22.78</w:t>
            </w:r>
            <w:r>
              <w:rPr>
                <w:rFonts w:hint="default" w:ascii="Times New Roman" w:hAnsi="Times New Roman" w:eastAsia="仿宋_GB2312" w:cs="Times New Roman"/>
                <w:color w:val="auto"/>
                <w:sz w:val="20"/>
                <w:szCs w:val="20"/>
                <w:highlight w:val="none"/>
              </w:rPr>
              <w:t>　</w:t>
            </w:r>
          </w:p>
        </w:tc>
        <w:tc>
          <w:tcPr>
            <w:tcW w:w="90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22.78</w:t>
            </w:r>
            <w:r>
              <w:rPr>
                <w:rFonts w:hint="default" w:ascii="Times New Roman" w:hAnsi="Times New Roman" w:eastAsia="仿宋_GB2312" w:cs="Times New Roman"/>
                <w:color w:val="auto"/>
                <w:sz w:val="20"/>
                <w:szCs w:val="20"/>
                <w:highlight w:val="none"/>
              </w:rPr>
              <w:t>　</w:t>
            </w:r>
          </w:p>
        </w:tc>
        <w:tc>
          <w:tcPr>
            <w:tcW w:w="65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3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5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8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6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61"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42"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61"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0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02" w:type="dxa"/>
            <w:tcBorders>
              <w:top w:val="nil"/>
              <w:left w:val="single" w:color="auto" w:sz="4" w:space="0"/>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221</w:t>
            </w:r>
          </w:p>
        </w:tc>
        <w:tc>
          <w:tcPr>
            <w:tcW w:w="417"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02</w:t>
            </w:r>
          </w:p>
        </w:tc>
        <w:tc>
          <w:tcPr>
            <w:tcW w:w="417"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p>
        </w:tc>
        <w:tc>
          <w:tcPr>
            <w:tcW w:w="178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住房改革支出</w:t>
            </w:r>
          </w:p>
        </w:tc>
        <w:tc>
          <w:tcPr>
            <w:tcW w:w="88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22.78</w:t>
            </w:r>
            <w:r>
              <w:rPr>
                <w:rFonts w:hint="default" w:ascii="Times New Roman" w:hAnsi="Times New Roman" w:eastAsia="仿宋_GB2312" w:cs="Times New Roman"/>
                <w:color w:val="auto"/>
                <w:sz w:val="20"/>
                <w:szCs w:val="20"/>
                <w:highlight w:val="none"/>
              </w:rPr>
              <w:t>　</w:t>
            </w:r>
          </w:p>
        </w:tc>
        <w:tc>
          <w:tcPr>
            <w:tcW w:w="94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22.78</w:t>
            </w:r>
            <w:r>
              <w:rPr>
                <w:rFonts w:hint="default" w:ascii="Times New Roman" w:hAnsi="Times New Roman" w:eastAsia="仿宋_GB2312" w:cs="Times New Roman"/>
                <w:color w:val="auto"/>
                <w:sz w:val="20"/>
                <w:szCs w:val="20"/>
                <w:highlight w:val="none"/>
              </w:rPr>
              <w:t>　</w:t>
            </w:r>
          </w:p>
        </w:tc>
        <w:tc>
          <w:tcPr>
            <w:tcW w:w="90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22.78</w:t>
            </w:r>
            <w:r>
              <w:rPr>
                <w:rFonts w:hint="default" w:ascii="Times New Roman" w:hAnsi="Times New Roman" w:eastAsia="仿宋_GB2312" w:cs="Times New Roman"/>
                <w:color w:val="auto"/>
                <w:sz w:val="20"/>
                <w:szCs w:val="20"/>
                <w:highlight w:val="none"/>
              </w:rPr>
              <w:t>　</w:t>
            </w:r>
          </w:p>
        </w:tc>
        <w:tc>
          <w:tcPr>
            <w:tcW w:w="65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3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5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8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6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61"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42"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61"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0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02" w:type="dxa"/>
            <w:tcBorders>
              <w:top w:val="nil"/>
              <w:left w:val="single" w:color="auto" w:sz="4" w:space="0"/>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221</w:t>
            </w:r>
          </w:p>
        </w:tc>
        <w:tc>
          <w:tcPr>
            <w:tcW w:w="417"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02</w:t>
            </w:r>
          </w:p>
        </w:tc>
        <w:tc>
          <w:tcPr>
            <w:tcW w:w="417"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01</w:t>
            </w:r>
          </w:p>
        </w:tc>
        <w:tc>
          <w:tcPr>
            <w:tcW w:w="178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住房公积金</w:t>
            </w:r>
          </w:p>
        </w:tc>
        <w:tc>
          <w:tcPr>
            <w:tcW w:w="88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22.78</w:t>
            </w:r>
            <w:r>
              <w:rPr>
                <w:rFonts w:hint="default" w:ascii="Times New Roman" w:hAnsi="Times New Roman" w:eastAsia="仿宋_GB2312" w:cs="Times New Roman"/>
                <w:color w:val="auto"/>
                <w:sz w:val="20"/>
                <w:szCs w:val="20"/>
                <w:highlight w:val="none"/>
              </w:rPr>
              <w:t>　</w:t>
            </w:r>
          </w:p>
        </w:tc>
        <w:tc>
          <w:tcPr>
            <w:tcW w:w="94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22.78</w:t>
            </w:r>
            <w:r>
              <w:rPr>
                <w:rFonts w:hint="default" w:ascii="Times New Roman" w:hAnsi="Times New Roman" w:eastAsia="仿宋_GB2312" w:cs="Times New Roman"/>
                <w:color w:val="auto"/>
                <w:sz w:val="20"/>
                <w:szCs w:val="20"/>
                <w:highlight w:val="none"/>
              </w:rPr>
              <w:t>　</w:t>
            </w:r>
          </w:p>
        </w:tc>
        <w:tc>
          <w:tcPr>
            <w:tcW w:w="90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22.78</w:t>
            </w:r>
            <w:r>
              <w:rPr>
                <w:rFonts w:hint="default" w:ascii="Times New Roman" w:hAnsi="Times New Roman" w:eastAsia="仿宋_GB2312" w:cs="Times New Roman"/>
                <w:color w:val="auto"/>
                <w:sz w:val="20"/>
                <w:szCs w:val="20"/>
                <w:highlight w:val="none"/>
              </w:rPr>
              <w:t>　</w:t>
            </w:r>
          </w:p>
        </w:tc>
        <w:tc>
          <w:tcPr>
            <w:tcW w:w="65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3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5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8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6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61"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42"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61"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0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02"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178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b w:val="0"/>
                <w:bCs w:val="0"/>
                <w:color w:val="auto"/>
                <w:sz w:val="20"/>
                <w:szCs w:val="20"/>
                <w:highlight w:val="none"/>
              </w:rPr>
              <w:t>合  计</w:t>
            </w:r>
            <w:r>
              <w:rPr>
                <w:rFonts w:hint="default" w:ascii="Times New Roman" w:hAnsi="Times New Roman" w:eastAsia="仿宋_GB2312" w:cs="Times New Roman"/>
                <w:color w:val="auto"/>
                <w:sz w:val="20"/>
                <w:szCs w:val="20"/>
                <w:highlight w:val="none"/>
              </w:rPr>
              <w:t>　</w:t>
            </w:r>
          </w:p>
        </w:tc>
        <w:tc>
          <w:tcPr>
            <w:tcW w:w="88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294.06</w:t>
            </w:r>
            <w:r>
              <w:rPr>
                <w:rFonts w:hint="default" w:ascii="Times New Roman" w:hAnsi="Times New Roman" w:eastAsia="仿宋_GB2312" w:cs="Times New Roman"/>
                <w:color w:val="auto"/>
                <w:sz w:val="20"/>
                <w:szCs w:val="20"/>
                <w:highlight w:val="none"/>
              </w:rPr>
              <w:t>　</w:t>
            </w:r>
          </w:p>
        </w:tc>
        <w:tc>
          <w:tcPr>
            <w:tcW w:w="94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294.06</w:t>
            </w:r>
            <w:r>
              <w:rPr>
                <w:rFonts w:hint="default" w:ascii="Times New Roman" w:hAnsi="Times New Roman" w:eastAsia="仿宋_GB2312" w:cs="Times New Roman"/>
                <w:color w:val="auto"/>
                <w:sz w:val="20"/>
                <w:szCs w:val="20"/>
                <w:highlight w:val="none"/>
              </w:rPr>
              <w:t>　</w:t>
            </w:r>
          </w:p>
        </w:tc>
        <w:tc>
          <w:tcPr>
            <w:tcW w:w="90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294.06</w:t>
            </w:r>
            <w:r>
              <w:rPr>
                <w:rFonts w:hint="default" w:ascii="Times New Roman" w:hAnsi="Times New Roman" w:eastAsia="仿宋_GB2312" w:cs="Times New Roman"/>
                <w:color w:val="auto"/>
                <w:sz w:val="20"/>
                <w:szCs w:val="20"/>
                <w:highlight w:val="none"/>
              </w:rPr>
              <w:t>　</w:t>
            </w:r>
          </w:p>
        </w:tc>
        <w:tc>
          <w:tcPr>
            <w:tcW w:w="65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3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5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8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6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61"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42"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61"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0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表3</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1"/>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单位支出总体情况表</w:t>
      </w:r>
    </w:p>
    <w:p>
      <w:pPr>
        <w:widowControl/>
        <w:spacing w:line="280" w:lineRule="exact"/>
        <w:jc w:val="center"/>
        <w:outlineLvl w:val="1"/>
        <w:rPr>
          <w:rFonts w:hint="default" w:ascii="Times New Roman" w:hAnsi="Times New Roman" w:eastAsia="仿宋_GB2312" w:cs="Times New Roman"/>
          <w:b/>
          <w:color w:val="auto"/>
          <w:kern w:val="0"/>
          <w:sz w:val="32"/>
          <w:szCs w:val="32"/>
          <w:highlight w:val="none"/>
        </w:rPr>
      </w:pPr>
    </w:p>
    <w:p>
      <w:pPr>
        <w:widowControl/>
        <w:spacing w:line="280" w:lineRule="exact"/>
        <w:jc w:val="lef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val="en-US" w:eastAsia="zh-CN"/>
        </w:rPr>
        <w:t>焉耆回族自治县市政工程维护管理处</w:t>
      </w:r>
      <w:r>
        <w:rPr>
          <w:rFonts w:hint="default" w:ascii="Times New Roman" w:hAnsi="Times New Roman" w:eastAsia="仿宋_GB2312" w:cs="Times New Roman"/>
          <w:color w:val="auto"/>
          <w:kern w:val="0"/>
          <w:sz w:val="24"/>
          <w:highlight w:val="none"/>
        </w:rPr>
        <w:t xml:space="preserve">                </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 xml:space="preserve"> 单位：万元</w:t>
      </w:r>
    </w:p>
    <w:tbl>
      <w:tblPr>
        <w:tblStyle w:val="10"/>
        <w:tblW w:w="9420" w:type="dxa"/>
        <w:tblInd w:w="-240" w:type="dxa"/>
        <w:tblLayout w:type="autofit"/>
        <w:tblCellMar>
          <w:top w:w="0" w:type="dxa"/>
          <w:left w:w="108" w:type="dxa"/>
          <w:bottom w:w="0" w:type="dxa"/>
          <w:right w:w="108" w:type="dxa"/>
        </w:tblCellMar>
      </w:tblPr>
      <w:tblGrid>
        <w:gridCol w:w="486"/>
        <w:gridCol w:w="417"/>
        <w:gridCol w:w="417"/>
        <w:gridCol w:w="2560"/>
        <w:gridCol w:w="1832"/>
        <w:gridCol w:w="1833"/>
        <w:gridCol w:w="1875"/>
      </w:tblGrid>
      <w:tr>
        <w:tblPrEx>
          <w:tblCellMar>
            <w:top w:w="0" w:type="dxa"/>
            <w:left w:w="108" w:type="dxa"/>
            <w:bottom w:w="0" w:type="dxa"/>
            <w:right w:w="108" w:type="dxa"/>
          </w:tblCellMar>
        </w:tblPrEx>
        <w:trPr>
          <w:trHeight w:val="328" w:hRule="atLeast"/>
        </w:trPr>
        <w:tc>
          <w:tcPr>
            <w:tcW w:w="3880"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科</w:t>
            </w:r>
            <w:r>
              <w:rPr>
                <w:rFonts w:hint="default" w:ascii="Times New Roman" w:hAnsi="Times New Roman" w:eastAsia="仿宋_GB2312" w:cs="Times New Roman"/>
                <w:b/>
                <w:bCs/>
                <w:color w:val="auto"/>
                <w:kern w:val="0"/>
                <w:sz w:val="24"/>
                <w:szCs w:val="24"/>
                <w:highlight w:val="none"/>
              </w:rPr>
              <w:t xml:space="preserve">    目</w:t>
            </w:r>
          </w:p>
        </w:tc>
        <w:tc>
          <w:tcPr>
            <w:tcW w:w="5540" w:type="dxa"/>
            <w:gridSpan w:val="3"/>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支出预算</w:t>
            </w:r>
          </w:p>
        </w:tc>
      </w:tr>
      <w:tr>
        <w:tblPrEx>
          <w:tblCellMar>
            <w:top w:w="0" w:type="dxa"/>
            <w:left w:w="108" w:type="dxa"/>
            <w:bottom w:w="0" w:type="dxa"/>
            <w:right w:w="108" w:type="dxa"/>
          </w:tblCellMar>
        </w:tblPrEx>
        <w:trPr>
          <w:trHeight w:val="480" w:hRule="atLeast"/>
        </w:trPr>
        <w:tc>
          <w:tcPr>
            <w:tcW w:w="132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560"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tc>
        <w:tc>
          <w:tcPr>
            <w:tcW w:w="1832"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833"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875"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r>
      <w:tr>
        <w:tblPrEx>
          <w:tblCellMar>
            <w:top w:w="0" w:type="dxa"/>
            <w:left w:w="108" w:type="dxa"/>
            <w:bottom w:w="0" w:type="dxa"/>
            <w:right w:w="108" w:type="dxa"/>
          </w:tblCellMar>
        </w:tblPrEx>
        <w:trPr>
          <w:trHeight w:val="270" w:hRule="atLeast"/>
        </w:trPr>
        <w:tc>
          <w:tcPr>
            <w:tcW w:w="48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tc>
        <w:tc>
          <w:tcPr>
            <w:tcW w:w="2560"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832"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833"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875"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208</w:t>
            </w:r>
          </w:p>
        </w:tc>
        <w:tc>
          <w:tcPr>
            <w:tcW w:w="417"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p>
        </w:tc>
        <w:tc>
          <w:tcPr>
            <w:tcW w:w="417"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p>
        </w:tc>
        <w:tc>
          <w:tcPr>
            <w:tcW w:w="256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社会保险和就业支出</w:t>
            </w:r>
          </w:p>
        </w:tc>
        <w:tc>
          <w:tcPr>
            <w:tcW w:w="183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47.38</w:t>
            </w:r>
          </w:p>
        </w:tc>
        <w:tc>
          <w:tcPr>
            <w:tcW w:w="183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47.38</w:t>
            </w:r>
          </w:p>
        </w:tc>
        <w:tc>
          <w:tcPr>
            <w:tcW w:w="187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208</w:t>
            </w:r>
          </w:p>
        </w:tc>
        <w:tc>
          <w:tcPr>
            <w:tcW w:w="417"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05</w:t>
            </w:r>
          </w:p>
        </w:tc>
        <w:tc>
          <w:tcPr>
            <w:tcW w:w="417"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p>
        </w:tc>
        <w:tc>
          <w:tcPr>
            <w:tcW w:w="256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行政事业单位养老支出</w:t>
            </w:r>
          </w:p>
        </w:tc>
        <w:tc>
          <w:tcPr>
            <w:tcW w:w="183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47.38</w:t>
            </w:r>
          </w:p>
        </w:tc>
        <w:tc>
          <w:tcPr>
            <w:tcW w:w="183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47.38</w:t>
            </w:r>
          </w:p>
        </w:tc>
        <w:tc>
          <w:tcPr>
            <w:tcW w:w="187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208</w:t>
            </w:r>
          </w:p>
        </w:tc>
        <w:tc>
          <w:tcPr>
            <w:tcW w:w="417"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05</w:t>
            </w:r>
          </w:p>
        </w:tc>
        <w:tc>
          <w:tcPr>
            <w:tcW w:w="417"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02</w:t>
            </w:r>
          </w:p>
        </w:tc>
        <w:tc>
          <w:tcPr>
            <w:tcW w:w="256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事业单位离退休</w:t>
            </w:r>
          </w:p>
        </w:tc>
        <w:tc>
          <w:tcPr>
            <w:tcW w:w="183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1.83</w:t>
            </w:r>
          </w:p>
        </w:tc>
        <w:tc>
          <w:tcPr>
            <w:tcW w:w="183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1.83</w:t>
            </w:r>
          </w:p>
        </w:tc>
        <w:tc>
          <w:tcPr>
            <w:tcW w:w="187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208</w:t>
            </w:r>
          </w:p>
        </w:tc>
        <w:tc>
          <w:tcPr>
            <w:tcW w:w="417"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05</w:t>
            </w:r>
          </w:p>
        </w:tc>
        <w:tc>
          <w:tcPr>
            <w:tcW w:w="417"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05</w:t>
            </w:r>
          </w:p>
        </w:tc>
        <w:tc>
          <w:tcPr>
            <w:tcW w:w="256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机关事业单位基本养老保险缴费支出</w:t>
            </w:r>
          </w:p>
        </w:tc>
        <w:tc>
          <w:tcPr>
            <w:tcW w:w="183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30.37</w:t>
            </w:r>
          </w:p>
        </w:tc>
        <w:tc>
          <w:tcPr>
            <w:tcW w:w="183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30.37</w:t>
            </w:r>
          </w:p>
        </w:tc>
        <w:tc>
          <w:tcPr>
            <w:tcW w:w="187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208</w:t>
            </w:r>
          </w:p>
        </w:tc>
        <w:tc>
          <w:tcPr>
            <w:tcW w:w="417"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05</w:t>
            </w:r>
          </w:p>
        </w:tc>
        <w:tc>
          <w:tcPr>
            <w:tcW w:w="417"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06</w:t>
            </w:r>
          </w:p>
        </w:tc>
        <w:tc>
          <w:tcPr>
            <w:tcW w:w="256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机关事业单位职业年金缴费支出</w:t>
            </w:r>
          </w:p>
        </w:tc>
        <w:tc>
          <w:tcPr>
            <w:tcW w:w="183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15.18</w:t>
            </w:r>
          </w:p>
        </w:tc>
        <w:tc>
          <w:tcPr>
            <w:tcW w:w="183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15.18</w:t>
            </w:r>
          </w:p>
        </w:tc>
        <w:tc>
          <w:tcPr>
            <w:tcW w:w="187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210</w:t>
            </w:r>
          </w:p>
        </w:tc>
        <w:tc>
          <w:tcPr>
            <w:tcW w:w="417"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p>
        </w:tc>
        <w:tc>
          <w:tcPr>
            <w:tcW w:w="417"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p>
        </w:tc>
        <w:tc>
          <w:tcPr>
            <w:tcW w:w="256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卫生健康支出</w:t>
            </w:r>
          </w:p>
        </w:tc>
        <w:tc>
          <w:tcPr>
            <w:tcW w:w="183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13.74</w:t>
            </w:r>
          </w:p>
        </w:tc>
        <w:tc>
          <w:tcPr>
            <w:tcW w:w="183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13.74</w:t>
            </w:r>
          </w:p>
        </w:tc>
        <w:tc>
          <w:tcPr>
            <w:tcW w:w="187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210</w:t>
            </w:r>
          </w:p>
        </w:tc>
        <w:tc>
          <w:tcPr>
            <w:tcW w:w="417"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11</w:t>
            </w:r>
          </w:p>
        </w:tc>
        <w:tc>
          <w:tcPr>
            <w:tcW w:w="417"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p>
        </w:tc>
        <w:tc>
          <w:tcPr>
            <w:tcW w:w="256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行政事业单位医疗</w:t>
            </w:r>
          </w:p>
        </w:tc>
        <w:tc>
          <w:tcPr>
            <w:tcW w:w="183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13.74</w:t>
            </w:r>
          </w:p>
        </w:tc>
        <w:tc>
          <w:tcPr>
            <w:tcW w:w="183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13.74</w:t>
            </w:r>
          </w:p>
        </w:tc>
        <w:tc>
          <w:tcPr>
            <w:tcW w:w="187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210</w:t>
            </w:r>
          </w:p>
        </w:tc>
        <w:tc>
          <w:tcPr>
            <w:tcW w:w="417"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11</w:t>
            </w:r>
          </w:p>
        </w:tc>
        <w:tc>
          <w:tcPr>
            <w:tcW w:w="417"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02</w:t>
            </w:r>
          </w:p>
        </w:tc>
        <w:tc>
          <w:tcPr>
            <w:tcW w:w="256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事业单位医疗</w:t>
            </w:r>
          </w:p>
        </w:tc>
        <w:tc>
          <w:tcPr>
            <w:tcW w:w="183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13.74</w:t>
            </w:r>
          </w:p>
        </w:tc>
        <w:tc>
          <w:tcPr>
            <w:tcW w:w="183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13.74</w:t>
            </w:r>
          </w:p>
        </w:tc>
        <w:tc>
          <w:tcPr>
            <w:tcW w:w="187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212</w:t>
            </w:r>
          </w:p>
        </w:tc>
        <w:tc>
          <w:tcPr>
            <w:tcW w:w="417"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p>
        </w:tc>
        <w:tc>
          <w:tcPr>
            <w:tcW w:w="417"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p>
        </w:tc>
        <w:tc>
          <w:tcPr>
            <w:tcW w:w="256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城乡社区支出</w:t>
            </w:r>
          </w:p>
        </w:tc>
        <w:tc>
          <w:tcPr>
            <w:tcW w:w="183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210.16</w:t>
            </w:r>
          </w:p>
        </w:tc>
        <w:tc>
          <w:tcPr>
            <w:tcW w:w="183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210.16</w:t>
            </w:r>
          </w:p>
        </w:tc>
        <w:tc>
          <w:tcPr>
            <w:tcW w:w="187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212</w:t>
            </w:r>
          </w:p>
        </w:tc>
        <w:tc>
          <w:tcPr>
            <w:tcW w:w="417"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01</w:t>
            </w:r>
          </w:p>
        </w:tc>
        <w:tc>
          <w:tcPr>
            <w:tcW w:w="417"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p>
        </w:tc>
        <w:tc>
          <w:tcPr>
            <w:tcW w:w="256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城乡社区管理事务</w:t>
            </w:r>
          </w:p>
        </w:tc>
        <w:tc>
          <w:tcPr>
            <w:tcW w:w="183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210.16</w:t>
            </w:r>
          </w:p>
        </w:tc>
        <w:tc>
          <w:tcPr>
            <w:tcW w:w="183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210.16</w:t>
            </w:r>
          </w:p>
        </w:tc>
        <w:tc>
          <w:tcPr>
            <w:tcW w:w="187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212</w:t>
            </w:r>
          </w:p>
        </w:tc>
        <w:tc>
          <w:tcPr>
            <w:tcW w:w="417"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01</w:t>
            </w:r>
          </w:p>
        </w:tc>
        <w:tc>
          <w:tcPr>
            <w:tcW w:w="417"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99</w:t>
            </w:r>
          </w:p>
        </w:tc>
        <w:tc>
          <w:tcPr>
            <w:tcW w:w="256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其他城乡社区管理事务支出</w:t>
            </w:r>
          </w:p>
        </w:tc>
        <w:tc>
          <w:tcPr>
            <w:tcW w:w="183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210.16</w:t>
            </w:r>
          </w:p>
        </w:tc>
        <w:tc>
          <w:tcPr>
            <w:tcW w:w="183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210.16</w:t>
            </w:r>
          </w:p>
        </w:tc>
        <w:tc>
          <w:tcPr>
            <w:tcW w:w="187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221</w:t>
            </w:r>
          </w:p>
        </w:tc>
        <w:tc>
          <w:tcPr>
            <w:tcW w:w="417"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p>
        </w:tc>
        <w:tc>
          <w:tcPr>
            <w:tcW w:w="417"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p>
        </w:tc>
        <w:tc>
          <w:tcPr>
            <w:tcW w:w="256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住房保障支出</w:t>
            </w:r>
          </w:p>
        </w:tc>
        <w:tc>
          <w:tcPr>
            <w:tcW w:w="183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22.78</w:t>
            </w:r>
          </w:p>
        </w:tc>
        <w:tc>
          <w:tcPr>
            <w:tcW w:w="183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22.78</w:t>
            </w:r>
          </w:p>
        </w:tc>
        <w:tc>
          <w:tcPr>
            <w:tcW w:w="187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221</w:t>
            </w:r>
          </w:p>
        </w:tc>
        <w:tc>
          <w:tcPr>
            <w:tcW w:w="417"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02</w:t>
            </w:r>
          </w:p>
        </w:tc>
        <w:tc>
          <w:tcPr>
            <w:tcW w:w="417"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p>
        </w:tc>
        <w:tc>
          <w:tcPr>
            <w:tcW w:w="256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住房改革支出</w:t>
            </w:r>
          </w:p>
        </w:tc>
        <w:tc>
          <w:tcPr>
            <w:tcW w:w="183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22.78</w:t>
            </w:r>
          </w:p>
        </w:tc>
        <w:tc>
          <w:tcPr>
            <w:tcW w:w="183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22.78</w:t>
            </w:r>
          </w:p>
        </w:tc>
        <w:tc>
          <w:tcPr>
            <w:tcW w:w="187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221</w:t>
            </w:r>
          </w:p>
        </w:tc>
        <w:tc>
          <w:tcPr>
            <w:tcW w:w="417"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02</w:t>
            </w:r>
          </w:p>
        </w:tc>
        <w:tc>
          <w:tcPr>
            <w:tcW w:w="417"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01</w:t>
            </w:r>
          </w:p>
        </w:tc>
        <w:tc>
          <w:tcPr>
            <w:tcW w:w="256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住房公积金</w:t>
            </w:r>
          </w:p>
        </w:tc>
        <w:tc>
          <w:tcPr>
            <w:tcW w:w="183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22.78</w:t>
            </w:r>
          </w:p>
        </w:tc>
        <w:tc>
          <w:tcPr>
            <w:tcW w:w="183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22.78</w:t>
            </w:r>
          </w:p>
        </w:tc>
        <w:tc>
          <w:tcPr>
            <w:tcW w:w="187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2"/>
                <w:szCs w:val="22"/>
                <w:highlight w:val="none"/>
              </w:rPr>
            </w:pPr>
            <w:r>
              <w:rPr>
                <w:rFonts w:hint="default" w:ascii="Times New Roman" w:hAnsi="Times New Roman" w:cs="Times New Roman"/>
                <w:color w:val="auto"/>
                <w:kern w:val="0"/>
                <w:sz w:val="22"/>
                <w:szCs w:val="22"/>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2"/>
                <w:szCs w:val="22"/>
                <w:highlight w:val="none"/>
              </w:rPr>
            </w:pPr>
            <w:r>
              <w:rPr>
                <w:rFonts w:hint="default" w:ascii="Times New Roman" w:hAnsi="Times New Roman" w:cs="Times New Roman"/>
                <w:color w:val="auto"/>
                <w:kern w:val="0"/>
                <w:sz w:val="22"/>
                <w:szCs w:val="22"/>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256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22"/>
                <w:szCs w:val="22"/>
                <w:highlight w:val="none"/>
              </w:rPr>
            </w:pPr>
            <w:r>
              <w:rPr>
                <w:rFonts w:hint="default" w:ascii="Times New Roman" w:hAnsi="Times New Roman" w:eastAsia="仿宋_GB2312" w:cs="Times New Roman"/>
                <w:b w:val="0"/>
                <w:bCs w:val="0"/>
                <w:color w:val="auto"/>
                <w:kern w:val="0"/>
                <w:sz w:val="20"/>
                <w:szCs w:val="20"/>
                <w:highlight w:val="none"/>
              </w:rPr>
              <w:t>合  计</w:t>
            </w:r>
          </w:p>
        </w:tc>
        <w:tc>
          <w:tcPr>
            <w:tcW w:w="183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294.06</w:t>
            </w:r>
          </w:p>
        </w:tc>
        <w:tc>
          <w:tcPr>
            <w:tcW w:w="183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294.06</w:t>
            </w:r>
          </w:p>
        </w:tc>
        <w:tc>
          <w:tcPr>
            <w:tcW w:w="187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24"/>
                <w:highlight w:val="none"/>
              </w:rPr>
            </w:pP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表4</w:t>
      </w:r>
    </w:p>
    <w:p>
      <w:pPr>
        <w:widowControl/>
        <w:spacing w:before="120" w:beforeLines="50" w:line="280" w:lineRule="exact"/>
        <w:jc w:val="center"/>
        <w:outlineLvl w:val="1"/>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财政拨款收支预算总体情况表</w:t>
      </w:r>
    </w:p>
    <w:p>
      <w:pPr>
        <w:widowControl/>
        <w:spacing w:before="120" w:beforeLines="50" w:line="280" w:lineRule="exact"/>
        <w:outlineLvl w:val="1"/>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编制单位：</w:t>
      </w:r>
      <w:r>
        <w:rPr>
          <w:rFonts w:hint="default" w:ascii="Times New Roman" w:hAnsi="Times New Roman" w:eastAsia="仿宋_GB2312" w:cs="Times New Roman"/>
          <w:color w:val="auto"/>
          <w:kern w:val="0"/>
          <w:sz w:val="24"/>
          <w:highlight w:val="none"/>
          <w:lang w:val="en-US" w:eastAsia="zh-CN"/>
        </w:rPr>
        <w:t>焉耆回族自治县市政工程维护管理处</w:t>
      </w:r>
      <w:r>
        <w:rPr>
          <w:rFonts w:hint="default" w:ascii="Times New Roman" w:hAnsi="Times New Roman" w:eastAsia="仿宋_GB2312" w:cs="Times New Roman"/>
          <w:color w:val="auto"/>
          <w:kern w:val="0"/>
          <w:sz w:val="24"/>
          <w:highlight w:val="none"/>
        </w:rPr>
        <w:t xml:space="preserve"> </w:t>
      </w:r>
      <w:r>
        <w:rPr>
          <w:rFonts w:hint="default" w:ascii="Times New Roman" w:hAnsi="Times New Roman" w:eastAsia="仿宋_GB2312" w:cs="Times New Roman"/>
          <w:color w:val="auto"/>
          <w:kern w:val="0"/>
          <w:sz w:val="24"/>
          <w:szCs w:val="24"/>
          <w:highlight w:val="none"/>
        </w:rPr>
        <w:t xml:space="preserve">              单位：万元</w:t>
      </w:r>
    </w:p>
    <w:tbl>
      <w:tblPr>
        <w:tblStyle w:val="10"/>
        <w:tblW w:w="9449" w:type="dxa"/>
        <w:tblInd w:w="-240" w:type="dxa"/>
        <w:tblLayout w:type="autofit"/>
        <w:tblCellMar>
          <w:top w:w="0" w:type="dxa"/>
          <w:left w:w="108" w:type="dxa"/>
          <w:bottom w:w="0" w:type="dxa"/>
          <w:right w:w="108" w:type="dxa"/>
        </w:tblCellMar>
      </w:tblPr>
      <w:tblGrid>
        <w:gridCol w:w="1935"/>
        <w:gridCol w:w="914"/>
        <w:gridCol w:w="2580"/>
        <w:gridCol w:w="900"/>
        <w:gridCol w:w="851"/>
        <w:gridCol w:w="1134"/>
        <w:gridCol w:w="1135"/>
      </w:tblGrid>
      <w:tr>
        <w:tblPrEx>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财政拨款收入</w:t>
            </w:r>
          </w:p>
        </w:tc>
        <w:tc>
          <w:tcPr>
            <w:tcW w:w="6599" w:type="dxa"/>
            <w:gridSpan w:val="5"/>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财政拨款支出</w:t>
            </w:r>
          </w:p>
        </w:tc>
      </w:tr>
      <w:tr>
        <w:tblPrEx>
          <w:tblCellMar>
            <w:top w:w="0" w:type="dxa"/>
            <w:left w:w="108" w:type="dxa"/>
            <w:bottom w:w="0" w:type="dxa"/>
            <w:right w:w="108" w:type="dxa"/>
          </w:tblCellMar>
        </w:tblPrEx>
        <w:trPr>
          <w:trHeight w:val="500" w:hRule="atLeast"/>
        </w:trPr>
        <w:tc>
          <w:tcPr>
            <w:tcW w:w="193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项    目</w:t>
            </w:r>
          </w:p>
        </w:tc>
        <w:tc>
          <w:tcPr>
            <w:tcW w:w="9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合  计</w:t>
            </w:r>
          </w:p>
        </w:tc>
        <w:tc>
          <w:tcPr>
            <w:tcW w:w="25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  能  分  类</w:t>
            </w:r>
          </w:p>
        </w:tc>
        <w:tc>
          <w:tcPr>
            <w:tcW w:w="9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一般公共预算</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政府性基金预算</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国有资本经营预算</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Hans"/>
              </w:rPr>
              <w:t>一、</w:t>
            </w:r>
            <w:r>
              <w:rPr>
                <w:rFonts w:hint="default" w:ascii="Times New Roman" w:hAnsi="Times New Roman" w:eastAsia="仿宋_GB2312" w:cs="Times New Roman"/>
                <w:color w:val="auto"/>
                <w:kern w:val="0"/>
                <w:sz w:val="18"/>
                <w:szCs w:val="18"/>
                <w:highlight w:val="none"/>
              </w:rPr>
              <w:t>财政拨款（补助）</w:t>
            </w:r>
          </w:p>
        </w:tc>
        <w:tc>
          <w:tcPr>
            <w:tcW w:w="91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294.06</w:t>
            </w: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201 一般公共服务支出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ind w:firstLine="180" w:firstLineChars="100"/>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一般公共预算</w:t>
            </w:r>
          </w:p>
        </w:tc>
        <w:tc>
          <w:tcPr>
            <w:tcW w:w="91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294.06</w:t>
            </w: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202 外交支出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政府性基金预算</w:t>
            </w:r>
          </w:p>
        </w:tc>
        <w:tc>
          <w:tcPr>
            <w:tcW w:w="91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203 国防支出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国有资本经营预算</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204 公共安全支出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297"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205 教育支出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206 科学技术支出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207 文化旅游体育与传媒支出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208 社会保障和就业支出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47.38</w:t>
            </w:r>
            <w:r>
              <w:rPr>
                <w:rFonts w:hint="default" w:ascii="Times New Roman" w:hAnsi="Times New Roman" w:eastAsia="仿宋_GB2312"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47.38</w:t>
            </w:r>
            <w:r>
              <w:rPr>
                <w:rFonts w:hint="default" w:ascii="Times New Roman" w:hAnsi="Times New Roman" w:eastAsia="仿宋_GB2312" w:cs="Times New Roman"/>
                <w:color w:val="auto"/>
                <w:kern w:val="0"/>
                <w:sz w:val="18"/>
                <w:szCs w:val="18"/>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209 社会保险基金支出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210</w:t>
            </w:r>
            <w:r>
              <w:rPr>
                <w:rFonts w:hint="default"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卫生健康支出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13.74</w:t>
            </w:r>
            <w:r>
              <w:rPr>
                <w:rFonts w:hint="default" w:ascii="Times New Roman" w:hAnsi="Times New Roman" w:eastAsia="仿宋_GB2312"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13.74</w:t>
            </w:r>
            <w:r>
              <w:rPr>
                <w:rFonts w:hint="default" w:ascii="Times New Roman" w:hAnsi="Times New Roman" w:eastAsia="仿宋_GB2312" w:cs="Times New Roman"/>
                <w:color w:val="auto"/>
                <w:kern w:val="0"/>
                <w:sz w:val="18"/>
                <w:szCs w:val="18"/>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211 节能环保支出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212 城乡社区支出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210.16</w:t>
            </w:r>
            <w:r>
              <w:rPr>
                <w:rFonts w:hint="default" w:ascii="Times New Roman" w:hAnsi="Times New Roman" w:eastAsia="仿宋_GB2312"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210.16</w:t>
            </w:r>
            <w:r>
              <w:rPr>
                <w:rFonts w:hint="default" w:ascii="Times New Roman" w:hAnsi="Times New Roman" w:eastAsia="仿宋_GB2312" w:cs="Times New Roman"/>
                <w:color w:val="auto"/>
                <w:kern w:val="0"/>
                <w:sz w:val="18"/>
                <w:szCs w:val="18"/>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213 农林水支出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214 交通运输支出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215 资源勘探</w:t>
            </w:r>
            <w:r>
              <w:rPr>
                <w:rFonts w:hint="default" w:ascii="Times New Roman" w:hAnsi="Times New Roman" w:eastAsia="仿宋_GB2312" w:cs="Times New Roman"/>
                <w:b w:val="0"/>
                <w:bCs w:val="0"/>
                <w:color w:val="auto"/>
                <w:kern w:val="0"/>
                <w:sz w:val="18"/>
                <w:szCs w:val="18"/>
                <w:highlight w:val="none"/>
                <w:lang w:val="en-US" w:eastAsia="zh-Hans"/>
              </w:rPr>
              <w:t>工业</w:t>
            </w:r>
            <w:r>
              <w:rPr>
                <w:rFonts w:hint="default" w:ascii="Times New Roman" w:hAnsi="Times New Roman" w:eastAsia="仿宋_GB2312" w:cs="Times New Roman"/>
                <w:b w:val="0"/>
                <w:bCs w:val="0"/>
                <w:color w:val="auto"/>
                <w:kern w:val="0"/>
                <w:sz w:val="18"/>
                <w:szCs w:val="18"/>
                <w:highlight w:val="none"/>
              </w:rPr>
              <w:t>信息等支出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216 商业服务业等支出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217 金融支出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219 援助其他地区支出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220 自然资源海洋气象等支出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221 住房保障支出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22.78</w:t>
            </w:r>
            <w:r>
              <w:rPr>
                <w:rFonts w:hint="default" w:ascii="Times New Roman" w:hAnsi="Times New Roman" w:eastAsia="仿宋_GB2312"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22.78</w:t>
            </w:r>
            <w:r>
              <w:rPr>
                <w:rFonts w:hint="default" w:ascii="Times New Roman" w:hAnsi="Times New Roman" w:eastAsia="仿宋_GB2312" w:cs="Times New Roman"/>
                <w:color w:val="auto"/>
                <w:kern w:val="0"/>
                <w:sz w:val="18"/>
                <w:szCs w:val="18"/>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222 粮油物资储备支出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223 国有资本经营预算支出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224</w:t>
            </w:r>
            <w:r>
              <w:rPr>
                <w:rFonts w:hint="default"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灾害防治及应急管理支出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227 预备费</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229 其他支出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230</w:t>
            </w:r>
            <w:r>
              <w:rPr>
                <w:rFonts w:hint="default"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转移性支出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231 债务还本支出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232 债务付息支出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233 债务发行费用支出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rPr>
            </w:pPr>
            <w:r>
              <w:rPr>
                <w:rFonts w:hint="default" w:ascii="Times New Roman" w:hAnsi="Times New Roman" w:eastAsia="仿宋_GB2312" w:cs="Times New Roman"/>
                <w:color w:val="auto"/>
                <w:kern w:val="0"/>
                <w:sz w:val="18"/>
                <w:szCs w:val="18"/>
                <w:highlight w:val="none"/>
                <w:lang w:val="en-US" w:eastAsia="zh-CN"/>
              </w:rPr>
              <w:t xml:space="preserve">                    </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收  入  总  计</w:t>
            </w:r>
          </w:p>
        </w:tc>
        <w:tc>
          <w:tcPr>
            <w:tcW w:w="91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294.06</w:t>
            </w:r>
            <w:r>
              <w:rPr>
                <w:rFonts w:hint="default" w:ascii="Times New Roman" w:hAnsi="Times New Roman" w:eastAsia="仿宋_GB2312" w:cs="Times New Roman"/>
                <w:b w:val="0"/>
                <w:bCs w:val="0"/>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支  出  总  计</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294.06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294.06　</w:t>
            </w:r>
          </w:p>
        </w:tc>
        <w:tc>
          <w:tcPr>
            <w:tcW w:w="113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　</w:t>
            </w:r>
          </w:p>
        </w:tc>
        <w:tc>
          <w:tcPr>
            <w:tcW w:w="1135"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20"/>
                <w:szCs w:val="20"/>
                <w:highlight w:val="none"/>
                <w:lang w:val="en-US" w:eastAsia="zh-CN"/>
              </w:rPr>
            </w:pP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表5</w:t>
      </w:r>
    </w:p>
    <w:tbl>
      <w:tblPr>
        <w:tblStyle w:val="10"/>
        <w:tblW w:w="9214" w:type="dxa"/>
        <w:tblInd w:w="-34" w:type="dxa"/>
        <w:tblLayout w:type="autofit"/>
        <w:tblCellMar>
          <w:top w:w="0" w:type="dxa"/>
          <w:left w:w="108" w:type="dxa"/>
          <w:bottom w:w="0" w:type="dxa"/>
          <w:right w:w="108" w:type="dxa"/>
        </w:tblCellMar>
      </w:tblPr>
      <w:tblGrid>
        <w:gridCol w:w="516"/>
        <w:gridCol w:w="499"/>
        <w:gridCol w:w="503"/>
        <w:gridCol w:w="2911"/>
        <w:gridCol w:w="1260"/>
        <w:gridCol w:w="1834"/>
        <w:gridCol w:w="1691"/>
      </w:tblGrid>
      <w:tr>
        <w:tblPrEx>
          <w:tblCellMar>
            <w:top w:w="0" w:type="dxa"/>
            <w:left w:w="108" w:type="dxa"/>
            <w:bottom w:w="0" w:type="dxa"/>
            <w:right w:w="108" w:type="dxa"/>
          </w:tblCellMar>
        </w:tblPrEx>
        <w:trPr>
          <w:trHeight w:val="450" w:hRule="atLeast"/>
        </w:trPr>
        <w:tc>
          <w:tcPr>
            <w:tcW w:w="9214" w:type="dxa"/>
            <w:gridSpan w:val="7"/>
            <w:tcBorders>
              <w:top w:val="nil"/>
              <w:left w:val="nil"/>
              <w:bottom w:val="nil"/>
              <w:right w:val="nil"/>
            </w:tcBorders>
            <w:noWrap w:val="0"/>
            <w:vAlign w:val="center"/>
          </w:tcPr>
          <w:p>
            <w:pPr>
              <w:widowControl/>
              <w:jc w:val="center"/>
              <w:rPr>
                <w:rFonts w:hint="default" w:ascii="Times New Roman" w:hAnsi="Times New Roman" w:eastAsia="方正小标宋_GBK" w:cs="Times New Roman"/>
                <w:b w:val="0"/>
                <w:bCs w:val="0"/>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一般公共预算支出情况表</w:t>
            </w:r>
          </w:p>
        </w:tc>
      </w:tr>
      <w:tr>
        <w:tblPrEx>
          <w:tblCellMar>
            <w:top w:w="0" w:type="dxa"/>
            <w:left w:w="108" w:type="dxa"/>
            <w:bottom w:w="0" w:type="dxa"/>
            <w:right w:w="108" w:type="dxa"/>
          </w:tblCellMar>
        </w:tblPrEx>
        <w:trPr>
          <w:trHeight w:val="285" w:hRule="atLeast"/>
        </w:trPr>
        <w:tc>
          <w:tcPr>
            <w:tcW w:w="9214" w:type="dxa"/>
            <w:gridSpan w:val="7"/>
            <w:tcBorders>
              <w:top w:val="nil"/>
              <w:left w:val="nil"/>
              <w:bottom w:val="nil"/>
              <w:right w:val="nil"/>
            </w:tcBorders>
            <w:noWrap w:val="0"/>
            <w:vAlign w:val="center"/>
          </w:tcPr>
          <w:p>
            <w:pPr>
              <w:widowControl/>
              <w:jc w:val="both"/>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val="en-US" w:eastAsia="zh-CN"/>
              </w:rPr>
              <w:t xml:space="preserve">焉耆回族自治县市政工程维护管理处                     </w:t>
            </w:r>
            <w:r>
              <w:rPr>
                <w:rFonts w:hint="default" w:ascii="Times New Roman" w:hAnsi="Times New Roman" w:eastAsia="仿宋_GB2312" w:cs="Times New Roman"/>
                <w:color w:val="auto"/>
                <w:kern w:val="0"/>
                <w:sz w:val="24"/>
                <w:highlight w:val="none"/>
              </w:rPr>
              <w:t>单位：万元</w:t>
            </w:r>
          </w:p>
        </w:tc>
      </w:tr>
      <w:tr>
        <w:tblPrEx>
          <w:tblCellMar>
            <w:top w:w="0" w:type="dxa"/>
            <w:left w:w="108" w:type="dxa"/>
            <w:bottom w:w="0" w:type="dxa"/>
            <w:right w:w="108" w:type="dxa"/>
          </w:tblCellMar>
        </w:tblPrEx>
        <w:trPr>
          <w:trHeight w:val="405" w:hRule="atLeast"/>
        </w:trPr>
        <w:tc>
          <w:tcPr>
            <w:tcW w:w="4413" w:type="dxa"/>
            <w:gridSpan w:val="4"/>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科</w:t>
            </w:r>
            <w:r>
              <w:rPr>
                <w:rFonts w:hint="default" w:ascii="Times New Roman" w:hAnsi="Times New Roman" w:eastAsia="仿宋_GB2312" w:cs="Times New Roman"/>
                <w:b/>
                <w:bCs/>
                <w:color w:val="auto"/>
                <w:kern w:val="0"/>
                <w:sz w:val="24"/>
                <w:szCs w:val="24"/>
                <w:highlight w:val="none"/>
              </w:rPr>
              <w:t xml:space="preserve">  目</w:t>
            </w:r>
          </w:p>
        </w:tc>
        <w:tc>
          <w:tcPr>
            <w:tcW w:w="4801"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一般公共预算支出</w:t>
            </w:r>
          </w:p>
        </w:tc>
      </w:tr>
      <w:tr>
        <w:tblPrEx>
          <w:tblCellMar>
            <w:top w:w="0" w:type="dxa"/>
            <w:left w:w="108" w:type="dxa"/>
            <w:bottom w:w="0" w:type="dxa"/>
            <w:right w:w="108" w:type="dxa"/>
          </w:tblCellMar>
        </w:tblPrEx>
        <w:trPr>
          <w:trHeight w:val="465" w:hRule="atLeast"/>
        </w:trPr>
        <w:tc>
          <w:tcPr>
            <w:tcW w:w="1488"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925"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tc>
        <w:tc>
          <w:tcPr>
            <w:tcW w:w="126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84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698"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r>
      <w:tr>
        <w:tblPrEx>
          <w:tblCellMar>
            <w:top w:w="0" w:type="dxa"/>
            <w:left w:w="108" w:type="dxa"/>
            <w:bottom w:w="0" w:type="dxa"/>
            <w:right w:w="108" w:type="dxa"/>
          </w:tblCellMar>
        </w:tblPrEx>
        <w:trPr>
          <w:trHeight w:val="300" w:hRule="atLeast"/>
        </w:trPr>
        <w:tc>
          <w:tcPr>
            <w:tcW w:w="48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49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50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tc>
        <w:tc>
          <w:tcPr>
            <w:tcW w:w="292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26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8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69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208</w:t>
            </w:r>
          </w:p>
        </w:tc>
        <w:tc>
          <w:tcPr>
            <w:tcW w:w="499"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p>
        </w:tc>
        <w:tc>
          <w:tcPr>
            <w:tcW w:w="5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p>
        </w:tc>
        <w:tc>
          <w:tcPr>
            <w:tcW w:w="2925"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社会保险和就业支出</w:t>
            </w:r>
          </w:p>
        </w:tc>
        <w:tc>
          <w:tcPr>
            <w:tcW w:w="126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47.38</w:t>
            </w:r>
          </w:p>
        </w:tc>
        <w:tc>
          <w:tcPr>
            <w:tcW w:w="18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47.38</w:t>
            </w:r>
          </w:p>
        </w:tc>
        <w:tc>
          <w:tcPr>
            <w:tcW w:w="169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208</w:t>
            </w:r>
          </w:p>
        </w:tc>
        <w:tc>
          <w:tcPr>
            <w:tcW w:w="499"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05</w:t>
            </w:r>
          </w:p>
        </w:tc>
        <w:tc>
          <w:tcPr>
            <w:tcW w:w="5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p>
        </w:tc>
        <w:tc>
          <w:tcPr>
            <w:tcW w:w="2925"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行政事业单位养老支出</w:t>
            </w:r>
          </w:p>
        </w:tc>
        <w:tc>
          <w:tcPr>
            <w:tcW w:w="126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47.38</w:t>
            </w:r>
          </w:p>
        </w:tc>
        <w:tc>
          <w:tcPr>
            <w:tcW w:w="18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47.38</w:t>
            </w:r>
          </w:p>
        </w:tc>
        <w:tc>
          <w:tcPr>
            <w:tcW w:w="169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208</w:t>
            </w:r>
          </w:p>
        </w:tc>
        <w:tc>
          <w:tcPr>
            <w:tcW w:w="499"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05</w:t>
            </w:r>
          </w:p>
        </w:tc>
        <w:tc>
          <w:tcPr>
            <w:tcW w:w="5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02</w:t>
            </w:r>
          </w:p>
        </w:tc>
        <w:tc>
          <w:tcPr>
            <w:tcW w:w="2925"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事业单位离退休</w:t>
            </w:r>
          </w:p>
        </w:tc>
        <w:tc>
          <w:tcPr>
            <w:tcW w:w="126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1.83</w:t>
            </w:r>
          </w:p>
        </w:tc>
        <w:tc>
          <w:tcPr>
            <w:tcW w:w="18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1.83</w:t>
            </w:r>
          </w:p>
        </w:tc>
        <w:tc>
          <w:tcPr>
            <w:tcW w:w="169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208</w:t>
            </w:r>
          </w:p>
        </w:tc>
        <w:tc>
          <w:tcPr>
            <w:tcW w:w="499"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05</w:t>
            </w:r>
          </w:p>
        </w:tc>
        <w:tc>
          <w:tcPr>
            <w:tcW w:w="5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05</w:t>
            </w:r>
          </w:p>
        </w:tc>
        <w:tc>
          <w:tcPr>
            <w:tcW w:w="2925"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机关事业单位基本养老保险缴费支出</w:t>
            </w:r>
          </w:p>
        </w:tc>
        <w:tc>
          <w:tcPr>
            <w:tcW w:w="126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30.37</w:t>
            </w:r>
          </w:p>
        </w:tc>
        <w:tc>
          <w:tcPr>
            <w:tcW w:w="18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30.37</w:t>
            </w:r>
          </w:p>
        </w:tc>
        <w:tc>
          <w:tcPr>
            <w:tcW w:w="169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208</w:t>
            </w:r>
          </w:p>
        </w:tc>
        <w:tc>
          <w:tcPr>
            <w:tcW w:w="499"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05</w:t>
            </w:r>
          </w:p>
        </w:tc>
        <w:tc>
          <w:tcPr>
            <w:tcW w:w="5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06</w:t>
            </w:r>
          </w:p>
        </w:tc>
        <w:tc>
          <w:tcPr>
            <w:tcW w:w="2925"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机关事业单位职业年金缴费支出</w:t>
            </w:r>
          </w:p>
        </w:tc>
        <w:tc>
          <w:tcPr>
            <w:tcW w:w="126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15.18</w:t>
            </w:r>
          </w:p>
        </w:tc>
        <w:tc>
          <w:tcPr>
            <w:tcW w:w="18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15.18</w:t>
            </w:r>
          </w:p>
        </w:tc>
        <w:tc>
          <w:tcPr>
            <w:tcW w:w="169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210</w:t>
            </w:r>
          </w:p>
        </w:tc>
        <w:tc>
          <w:tcPr>
            <w:tcW w:w="499"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p>
        </w:tc>
        <w:tc>
          <w:tcPr>
            <w:tcW w:w="5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p>
        </w:tc>
        <w:tc>
          <w:tcPr>
            <w:tcW w:w="2925"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卫生健康支出</w:t>
            </w:r>
          </w:p>
        </w:tc>
        <w:tc>
          <w:tcPr>
            <w:tcW w:w="126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13.74</w:t>
            </w:r>
          </w:p>
        </w:tc>
        <w:tc>
          <w:tcPr>
            <w:tcW w:w="18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13.74</w:t>
            </w:r>
          </w:p>
        </w:tc>
        <w:tc>
          <w:tcPr>
            <w:tcW w:w="169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210</w:t>
            </w:r>
          </w:p>
        </w:tc>
        <w:tc>
          <w:tcPr>
            <w:tcW w:w="499"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11</w:t>
            </w:r>
          </w:p>
        </w:tc>
        <w:tc>
          <w:tcPr>
            <w:tcW w:w="5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p>
        </w:tc>
        <w:tc>
          <w:tcPr>
            <w:tcW w:w="2925"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行政事业单位医疗</w:t>
            </w:r>
          </w:p>
        </w:tc>
        <w:tc>
          <w:tcPr>
            <w:tcW w:w="126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13.74</w:t>
            </w:r>
          </w:p>
        </w:tc>
        <w:tc>
          <w:tcPr>
            <w:tcW w:w="18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13.74</w:t>
            </w:r>
          </w:p>
        </w:tc>
        <w:tc>
          <w:tcPr>
            <w:tcW w:w="169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210</w:t>
            </w:r>
          </w:p>
        </w:tc>
        <w:tc>
          <w:tcPr>
            <w:tcW w:w="499"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11</w:t>
            </w:r>
          </w:p>
        </w:tc>
        <w:tc>
          <w:tcPr>
            <w:tcW w:w="5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02</w:t>
            </w:r>
          </w:p>
        </w:tc>
        <w:tc>
          <w:tcPr>
            <w:tcW w:w="2925"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事业单位医疗</w:t>
            </w:r>
          </w:p>
        </w:tc>
        <w:tc>
          <w:tcPr>
            <w:tcW w:w="126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13.74</w:t>
            </w:r>
          </w:p>
        </w:tc>
        <w:tc>
          <w:tcPr>
            <w:tcW w:w="18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13.74</w:t>
            </w:r>
          </w:p>
        </w:tc>
        <w:tc>
          <w:tcPr>
            <w:tcW w:w="169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212</w:t>
            </w:r>
          </w:p>
        </w:tc>
        <w:tc>
          <w:tcPr>
            <w:tcW w:w="499"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p>
        </w:tc>
        <w:tc>
          <w:tcPr>
            <w:tcW w:w="5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p>
        </w:tc>
        <w:tc>
          <w:tcPr>
            <w:tcW w:w="2925"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城乡社区支出</w:t>
            </w:r>
          </w:p>
        </w:tc>
        <w:tc>
          <w:tcPr>
            <w:tcW w:w="126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210.16</w:t>
            </w:r>
          </w:p>
        </w:tc>
        <w:tc>
          <w:tcPr>
            <w:tcW w:w="18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210.16</w:t>
            </w:r>
          </w:p>
        </w:tc>
        <w:tc>
          <w:tcPr>
            <w:tcW w:w="169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212</w:t>
            </w:r>
          </w:p>
        </w:tc>
        <w:tc>
          <w:tcPr>
            <w:tcW w:w="499"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01</w:t>
            </w:r>
          </w:p>
        </w:tc>
        <w:tc>
          <w:tcPr>
            <w:tcW w:w="5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p>
        </w:tc>
        <w:tc>
          <w:tcPr>
            <w:tcW w:w="2925"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城乡社区管理事务</w:t>
            </w:r>
          </w:p>
        </w:tc>
        <w:tc>
          <w:tcPr>
            <w:tcW w:w="126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210.16</w:t>
            </w:r>
          </w:p>
        </w:tc>
        <w:tc>
          <w:tcPr>
            <w:tcW w:w="18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210.16</w:t>
            </w:r>
          </w:p>
        </w:tc>
        <w:tc>
          <w:tcPr>
            <w:tcW w:w="169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212</w:t>
            </w:r>
          </w:p>
        </w:tc>
        <w:tc>
          <w:tcPr>
            <w:tcW w:w="499"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01</w:t>
            </w:r>
          </w:p>
        </w:tc>
        <w:tc>
          <w:tcPr>
            <w:tcW w:w="5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99</w:t>
            </w:r>
          </w:p>
        </w:tc>
        <w:tc>
          <w:tcPr>
            <w:tcW w:w="2925"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其他城乡社区管理事务支出</w:t>
            </w:r>
          </w:p>
        </w:tc>
        <w:tc>
          <w:tcPr>
            <w:tcW w:w="126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210.16</w:t>
            </w:r>
          </w:p>
        </w:tc>
        <w:tc>
          <w:tcPr>
            <w:tcW w:w="18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210.16</w:t>
            </w:r>
          </w:p>
        </w:tc>
        <w:tc>
          <w:tcPr>
            <w:tcW w:w="169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221</w:t>
            </w:r>
          </w:p>
        </w:tc>
        <w:tc>
          <w:tcPr>
            <w:tcW w:w="499"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p>
        </w:tc>
        <w:tc>
          <w:tcPr>
            <w:tcW w:w="5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p>
        </w:tc>
        <w:tc>
          <w:tcPr>
            <w:tcW w:w="2925"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住房保障支出</w:t>
            </w:r>
          </w:p>
        </w:tc>
        <w:tc>
          <w:tcPr>
            <w:tcW w:w="126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22.78</w:t>
            </w:r>
          </w:p>
        </w:tc>
        <w:tc>
          <w:tcPr>
            <w:tcW w:w="18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22.78</w:t>
            </w:r>
          </w:p>
        </w:tc>
        <w:tc>
          <w:tcPr>
            <w:tcW w:w="169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221</w:t>
            </w:r>
          </w:p>
        </w:tc>
        <w:tc>
          <w:tcPr>
            <w:tcW w:w="499"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02</w:t>
            </w:r>
          </w:p>
        </w:tc>
        <w:tc>
          <w:tcPr>
            <w:tcW w:w="5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p>
        </w:tc>
        <w:tc>
          <w:tcPr>
            <w:tcW w:w="2925"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住房改革支出</w:t>
            </w:r>
          </w:p>
        </w:tc>
        <w:tc>
          <w:tcPr>
            <w:tcW w:w="126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22.78</w:t>
            </w:r>
          </w:p>
        </w:tc>
        <w:tc>
          <w:tcPr>
            <w:tcW w:w="18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22.78</w:t>
            </w:r>
          </w:p>
        </w:tc>
        <w:tc>
          <w:tcPr>
            <w:tcW w:w="169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221</w:t>
            </w:r>
          </w:p>
        </w:tc>
        <w:tc>
          <w:tcPr>
            <w:tcW w:w="499"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02</w:t>
            </w:r>
          </w:p>
        </w:tc>
        <w:tc>
          <w:tcPr>
            <w:tcW w:w="5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01</w:t>
            </w:r>
          </w:p>
        </w:tc>
        <w:tc>
          <w:tcPr>
            <w:tcW w:w="2925"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住房公积金</w:t>
            </w:r>
          </w:p>
        </w:tc>
        <w:tc>
          <w:tcPr>
            <w:tcW w:w="126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22.78</w:t>
            </w:r>
          </w:p>
        </w:tc>
        <w:tc>
          <w:tcPr>
            <w:tcW w:w="18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22.78</w:t>
            </w:r>
          </w:p>
        </w:tc>
        <w:tc>
          <w:tcPr>
            <w:tcW w:w="169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4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50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292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合  计</w:t>
            </w:r>
          </w:p>
        </w:tc>
        <w:tc>
          <w:tcPr>
            <w:tcW w:w="126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294.06</w:t>
            </w:r>
          </w:p>
        </w:tc>
        <w:tc>
          <w:tcPr>
            <w:tcW w:w="184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294.06</w:t>
            </w:r>
          </w:p>
        </w:tc>
        <w:tc>
          <w:tcPr>
            <w:tcW w:w="169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表6</w:t>
      </w:r>
    </w:p>
    <w:tbl>
      <w:tblPr>
        <w:tblStyle w:val="10"/>
        <w:tblW w:w="9328" w:type="dxa"/>
        <w:tblInd w:w="-148" w:type="dxa"/>
        <w:tblLayout w:type="autofit"/>
        <w:tblCellMar>
          <w:top w:w="0" w:type="dxa"/>
          <w:left w:w="108" w:type="dxa"/>
          <w:bottom w:w="0" w:type="dxa"/>
          <w:right w:w="108" w:type="dxa"/>
        </w:tblCellMar>
      </w:tblPr>
      <w:tblGrid>
        <w:gridCol w:w="757"/>
        <w:gridCol w:w="577"/>
        <w:gridCol w:w="2891"/>
        <w:gridCol w:w="1701"/>
        <w:gridCol w:w="1701"/>
        <w:gridCol w:w="1701"/>
      </w:tblGrid>
      <w:tr>
        <w:tblPrEx>
          <w:tblCellMar>
            <w:top w:w="0" w:type="dxa"/>
            <w:left w:w="108" w:type="dxa"/>
            <w:bottom w:w="0" w:type="dxa"/>
            <w:right w:w="108" w:type="dxa"/>
          </w:tblCellMar>
        </w:tblPrEx>
        <w:trPr>
          <w:trHeight w:val="375" w:hRule="atLeast"/>
        </w:trPr>
        <w:tc>
          <w:tcPr>
            <w:tcW w:w="9328" w:type="dxa"/>
            <w:gridSpan w:val="6"/>
            <w:tcBorders>
              <w:top w:val="nil"/>
              <w:left w:val="nil"/>
              <w:bottom w:val="nil"/>
              <w:right w:val="nil"/>
            </w:tcBorders>
            <w:noWrap w:val="0"/>
            <w:vAlign w:val="center"/>
          </w:tcPr>
          <w:p>
            <w:pPr>
              <w:widowControl/>
              <w:jc w:val="center"/>
              <w:rPr>
                <w:rFonts w:hint="default" w:ascii="Times New Roman" w:hAnsi="Times New Roman" w:eastAsia="方正小标宋_GBK" w:cs="Times New Roman"/>
                <w:b w:val="0"/>
                <w:bCs w:val="0"/>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一般公共预算基本支出情况表</w:t>
            </w:r>
          </w:p>
        </w:tc>
      </w:tr>
      <w:tr>
        <w:tblPrEx>
          <w:tblCellMar>
            <w:top w:w="0" w:type="dxa"/>
            <w:left w:w="108" w:type="dxa"/>
            <w:bottom w:w="0" w:type="dxa"/>
            <w:right w:w="108" w:type="dxa"/>
          </w:tblCellMar>
        </w:tblPrEx>
        <w:trPr>
          <w:trHeight w:val="405" w:hRule="atLeast"/>
        </w:trPr>
        <w:tc>
          <w:tcPr>
            <w:tcW w:w="9328" w:type="dxa"/>
            <w:gridSpan w:val="6"/>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val="en-US" w:eastAsia="zh-CN"/>
              </w:rPr>
              <w:t>焉耆回族自治县市政工程维护管理处</w:t>
            </w:r>
            <w:r>
              <w:rPr>
                <w:rFonts w:hint="default" w:ascii="Times New Roman" w:hAnsi="Times New Roman" w:eastAsia="仿宋_GB2312" w:cs="Times New Roman"/>
                <w:color w:val="auto"/>
                <w:kern w:val="0"/>
                <w:sz w:val="24"/>
                <w:highlight w:val="none"/>
              </w:rPr>
              <w:t xml:space="preserve"> </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 xml:space="preserve">  单位：万元</w:t>
            </w:r>
          </w:p>
        </w:tc>
      </w:tr>
      <w:tr>
        <w:tblPrEx>
          <w:tblCellMar>
            <w:top w:w="0" w:type="dxa"/>
            <w:left w:w="108" w:type="dxa"/>
            <w:bottom w:w="0" w:type="dxa"/>
            <w:right w:w="108" w:type="dxa"/>
          </w:tblCellMar>
        </w:tblPrEx>
        <w:trPr>
          <w:trHeight w:val="374" w:hRule="atLeast"/>
        </w:trPr>
        <w:tc>
          <w:tcPr>
            <w:tcW w:w="4225"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 xml:space="preserve">科  </w:t>
            </w:r>
            <w:r>
              <w:rPr>
                <w:rFonts w:hint="default" w:ascii="Times New Roman" w:hAnsi="Times New Roman" w:eastAsia="仿宋_GB2312" w:cs="Times New Roman"/>
                <w:b/>
                <w:bCs/>
                <w:color w:val="auto"/>
                <w:kern w:val="0"/>
                <w:sz w:val="24"/>
                <w:szCs w:val="24"/>
                <w:highlight w:val="none"/>
              </w:rPr>
              <w:t>目</w:t>
            </w:r>
          </w:p>
        </w:tc>
        <w:tc>
          <w:tcPr>
            <w:tcW w:w="5103"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一般公共预算基本支出</w:t>
            </w:r>
          </w:p>
        </w:tc>
      </w:tr>
      <w:tr>
        <w:tblPrEx>
          <w:tblCellMar>
            <w:top w:w="0" w:type="dxa"/>
            <w:left w:w="108" w:type="dxa"/>
            <w:bottom w:w="0" w:type="dxa"/>
            <w:right w:w="108" w:type="dxa"/>
          </w:tblCellMar>
        </w:tblPrEx>
        <w:trPr>
          <w:trHeight w:val="495" w:hRule="atLeast"/>
        </w:trPr>
        <w:tc>
          <w:tcPr>
            <w:tcW w:w="1334" w:type="dxa"/>
            <w:gridSpan w:val="2"/>
            <w:tcBorders>
              <w:top w:val="single" w:color="auto" w:sz="4" w:space="0"/>
              <w:left w:val="single" w:color="auto" w:sz="4" w:space="0"/>
              <w:bottom w:val="single" w:color="auto" w:sz="4" w:space="0"/>
              <w:right w:val="nil"/>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经济分类科目编码</w:t>
            </w:r>
          </w:p>
        </w:tc>
        <w:tc>
          <w:tcPr>
            <w:tcW w:w="289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经济分类科目名称</w:t>
            </w:r>
          </w:p>
        </w:tc>
        <w:tc>
          <w:tcPr>
            <w:tcW w:w="170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70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人员经费</w:t>
            </w:r>
          </w:p>
        </w:tc>
        <w:tc>
          <w:tcPr>
            <w:tcW w:w="170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公用经费</w:t>
            </w:r>
          </w:p>
        </w:tc>
      </w:tr>
      <w:tr>
        <w:tblPrEx>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2891"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p>
        </w:tc>
        <w:tc>
          <w:tcPr>
            <w:tcW w:w="1701"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c>
          <w:tcPr>
            <w:tcW w:w="1701"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c>
          <w:tcPr>
            <w:tcW w:w="1701"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301</w:t>
            </w:r>
          </w:p>
        </w:tc>
        <w:tc>
          <w:tcPr>
            <w:tcW w:w="57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p>
        </w:tc>
        <w:tc>
          <w:tcPr>
            <w:tcW w:w="289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工资福利支出</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286.76</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lang w:val="en-US" w:eastAsia="zh-CN"/>
              </w:rPr>
              <w:t>286.76</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301</w:t>
            </w:r>
          </w:p>
        </w:tc>
        <w:tc>
          <w:tcPr>
            <w:tcW w:w="57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01</w:t>
            </w:r>
          </w:p>
        </w:tc>
        <w:tc>
          <w:tcPr>
            <w:tcW w:w="289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基本工资</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100.82</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lang w:val="en-US" w:eastAsia="zh-CN"/>
              </w:rPr>
              <w:t>100.82</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301</w:t>
            </w:r>
          </w:p>
        </w:tc>
        <w:tc>
          <w:tcPr>
            <w:tcW w:w="57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02</w:t>
            </w:r>
          </w:p>
        </w:tc>
        <w:tc>
          <w:tcPr>
            <w:tcW w:w="289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津贴补贴</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102.52</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lang w:val="en-US" w:eastAsia="zh-CN"/>
              </w:rPr>
              <w:t>102.52</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301</w:t>
            </w:r>
          </w:p>
        </w:tc>
        <w:tc>
          <w:tcPr>
            <w:tcW w:w="57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08</w:t>
            </w:r>
          </w:p>
        </w:tc>
        <w:tc>
          <w:tcPr>
            <w:tcW w:w="289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机关事业单位基本养老保险费</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30.37</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lang w:val="en-US" w:eastAsia="zh-CN"/>
              </w:rPr>
              <w:t>30.37</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301</w:t>
            </w:r>
          </w:p>
        </w:tc>
        <w:tc>
          <w:tcPr>
            <w:tcW w:w="57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09</w:t>
            </w:r>
          </w:p>
        </w:tc>
        <w:tc>
          <w:tcPr>
            <w:tcW w:w="289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职业年金缴费</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15.18</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lang w:val="en-US" w:eastAsia="zh-CN"/>
              </w:rPr>
              <w:t>15.18</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301</w:t>
            </w:r>
          </w:p>
        </w:tc>
        <w:tc>
          <w:tcPr>
            <w:tcW w:w="57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10</w:t>
            </w:r>
          </w:p>
        </w:tc>
        <w:tc>
          <w:tcPr>
            <w:tcW w:w="289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职工基本医疗保险缴费</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13.74</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lang w:val="en-US" w:eastAsia="zh-CN"/>
              </w:rPr>
              <w:t>13.74</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301</w:t>
            </w:r>
          </w:p>
        </w:tc>
        <w:tc>
          <w:tcPr>
            <w:tcW w:w="57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12</w:t>
            </w:r>
          </w:p>
        </w:tc>
        <w:tc>
          <w:tcPr>
            <w:tcW w:w="289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其它社会保障缴费</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1.35</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lang w:val="en-US" w:eastAsia="zh-CN"/>
              </w:rPr>
              <w:t>1.35</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301</w:t>
            </w:r>
          </w:p>
        </w:tc>
        <w:tc>
          <w:tcPr>
            <w:tcW w:w="57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13</w:t>
            </w:r>
          </w:p>
        </w:tc>
        <w:tc>
          <w:tcPr>
            <w:tcW w:w="289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住房公积金</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22.78</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lang w:val="en-US" w:eastAsia="zh-CN"/>
              </w:rPr>
              <w:t>22.78</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302</w:t>
            </w:r>
          </w:p>
        </w:tc>
        <w:tc>
          <w:tcPr>
            <w:tcW w:w="57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p>
        </w:tc>
        <w:tc>
          <w:tcPr>
            <w:tcW w:w="289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商品与服务支出</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5.47</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lang w:val="en-US" w:eastAsia="zh-CN"/>
              </w:rPr>
              <w:t>5.47</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302</w:t>
            </w:r>
          </w:p>
        </w:tc>
        <w:tc>
          <w:tcPr>
            <w:tcW w:w="57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01</w:t>
            </w:r>
          </w:p>
        </w:tc>
        <w:tc>
          <w:tcPr>
            <w:tcW w:w="289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办公费</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2.70</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lang w:val="en-US" w:eastAsia="zh-CN"/>
              </w:rPr>
              <w:t>2.70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302</w:t>
            </w:r>
          </w:p>
        </w:tc>
        <w:tc>
          <w:tcPr>
            <w:tcW w:w="57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02</w:t>
            </w:r>
          </w:p>
        </w:tc>
        <w:tc>
          <w:tcPr>
            <w:tcW w:w="289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印刷费</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0.65</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lang w:val="en-US" w:eastAsia="zh-CN"/>
              </w:rPr>
              <w:t>0.65</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302</w:t>
            </w:r>
          </w:p>
        </w:tc>
        <w:tc>
          <w:tcPr>
            <w:tcW w:w="57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05</w:t>
            </w:r>
          </w:p>
        </w:tc>
        <w:tc>
          <w:tcPr>
            <w:tcW w:w="289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水费</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0.59</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lang w:val="en-US" w:eastAsia="zh-CN"/>
              </w:rPr>
              <w:t>0.59</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302</w:t>
            </w:r>
          </w:p>
        </w:tc>
        <w:tc>
          <w:tcPr>
            <w:tcW w:w="57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06</w:t>
            </w:r>
          </w:p>
        </w:tc>
        <w:tc>
          <w:tcPr>
            <w:tcW w:w="289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电费</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0.70</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lang w:val="en-US" w:eastAsia="zh-CN"/>
              </w:rPr>
              <w:t>0.70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302</w:t>
            </w:r>
          </w:p>
        </w:tc>
        <w:tc>
          <w:tcPr>
            <w:tcW w:w="57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07</w:t>
            </w:r>
          </w:p>
        </w:tc>
        <w:tc>
          <w:tcPr>
            <w:tcW w:w="289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邮电费</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0.76</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lang w:val="en-US" w:eastAsia="zh-CN"/>
              </w:rPr>
              <w:t>0.76</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302</w:t>
            </w:r>
          </w:p>
        </w:tc>
        <w:tc>
          <w:tcPr>
            <w:tcW w:w="57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28</w:t>
            </w:r>
          </w:p>
        </w:tc>
        <w:tc>
          <w:tcPr>
            <w:tcW w:w="289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工会经费</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0.04</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lang w:val="en-US" w:eastAsia="zh-CN"/>
              </w:rPr>
              <w:t>0.04</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302</w:t>
            </w:r>
          </w:p>
        </w:tc>
        <w:tc>
          <w:tcPr>
            <w:tcW w:w="57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29</w:t>
            </w:r>
          </w:p>
        </w:tc>
        <w:tc>
          <w:tcPr>
            <w:tcW w:w="289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福利费</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0.03</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lang w:val="en-US" w:eastAsia="zh-CN"/>
              </w:rPr>
              <w:t>0.03</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303</w:t>
            </w:r>
          </w:p>
        </w:tc>
        <w:tc>
          <w:tcPr>
            <w:tcW w:w="57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p>
        </w:tc>
        <w:tc>
          <w:tcPr>
            <w:tcW w:w="289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对个人和家庭的补助</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1.83</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lang w:val="en-US" w:eastAsia="zh-CN"/>
              </w:rPr>
              <w:t>1.83</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303</w:t>
            </w:r>
          </w:p>
        </w:tc>
        <w:tc>
          <w:tcPr>
            <w:tcW w:w="57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02</w:t>
            </w:r>
          </w:p>
        </w:tc>
        <w:tc>
          <w:tcPr>
            <w:tcW w:w="289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退休费</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1.83</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lang w:val="en-US" w:eastAsia="zh-CN"/>
              </w:rPr>
              <w:t>1.83</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289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合  计</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294.06</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288.59</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5.47</w:t>
            </w: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3"/>
        <w:rPr>
          <w:rFonts w:hint="eastAsia"/>
          <w:lang w:val="en-US" w:eastAsia="zh-CN"/>
        </w:rPr>
      </w:pPr>
    </w:p>
    <w:p>
      <w:pPr>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表7</w:t>
      </w:r>
    </w:p>
    <w:tbl>
      <w:tblPr>
        <w:tblStyle w:val="10"/>
        <w:tblW w:w="9540" w:type="dxa"/>
        <w:tblInd w:w="-360" w:type="dxa"/>
        <w:tblLayout w:type="autofit"/>
        <w:tblCellMar>
          <w:top w:w="0" w:type="dxa"/>
          <w:left w:w="108" w:type="dxa"/>
          <w:bottom w:w="0" w:type="dxa"/>
          <w:right w:w="108" w:type="dxa"/>
        </w:tblCellMar>
      </w:tblPr>
      <w:tblGrid>
        <w:gridCol w:w="8"/>
        <w:gridCol w:w="409"/>
        <w:gridCol w:w="417"/>
        <w:gridCol w:w="417"/>
        <w:gridCol w:w="828"/>
        <w:gridCol w:w="1400"/>
        <w:gridCol w:w="732"/>
        <w:gridCol w:w="561"/>
        <w:gridCol w:w="530"/>
        <w:gridCol w:w="639"/>
        <w:gridCol w:w="639"/>
        <w:gridCol w:w="618"/>
        <w:gridCol w:w="419"/>
        <w:gridCol w:w="618"/>
        <w:gridCol w:w="420"/>
        <w:gridCol w:w="420"/>
        <w:gridCol w:w="388"/>
        <w:gridCol w:w="77"/>
      </w:tblGrid>
      <w:tr>
        <w:tblPrEx>
          <w:tblCellMar>
            <w:top w:w="0" w:type="dxa"/>
            <w:left w:w="108" w:type="dxa"/>
            <w:bottom w:w="0" w:type="dxa"/>
            <w:right w:w="108" w:type="dxa"/>
          </w:tblCellMar>
        </w:tblPrEx>
        <w:trPr>
          <w:gridBefore w:val="1"/>
          <w:gridAfter w:val="1"/>
          <w:wBefore w:w="8" w:type="dxa"/>
          <w:wAfter w:w="77" w:type="dxa"/>
          <w:trHeight w:val="375" w:hRule="atLeast"/>
        </w:trPr>
        <w:tc>
          <w:tcPr>
            <w:tcW w:w="9455" w:type="dxa"/>
            <w:gridSpan w:val="16"/>
            <w:tcBorders>
              <w:top w:val="nil"/>
              <w:left w:val="nil"/>
              <w:bottom w:val="nil"/>
              <w:right w:val="nil"/>
            </w:tcBorders>
            <w:noWrap w:val="0"/>
            <w:vAlign w:val="center"/>
          </w:tcPr>
          <w:p>
            <w:pPr>
              <w:widowControl/>
              <w:jc w:val="center"/>
              <w:rPr>
                <w:rFonts w:hint="eastAsia" w:ascii="方正小标宋_GBK" w:hAnsi="方正小标宋_GBK" w:eastAsia="方正小标宋_GBK" w:cs="方正小标宋_GBK"/>
                <w:b w:val="0"/>
                <w:bCs w:val="0"/>
                <w:color w:val="auto"/>
                <w:kern w:val="0"/>
                <w:sz w:val="32"/>
                <w:szCs w:val="32"/>
                <w:highlight w:val="none"/>
              </w:rPr>
            </w:pPr>
            <w:r>
              <w:rPr>
                <w:rFonts w:hint="eastAsia" w:ascii="仿宋_GB2312" w:hAnsi="宋体" w:eastAsia="仿宋_GB2312"/>
                <w:b/>
                <w:color w:val="auto"/>
                <w:kern w:val="0"/>
                <w:sz w:val="32"/>
                <w:szCs w:val="32"/>
                <w:highlight w:val="none"/>
              </w:rPr>
              <w:t>一般公共预算项目支出情况表</w:t>
            </w:r>
          </w:p>
        </w:tc>
      </w:tr>
      <w:tr>
        <w:tblPrEx>
          <w:tblCellMar>
            <w:top w:w="0" w:type="dxa"/>
            <w:left w:w="108" w:type="dxa"/>
            <w:bottom w:w="0" w:type="dxa"/>
            <w:right w:w="108" w:type="dxa"/>
          </w:tblCellMar>
        </w:tblPrEx>
        <w:trPr>
          <w:gridBefore w:val="1"/>
          <w:gridAfter w:val="1"/>
          <w:wBefore w:w="8" w:type="dxa"/>
          <w:wAfter w:w="77" w:type="dxa"/>
          <w:trHeight w:val="405" w:hRule="atLeast"/>
        </w:trPr>
        <w:tc>
          <w:tcPr>
            <w:tcW w:w="9455" w:type="dxa"/>
            <w:gridSpan w:val="16"/>
            <w:tcBorders>
              <w:top w:val="nil"/>
              <w:left w:val="nil"/>
              <w:bottom w:val="nil"/>
              <w:right w:val="nil"/>
            </w:tcBorders>
            <w:noWrap w:val="0"/>
            <w:vAlign w:val="center"/>
          </w:tcPr>
          <w:p>
            <w:pPr>
              <w:widowControl/>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编制单位：</w:t>
            </w:r>
            <w:r>
              <w:rPr>
                <w:rFonts w:hint="eastAsia" w:ascii="仿宋_GB2312" w:hAnsi="宋体" w:eastAsia="仿宋_GB2312"/>
                <w:color w:val="auto"/>
                <w:kern w:val="0"/>
                <w:sz w:val="24"/>
                <w:highlight w:val="none"/>
                <w:lang w:val="en-US" w:eastAsia="zh-CN"/>
              </w:rPr>
              <w:t>焉耆回族自治县市政工程维护管理处</w:t>
            </w:r>
            <w:r>
              <w:rPr>
                <w:rFonts w:hint="eastAsia" w:ascii="仿宋_GB2312" w:hAnsi="宋体" w:eastAsia="仿宋_GB2312"/>
                <w:color w:val="auto"/>
                <w:kern w:val="0"/>
                <w:sz w:val="24"/>
                <w:highlight w:val="none"/>
              </w:rPr>
              <w:t xml:space="preserve"> </w:t>
            </w:r>
            <w:r>
              <w:rPr>
                <w:rFonts w:hint="eastAsia" w:ascii="仿宋_GB2312" w:hAnsi="宋体" w:eastAsia="仿宋_GB2312"/>
                <w:color w:val="auto"/>
                <w:kern w:val="0"/>
                <w:sz w:val="24"/>
                <w:highlight w:val="none"/>
                <w:lang w:val="en-US" w:eastAsia="zh-CN"/>
              </w:rPr>
              <w:t xml:space="preserve">                    </w:t>
            </w:r>
            <w:r>
              <w:rPr>
                <w:rFonts w:hint="eastAsia" w:ascii="仿宋_GB2312" w:hAnsi="宋体" w:eastAsia="仿宋_GB2312" w:cs="宋体"/>
                <w:color w:val="auto"/>
                <w:kern w:val="0"/>
                <w:sz w:val="24"/>
                <w:highlight w:val="none"/>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51" w:type="dxa"/>
            <w:gridSpan w:val="4"/>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科 目 编 码</w:t>
            </w:r>
          </w:p>
        </w:tc>
        <w:tc>
          <w:tcPr>
            <w:tcW w:w="828" w:type="dxa"/>
            <w:vMerge w:val="restart"/>
            <w:noWrap w:val="0"/>
            <w:vAlign w:val="center"/>
          </w:tcPr>
          <w:p>
            <w:pPr>
              <w:widowControl/>
              <w:jc w:val="center"/>
              <w:outlineLvl w:val="1"/>
              <w:rPr>
                <w:rFonts w:hint="eastAsia"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科目</w:t>
            </w:r>
          </w:p>
          <w:p>
            <w:pPr>
              <w:widowControl/>
              <w:jc w:val="center"/>
              <w:outlineLvl w:val="1"/>
              <w:rPr>
                <w:rFonts w:hint="eastAsia" w:ascii="仿宋_GB2312" w:hAnsi="宋体" w:eastAsia="仿宋_GB2312"/>
                <w:b/>
                <w:color w:val="auto"/>
                <w:kern w:val="0"/>
                <w:sz w:val="20"/>
                <w:szCs w:val="20"/>
                <w:highlight w:val="none"/>
                <w:lang w:eastAsia="zh-CN"/>
              </w:rPr>
            </w:pPr>
            <w:r>
              <w:rPr>
                <w:rFonts w:hint="eastAsia" w:ascii="仿宋_GB2312" w:hAnsi="宋体" w:eastAsia="仿宋_GB2312"/>
                <w:b/>
                <w:color w:val="auto"/>
                <w:kern w:val="0"/>
                <w:sz w:val="20"/>
                <w:szCs w:val="20"/>
                <w:highlight w:val="none"/>
                <w:lang w:eastAsia="zh-CN"/>
              </w:rPr>
              <w:t>名称</w:t>
            </w:r>
          </w:p>
        </w:tc>
        <w:tc>
          <w:tcPr>
            <w:tcW w:w="1400" w:type="dxa"/>
            <w:vMerge w:val="restart"/>
            <w:noWrap w:val="0"/>
            <w:vAlign w:val="center"/>
          </w:tcPr>
          <w:p>
            <w:pPr>
              <w:jc w:val="center"/>
              <w:rPr>
                <w:rFonts w:ascii="Calibri" w:hAnsi="Calibri"/>
                <w:color w:val="auto"/>
                <w:sz w:val="20"/>
                <w:szCs w:val="20"/>
                <w:highlight w:val="none"/>
              </w:rPr>
            </w:pPr>
            <w:r>
              <w:rPr>
                <w:rFonts w:hint="eastAsia" w:ascii="仿宋_GB2312" w:hAnsi="宋体" w:eastAsia="仿宋_GB2312"/>
                <w:b/>
                <w:color w:val="auto"/>
                <w:kern w:val="0"/>
                <w:sz w:val="20"/>
                <w:szCs w:val="20"/>
                <w:highlight w:val="none"/>
              </w:rPr>
              <w:t>项目名称</w:t>
            </w:r>
          </w:p>
        </w:tc>
        <w:tc>
          <w:tcPr>
            <w:tcW w:w="732"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项目支出合计</w:t>
            </w:r>
          </w:p>
        </w:tc>
        <w:tc>
          <w:tcPr>
            <w:tcW w:w="561"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工资福利支出</w:t>
            </w:r>
          </w:p>
        </w:tc>
        <w:tc>
          <w:tcPr>
            <w:tcW w:w="530"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商品和服务支出</w:t>
            </w:r>
          </w:p>
        </w:tc>
        <w:tc>
          <w:tcPr>
            <w:tcW w:w="639"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对个人和家庭的补助</w:t>
            </w:r>
          </w:p>
        </w:tc>
        <w:tc>
          <w:tcPr>
            <w:tcW w:w="639"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债务利息及费用支出</w:t>
            </w:r>
          </w:p>
        </w:tc>
        <w:tc>
          <w:tcPr>
            <w:tcW w:w="618"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资本性支出（基本建设）</w:t>
            </w:r>
          </w:p>
        </w:tc>
        <w:tc>
          <w:tcPr>
            <w:tcW w:w="419"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资本性支出</w:t>
            </w:r>
          </w:p>
        </w:tc>
        <w:tc>
          <w:tcPr>
            <w:tcW w:w="618"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对企业补助（基本建设）</w:t>
            </w:r>
          </w:p>
        </w:tc>
        <w:tc>
          <w:tcPr>
            <w:tcW w:w="420"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对企业补助</w:t>
            </w:r>
          </w:p>
        </w:tc>
        <w:tc>
          <w:tcPr>
            <w:tcW w:w="420"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对社会保障基金补助</w:t>
            </w:r>
          </w:p>
        </w:tc>
        <w:tc>
          <w:tcPr>
            <w:tcW w:w="465" w:type="dxa"/>
            <w:gridSpan w:val="2"/>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417" w:type="dxa"/>
            <w:gridSpan w:val="2"/>
            <w:tcBorders>
              <w:bottom w:val="single" w:color="auto" w:sz="4" w:space="0"/>
            </w:tcBorders>
            <w:noWrap w:val="0"/>
            <w:vAlign w:val="center"/>
          </w:tcPr>
          <w:p>
            <w:pPr>
              <w:widowControl/>
              <w:jc w:val="left"/>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类</w:t>
            </w:r>
          </w:p>
        </w:tc>
        <w:tc>
          <w:tcPr>
            <w:tcW w:w="417" w:type="dxa"/>
            <w:tcBorders>
              <w:bottom w:val="single" w:color="auto" w:sz="4" w:space="0"/>
            </w:tcBorders>
            <w:noWrap w:val="0"/>
            <w:vAlign w:val="center"/>
          </w:tcPr>
          <w:p>
            <w:pPr>
              <w:widowControl/>
              <w:jc w:val="left"/>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款</w:t>
            </w:r>
          </w:p>
        </w:tc>
        <w:tc>
          <w:tcPr>
            <w:tcW w:w="417" w:type="dxa"/>
            <w:tcBorders>
              <w:bottom w:val="single" w:color="auto" w:sz="4" w:space="0"/>
            </w:tcBorders>
            <w:noWrap w:val="0"/>
            <w:vAlign w:val="center"/>
          </w:tcPr>
          <w:p>
            <w:pPr>
              <w:widowControl/>
              <w:jc w:val="left"/>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项</w:t>
            </w:r>
          </w:p>
        </w:tc>
        <w:tc>
          <w:tcPr>
            <w:tcW w:w="828" w:type="dxa"/>
            <w:vMerge w:val="continue"/>
            <w:tcBorders>
              <w:bottom w:val="single" w:color="auto" w:sz="4" w:space="0"/>
            </w:tcBorders>
            <w:noWrap w:val="0"/>
            <w:vAlign w:val="center"/>
          </w:tcPr>
          <w:p>
            <w:pPr>
              <w:widowControl/>
              <w:jc w:val="left"/>
              <w:outlineLvl w:val="1"/>
              <w:rPr>
                <w:rFonts w:ascii="仿宋_GB2312" w:hAnsi="宋体" w:eastAsia="仿宋_GB2312"/>
                <w:b/>
                <w:color w:val="auto"/>
                <w:kern w:val="0"/>
                <w:sz w:val="20"/>
                <w:szCs w:val="20"/>
                <w:highlight w:val="none"/>
              </w:rPr>
            </w:pPr>
          </w:p>
        </w:tc>
        <w:tc>
          <w:tcPr>
            <w:tcW w:w="1400"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732"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561"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530"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639"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639"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618"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419"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618"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420"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420"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465" w:type="dxa"/>
            <w:gridSpan w:val="2"/>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hint="eastAsia" w:ascii="仿宋_GB2312" w:hAnsi="宋体" w:eastAsia="仿宋_GB2312"/>
                <w:color w:val="auto"/>
                <w:kern w:val="0"/>
                <w:sz w:val="32"/>
                <w:szCs w:val="32"/>
                <w:highlight w:val="none"/>
                <w:lang w:eastAsia="zh-Hans"/>
              </w:rPr>
            </w:pP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p>
        </w:tc>
        <w:tc>
          <w:tcPr>
            <w:tcW w:w="82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4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32"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61"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3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5"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82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4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32"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61"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3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5"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82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4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32"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61"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3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5"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82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4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32"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61"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3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5"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82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4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32"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61"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3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5"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82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4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32"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61"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3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5"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82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4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32"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61"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3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5"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82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4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32"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61"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3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5"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82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4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32"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61"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3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5"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82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4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32"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61"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3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5"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82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4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32"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61"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3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5"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82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400" w:type="dxa"/>
            <w:noWrap w:val="0"/>
            <w:vAlign w:val="center"/>
          </w:tcPr>
          <w:p>
            <w:pPr>
              <w:widowControl/>
              <w:jc w:val="center"/>
              <w:outlineLvl w:val="1"/>
              <w:rPr>
                <w:rFonts w:ascii="仿宋_GB2312" w:hAnsi="宋体" w:eastAsia="仿宋_GB2312"/>
                <w:color w:val="auto"/>
                <w:kern w:val="0"/>
                <w:sz w:val="32"/>
                <w:szCs w:val="32"/>
                <w:highlight w:val="none"/>
              </w:rPr>
            </w:pPr>
            <w:r>
              <w:rPr>
                <w:rFonts w:hint="eastAsia" w:ascii="仿宋_GB2312" w:hAnsi="宋体" w:eastAsia="仿宋_GB2312"/>
                <w:b/>
                <w:bCs/>
                <w:color w:val="auto"/>
                <w:kern w:val="0"/>
                <w:sz w:val="20"/>
                <w:szCs w:val="20"/>
                <w:highlight w:val="none"/>
              </w:rPr>
              <w:t>合 计</w:t>
            </w:r>
          </w:p>
        </w:tc>
        <w:tc>
          <w:tcPr>
            <w:tcW w:w="732" w:type="dxa"/>
            <w:noWrap w:val="0"/>
            <w:vAlign w:val="center"/>
          </w:tcPr>
          <w:p>
            <w:pPr>
              <w:widowControl/>
              <w:jc w:val="center"/>
              <w:outlineLvl w:val="1"/>
              <w:rPr>
                <w:rFonts w:ascii="仿宋_GB2312" w:hAnsi="宋体" w:eastAsia="仿宋_GB2312"/>
                <w:color w:val="auto"/>
                <w:kern w:val="0"/>
                <w:szCs w:val="21"/>
                <w:highlight w:val="none"/>
              </w:rPr>
            </w:pPr>
          </w:p>
        </w:tc>
        <w:tc>
          <w:tcPr>
            <w:tcW w:w="561"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3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5"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bl>
    <w:p>
      <w:pPr>
        <w:widowControl/>
        <w:outlineLvl w:val="1"/>
        <w:rPr>
          <w:rFonts w:hint="eastAsia" w:ascii="宋体" w:hAnsi="宋体" w:eastAsia="宋体" w:cs="宋体"/>
          <w:i w:val="0"/>
          <w:color w:val="auto"/>
          <w:kern w:val="0"/>
          <w:sz w:val="20"/>
          <w:szCs w:val="20"/>
          <w:highlight w:val="none"/>
          <w:u w:val="none"/>
          <w:lang w:val="en-US" w:eastAsia="zh-CN" w:bidi="ar"/>
        </w:rPr>
      </w:pPr>
      <w:r>
        <w:rPr>
          <w:rFonts w:hint="eastAsia" w:ascii="仿宋_GB2312" w:hAnsi="宋体" w:eastAsia="仿宋_GB2312"/>
          <w:b/>
          <w:color w:val="auto"/>
          <w:kern w:val="0"/>
          <w:sz w:val="28"/>
          <w:szCs w:val="32"/>
          <w:highlight w:val="none"/>
        </w:rPr>
        <w:t>备注：</w:t>
      </w:r>
      <w:r>
        <w:rPr>
          <w:rFonts w:hint="default" w:ascii="Times New Roman" w:hAnsi="Times New Roman" w:eastAsia="仿宋_GB2312" w:cs="Times New Roman"/>
          <w:b/>
          <w:sz w:val="28"/>
        </w:rPr>
        <w:t>202</w:t>
      </w:r>
      <w:r>
        <w:rPr>
          <w:rFonts w:hint="eastAsia" w:eastAsia="仿宋_GB2312" w:cs="Times New Roman"/>
          <w:b/>
          <w:sz w:val="28"/>
          <w:lang w:val="en-US" w:eastAsia="zh-CN"/>
        </w:rPr>
        <w:t>5</w:t>
      </w:r>
      <w:r>
        <w:rPr>
          <w:rFonts w:hint="default" w:ascii="Times New Roman" w:hAnsi="Times New Roman" w:eastAsia="仿宋_GB2312" w:cs="Times New Roman"/>
          <w:b/>
          <w:sz w:val="28"/>
        </w:rPr>
        <w:t>年</w:t>
      </w:r>
      <w:r>
        <w:rPr>
          <w:rFonts w:hint="eastAsia" w:ascii="仿宋_GB2312" w:hAnsi="宋体" w:eastAsia="仿宋_GB2312"/>
          <w:b/>
          <w:color w:val="auto"/>
          <w:kern w:val="0"/>
          <w:sz w:val="28"/>
          <w:szCs w:val="32"/>
          <w:highlight w:val="none"/>
          <w:lang w:eastAsia="zh-CN"/>
        </w:rPr>
        <w:t>本单位</w:t>
      </w:r>
      <w:r>
        <w:rPr>
          <w:rFonts w:hint="eastAsia" w:ascii="仿宋_GB2312" w:hAnsi="宋体" w:eastAsia="仿宋_GB2312" w:cs="Times New Roman"/>
          <w:b/>
          <w:sz w:val="28"/>
          <w:lang w:val="en-US" w:eastAsia="zh-CN"/>
        </w:rPr>
        <w:t>无一般公共</w:t>
      </w:r>
      <w:r>
        <w:rPr>
          <w:rFonts w:hint="eastAsia" w:ascii="仿宋_GB2312" w:hAnsi="宋体" w:eastAsia="仿宋_GB2312" w:cs="Times New Roman"/>
          <w:b/>
          <w:sz w:val="28"/>
        </w:rPr>
        <w:t>预算项目支出，</w:t>
      </w:r>
      <w:r>
        <w:rPr>
          <w:rFonts w:hint="eastAsia" w:ascii="仿宋_GB2312" w:hAnsi="宋体" w:eastAsia="仿宋_GB2312" w:cs="Times New Roman"/>
          <w:b/>
          <w:sz w:val="28"/>
          <w:lang w:val="en-US" w:eastAsia="zh-CN"/>
        </w:rPr>
        <w:t>此</w:t>
      </w:r>
      <w:r>
        <w:rPr>
          <w:rFonts w:hint="eastAsia" w:ascii="仿宋_GB2312" w:hAnsi="宋体" w:eastAsia="仿宋_GB2312" w:cs="Times New Roman"/>
          <w:b/>
          <w:sz w:val="28"/>
        </w:rPr>
        <w:t>表为空表</w:t>
      </w:r>
      <w:r>
        <w:rPr>
          <w:rFonts w:hint="eastAsia" w:ascii="仿宋_GB2312" w:hAnsi="宋体" w:eastAsia="仿宋_GB2312"/>
          <w:b/>
          <w:color w:val="auto"/>
          <w:kern w:val="0"/>
          <w:sz w:val="28"/>
          <w:szCs w:val="32"/>
          <w:highlight w:val="none"/>
        </w:rPr>
        <w:t>。</w:t>
      </w: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pStyle w:val="3"/>
        <w:rPr>
          <w:rFonts w:hint="eastAsia" w:ascii="宋体" w:hAnsi="宋体" w:eastAsia="宋体" w:cs="宋体"/>
          <w:i w:val="0"/>
          <w:color w:val="auto"/>
          <w:kern w:val="0"/>
          <w:sz w:val="20"/>
          <w:szCs w:val="20"/>
          <w:highlight w:val="none"/>
          <w:u w:val="none"/>
          <w:lang w:val="en-US" w:eastAsia="zh-CN" w:bidi="ar"/>
        </w:rPr>
      </w:pPr>
    </w:p>
    <w:p>
      <w:pPr>
        <w:rPr>
          <w:rFonts w:hint="eastAsia" w:ascii="宋体" w:hAnsi="宋体" w:eastAsia="宋体" w:cs="宋体"/>
          <w:i w:val="0"/>
          <w:color w:val="auto"/>
          <w:kern w:val="0"/>
          <w:sz w:val="20"/>
          <w:szCs w:val="20"/>
          <w:highlight w:val="none"/>
          <w:u w:val="none"/>
          <w:lang w:val="en-US" w:eastAsia="zh-CN" w:bidi="ar"/>
        </w:rPr>
      </w:pPr>
    </w:p>
    <w:p>
      <w:pPr>
        <w:pStyle w:val="2"/>
        <w:rPr>
          <w:rFonts w:hint="eastAsia"/>
          <w:lang w:val="en-US" w:eastAsia="zh-CN"/>
        </w:rPr>
      </w:pPr>
    </w:p>
    <w:p>
      <w:pPr>
        <w:rPr>
          <w:rFonts w:hint="eastAsia"/>
          <w:lang w:val="en-US" w:eastAsia="zh-CN"/>
        </w:rPr>
      </w:pPr>
    </w:p>
    <w:p>
      <w:pPr>
        <w:keepNext w:val="0"/>
        <w:keepLines w:val="0"/>
        <w:widowControl/>
        <w:suppressLineNumbers w:val="0"/>
        <w:jc w:val="left"/>
        <w:textAlignment w:val="bottom"/>
        <w:rPr>
          <w:rFonts w:hint="default" w:ascii="宋体" w:hAnsi="宋体" w:eastAsia="宋体" w:cs="宋体"/>
          <w:i w:val="0"/>
          <w:color w:val="auto"/>
          <w:kern w:val="0"/>
          <w:sz w:val="20"/>
          <w:szCs w:val="20"/>
          <w:highlight w:val="none"/>
          <w:u w:val="none"/>
          <w:lang w:eastAsia="zh-CN" w:bidi="ar"/>
        </w:rPr>
      </w:pPr>
      <w:r>
        <w:rPr>
          <w:rFonts w:hint="eastAsia" w:ascii="宋体" w:hAnsi="宋体" w:eastAsia="宋体" w:cs="宋体"/>
          <w:i w:val="0"/>
          <w:color w:val="auto"/>
          <w:kern w:val="0"/>
          <w:sz w:val="20"/>
          <w:szCs w:val="20"/>
          <w:highlight w:val="none"/>
          <w:u w:val="none"/>
          <w:lang w:val="en-US" w:eastAsia="zh-CN" w:bidi="ar"/>
        </w:rPr>
        <w:t>表</w:t>
      </w:r>
      <w:r>
        <w:rPr>
          <w:rFonts w:hint="default" w:ascii="宋体" w:hAnsi="宋体" w:eastAsia="宋体" w:cs="宋体"/>
          <w:i w:val="0"/>
          <w:color w:val="auto"/>
          <w:kern w:val="0"/>
          <w:sz w:val="20"/>
          <w:szCs w:val="20"/>
          <w:highlight w:val="none"/>
          <w:u w:val="none"/>
          <w:lang w:eastAsia="zh-CN" w:bidi="ar"/>
        </w:rPr>
        <w:t>8</w:t>
      </w:r>
    </w:p>
    <w:p>
      <w:pPr>
        <w:widowControl/>
        <w:jc w:val="cente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lang w:val="en-US" w:eastAsia="zh-CN"/>
        </w:rPr>
        <w:t>政府性基金预算支出</w:t>
      </w:r>
      <w:r>
        <w:rPr>
          <w:rFonts w:hint="eastAsia" w:ascii="仿宋_GB2312" w:hAnsi="宋体" w:eastAsia="仿宋_GB2312"/>
          <w:b/>
          <w:color w:val="auto"/>
          <w:kern w:val="0"/>
          <w:sz w:val="32"/>
          <w:szCs w:val="32"/>
          <w:highlight w:val="none"/>
        </w:rPr>
        <w:t>情况表</w:t>
      </w:r>
    </w:p>
    <w:p>
      <w:pPr>
        <w:widowControl/>
        <w:spacing w:line="280" w:lineRule="exact"/>
        <w:outlineLvl w:val="1"/>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 xml:space="preserve">编制单位： </w:t>
      </w:r>
      <w:r>
        <w:rPr>
          <w:rFonts w:hint="eastAsia" w:ascii="仿宋_GB2312" w:hAnsi="宋体" w:eastAsia="仿宋_GB2312"/>
          <w:color w:val="auto"/>
          <w:kern w:val="0"/>
          <w:sz w:val="24"/>
          <w:highlight w:val="none"/>
          <w:lang w:val="en-US" w:eastAsia="zh-CN"/>
        </w:rPr>
        <w:t>焉耆回族自治县市政工程维护管理处</w:t>
      </w:r>
      <w:r>
        <w:rPr>
          <w:rFonts w:hint="eastAsia" w:ascii="仿宋_GB2312" w:hAnsi="宋体" w:eastAsia="仿宋_GB2312"/>
          <w:color w:val="auto"/>
          <w:kern w:val="0"/>
          <w:sz w:val="24"/>
          <w:highlight w:val="none"/>
        </w:rPr>
        <w:t xml:space="preserve">               单位：万元</w:t>
      </w:r>
    </w:p>
    <w:tbl>
      <w:tblPr>
        <w:tblStyle w:val="10"/>
        <w:tblW w:w="9214" w:type="dxa"/>
        <w:tblInd w:w="-34" w:type="dxa"/>
        <w:tblLayout w:type="autofit"/>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lang w:val="en-US" w:eastAsia="zh-CN"/>
              </w:rPr>
              <w:t>科</w:t>
            </w:r>
            <w:r>
              <w:rPr>
                <w:rFonts w:hint="eastAsia" w:ascii="仿宋_GB2312" w:hAnsi="宋体" w:eastAsia="仿宋_GB2312" w:cs="宋体"/>
                <w:b/>
                <w:bCs/>
                <w:color w:val="auto"/>
                <w:kern w:val="0"/>
                <w:sz w:val="24"/>
                <w:highlight w:val="none"/>
              </w:rPr>
              <w:t xml:space="preserve">  目</w:t>
            </w:r>
          </w:p>
        </w:tc>
        <w:tc>
          <w:tcPr>
            <w:tcW w:w="4929" w:type="dxa"/>
            <w:gridSpan w:val="4"/>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szCs w:val="24"/>
                <w:highlight w:val="none"/>
                <w:lang w:val="en-US" w:eastAsia="zh-CN"/>
              </w:rPr>
              <w:t>政府性基金预算</w:t>
            </w:r>
            <w:r>
              <w:rPr>
                <w:rFonts w:hint="eastAsia" w:ascii="仿宋_GB2312" w:hAnsi="宋体" w:eastAsia="仿宋_GB2312" w:cs="宋体"/>
                <w:b/>
                <w:bCs/>
                <w:color w:val="auto"/>
                <w:kern w:val="0"/>
                <w:sz w:val="24"/>
                <w:highlight w:val="none"/>
              </w:rPr>
              <w:t>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功能分类科目编码</w:t>
            </w:r>
          </w:p>
        </w:tc>
        <w:tc>
          <w:tcPr>
            <w:tcW w:w="2357"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功能分类科目名称</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合 计</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157" w:type="dxa"/>
            <w:gridSpan w:val="2"/>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398"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p>
            <w:pPr>
              <w:widowControl/>
              <w:spacing w:line="280" w:lineRule="exact"/>
              <w:jc w:val="center"/>
              <w:rPr>
                <w:rFonts w:hint="eastAsia"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9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类</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款</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c>
          <w:tcPr>
            <w:tcW w:w="1374"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c>
          <w:tcPr>
            <w:tcW w:w="1055"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lang w:val="en-US" w:eastAsia="zh-CN"/>
              </w:rPr>
              <w:t>人员经费</w:t>
            </w:r>
            <w:r>
              <w:rPr>
                <w:rFonts w:hint="eastAsia" w:ascii="仿宋_GB2312" w:hAnsi="宋体" w:eastAsia="仿宋_GB2312" w:cs="宋体"/>
                <w:b/>
                <w:bCs/>
                <w:color w:val="auto"/>
                <w:kern w:val="0"/>
                <w:sz w:val="20"/>
                <w:szCs w:val="20"/>
                <w:highlight w:val="none"/>
              </w:rPr>
              <w:t>　</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lang w:val="en-US" w:eastAsia="zh-CN"/>
              </w:rPr>
              <w:t>公用经费</w:t>
            </w:r>
          </w:p>
        </w:tc>
        <w:tc>
          <w:tcPr>
            <w:tcW w:w="1398"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47"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b/>
                <w:bCs/>
                <w:color w:val="auto"/>
                <w:kern w:val="0"/>
                <w:sz w:val="32"/>
                <w:szCs w:val="32"/>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auto"/>
                <w:kern w:val="0"/>
                <w:sz w:val="24"/>
                <w:highlight w:val="none"/>
              </w:rPr>
            </w:pPr>
            <w:r>
              <w:rPr>
                <w:rFonts w:hint="eastAsia" w:ascii="仿宋_GB2312" w:hAnsi="宋体" w:eastAsia="仿宋_GB2312" w:cs="宋体"/>
                <w:b/>
                <w:bCs/>
                <w:color w:val="auto"/>
                <w:kern w:val="0"/>
                <w:sz w:val="20"/>
                <w:szCs w:val="20"/>
                <w:highlight w:val="none"/>
              </w:rPr>
              <w:t>合  计</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bl>
    <w:p>
      <w:pPr>
        <w:widowControl/>
        <w:spacing w:line="280" w:lineRule="exact"/>
        <w:outlineLvl w:val="1"/>
        <w:rPr>
          <w:rFonts w:hint="eastAsia" w:ascii="仿宋_GB2312" w:hAnsi="宋体" w:eastAsia="仿宋_GB2312"/>
          <w:b/>
          <w:color w:val="auto"/>
          <w:kern w:val="0"/>
          <w:sz w:val="28"/>
          <w:szCs w:val="32"/>
          <w:highlight w:val="none"/>
        </w:rPr>
      </w:pPr>
    </w:p>
    <w:p>
      <w:pPr>
        <w:widowControl/>
        <w:outlineLvl w:val="1"/>
        <w:rPr>
          <w:rFonts w:hint="eastAsia" w:ascii="仿宋_GB2312" w:hAnsi="宋体" w:eastAsia="仿宋_GB2312"/>
          <w:b/>
          <w:color w:val="auto"/>
          <w:kern w:val="0"/>
          <w:sz w:val="28"/>
          <w:szCs w:val="32"/>
          <w:highlight w:val="none"/>
          <w:lang w:val="en-US" w:eastAsia="zh-CN"/>
        </w:rPr>
      </w:pPr>
      <w:r>
        <w:rPr>
          <w:rFonts w:hint="eastAsia" w:ascii="仿宋_GB2312" w:hAnsi="宋体" w:eastAsia="仿宋_GB2312"/>
          <w:b/>
          <w:color w:val="auto"/>
          <w:kern w:val="0"/>
          <w:sz w:val="28"/>
          <w:szCs w:val="32"/>
          <w:highlight w:val="none"/>
          <w:lang w:val="en-US" w:eastAsia="zh-CN"/>
        </w:rPr>
        <w:t>备注：</w:t>
      </w:r>
      <w:r>
        <w:rPr>
          <w:rFonts w:hint="eastAsia" w:ascii="仿宋_GB2312" w:hAnsi="宋体" w:eastAsia="仿宋_GB2312" w:cs="Times New Roman"/>
          <w:b/>
          <w:kern w:val="0"/>
          <w:sz w:val="28"/>
          <w:szCs w:val="32"/>
          <w:highlight w:val="none"/>
        </w:rPr>
        <w:t>202</w:t>
      </w:r>
      <w:r>
        <w:rPr>
          <w:rFonts w:hint="eastAsia" w:ascii="仿宋_GB2312" w:hAnsi="宋体" w:eastAsia="仿宋_GB2312" w:cs="Times New Roman"/>
          <w:b/>
          <w:kern w:val="0"/>
          <w:sz w:val="28"/>
          <w:szCs w:val="32"/>
          <w:highlight w:val="none"/>
          <w:lang w:val="en-US" w:eastAsia="zh-CN"/>
        </w:rPr>
        <w:t>5</w:t>
      </w:r>
      <w:r>
        <w:rPr>
          <w:rFonts w:hint="eastAsia" w:ascii="仿宋_GB2312" w:hAnsi="宋体" w:eastAsia="仿宋_GB2312" w:cs="Times New Roman"/>
          <w:b/>
          <w:kern w:val="0"/>
          <w:sz w:val="28"/>
          <w:szCs w:val="32"/>
          <w:highlight w:val="none"/>
        </w:rPr>
        <w:t>年</w:t>
      </w:r>
      <w:r>
        <w:rPr>
          <w:rFonts w:hint="eastAsia" w:ascii="仿宋_GB2312" w:hAnsi="宋体" w:eastAsia="仿宋_GB2312" w:cs="Times New Roman"/>
          <w:b/>
          <w:kern w:val="0"/>
          <w:sz w:val="28"/>
          <w:szCs w:val="32"/>
          <w:highlight w:val="none"/>
          <w:lang w:eastAsia="zh-CN"/>
        </w:rPr>
        <w:t>本单位无</w:t>
      </w:r>
      <w:r>
        <w:rPr>
          <w:rFonts w:hint="eastAsia" w:ascii="仿宋_GB2312" w:hAnsi="宋体" w:eastAsia="仿宋_GB2312" w:cs="Times New Roman"/>
          <w:b/>
          <w:kern w:val="0"/>
          <w:sz w:val="28"/>
          <w:szCs w:val="32"/>
          <w:highlight w:val="none"/>
        </w:rPr>
        <w:t>政府性基金预算支出，</w:t>
      </w:r>
      <w:r>
        <w:rPr>
          <w:rFonts w:hint="eastAsia" w:ascii="仿宋_GB2312" w:hAnsi="宋体" w:eastAsia="仿宋_GB2312" w:cs="Times New Roman"/>
          <w:b/>
          <w:kern w:val="0"/>
          <w:sz w:val="28"/>
          <w:szCs w:val="32"/>
          <w:highlight w:val="none"/>
          <w:lang w:eastAsia="zh-CN"/>
        </w:rPr>
        <w:t>此</w:t>
      </w:r>
      <w:r>
        <w:rPr>
          <w:rFonts w:hint="eastAsia" w:ascii="仿宋_GB2312" w:hAnsi="宋体" w:eastAsia="仿宋_GB2312" w:cs="Times New Roman"/>
          <w:b/>
          <w:kern w:val="0"/>
          <w:sz w:val="28"/>
          <w:szCs w:val="32"/>
          <w:highlight w:val="none"/>
        </w:rPr>
        <w:t>表为空表</w:t>
      </w:r>
      <w:r>
        <w:rPr>
          <w:rFonts w:hint="eastAsia" w:ascii="仿宋_GB2312" w:hAnsi="宋体" w:eastAsia="仿宋_GB2312" w:cs="Times New Roman"/>
          <w:b/>
          <w:kern w:val="0"/>
          <w:sz w:val="28"/>
          <w:szCs w:val="32"/>
          <w:highlight w:val="none"/>
          <w:lang w:eastAsia="zh-CN"/>
        </w:rPr>
        <w:t>。</w:t>
      </w:r>
    </w:p>
    <w:p>
      <w:pPr>
        <w:widowControl/>
        <w:spacing w:line="280" w:lineRule="exact"/>
        <w:outlineLvl w:val="1"/>
        <w:rPr>
          <w:rFonts w:hint="eastAsia" w:ascii="仿宋_GB2312" w:hAnsi="宋体" w:eastAsia="仿宋_GB2312"/>
          <w:b/>
          <w:color w:val="auto"/>
          <w:kern w:val="0"/>
          <w:sz w:val="28"/>
          <w:szCs w:val="32"/>
          <w:highlight w:val="none"/>
          <w:lang w:val="en-US" w:eastAsia="zh-CN"/>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仿宋_GB2312" w:hAnsi="宋体" w:eastAsia="仿宋_GB2312"/>
          <w:b/>
          <w:color w:val="auto"/>
          <w:kern w:val="0"/>
          <w:sz w:val="28"/>
          <w:szCs w:val="32"/>
          <w:highlight w:val="none"/>
          <w:lang w:val="en-US"/>
        </w:rPr>
      </w:pPr>
      <w:r>
        <w:rPr>
          <w:rFonts w:hint="eastAsia" w:ascii="宋体" w:hAnsi="宋体" w:eastAsia="宋体" w:cs="宋体"/>
          <w:i w:val="0"/>
          <w:color w:val="auto"/>
          <w:kern w:val="0"/>
          <w:sz w:val="20"/>
          <w:szCs w:val="20"/>
          <w:highlight w:val="none"/>
          <w:u w:val="none"/>
          <w:lang w:val="en-US" w:eastAsia="zh-CN" w:bidi="ar"/>
        </w:rPr>
        <w:t>表</w:t>
      </w:r>
      <w:r>
        <w:rPr>
          <w:rFonts w:hint="eastAsia" w:ascii="宋体" w:hAnsi="宋体" w:cs="宋体"/>
          <w:i w:val="0"/>
          <w:color w:val="auto"/>
          <w:kern w:val="0"/>
          <w:sz w:val="20"/>
          <w:szCs w:val="20"/>
          <w:highlight w:val="none"/>
          <w:u w:val="none"/>
          <w:lang w:val="en-US" w:eastAsia="zh-CN" w:bidi="ar"/>
        </w:rPr>
        <w:t>9</w:t>
      </w:r>
    </w:p>
    <w:p>
      <w:pPr>
        <w:widowControl/>
        <w:jc w:val="cente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lang w:val="en-US" w:eastAsia="zh-CN"/>
        </w:rPr>
        <w:t>国有资本经营预算支出</w:t>
      </w:r>
      <w:r>
        <w:rPr>
          <w:rFonts w:hint="eastAsia" w:ascii="仿宋_GB2312" w:hAnsi="宋体" w:eastAsia="仿宋_GB2312"/>
          <w:b/>
          <w:color w:val="auto"/>
          <w:kern w:val="0"/>
          <w:sz w:val="32"/>
          <w:szCs w:val="32"/>
          <w:highlight w:val="none"/>
        </w:rPr>
        <w:t>情况表</w:t>
      </w:r>
    </w:p>
    <w:p>
      <w:pPr>
        <w:widowControl/>
        <w:spacing w:line="280" w:lineRule="exact"/>
        <w:outlineLvl w:val="1"/>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 xml:space="preserve">编制单位： </w:t>
      </w:r>
      <w:r>
        <w:rPr>
          <w:rFonts w:hint="eastAsia" w:ascii="仿宋_GB2312" w:hAnsi="宋体" w:eastAsia="仿宋_GB2312"/>
          <w:color w:val="auto"/>
          <w:kern w:val="0"/>
          <w:sz w:val="24"/>
          <w:highlight w:val="none"/>
          <w:lang w:val="en-US" w:eastAsia="zh-CN"/>
        </w:rPr>
        <w:t>焉耆回族自治县市政工程维护管理处</w:t>
      </w:r>
      <w:r>
        <w:rPr>
          <w:rFonts w:hint="eastAsia" w:ascii="仿宋_GB2312" w:hAnsi="宋体" w:eastAsia="仿宋_GB2312"/>
          <w:color w:val="auto"/>
          <w:kern w:val="0"/>
          <w:sz w:val="24"/>
          <w:highlight w:val="none"/>
        </w:rPr>
        <w:t xml:space="preserve">               单位：万元</w:t>
      </w:r>
    </w:p>
    <w:tbl>
      <w:tblPr>
        <w:tblStyle w:val="10"/>
        <w:tblW w:w="9214" w:type="dxa"/>
        <w:tblInd w:w="-34" w:type="dxa"/>
        <w:tblLayout w:type="autofit"/>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lang w:val="en-US" w:eastAsia="zh-CN"/>
              </w:rPr>
              <w:t>科</w:t>
            </w:r>
            <w:r>
              <w:rPr>
                <w:rFonts w:hint="eastAsia" w:ascii="仿宋_GB2312" w:hAnsi="宋体" w:eastAsia="仿宋_GB2312" w:cs="宋体"/>
                <w:b/>
                <w:bCs/>
                <w:color w:val="auto"/>
                <w:kern w:val="0"/>
                <w:sz w:val="24"/>
                <w:highlight w:val="none"/>
              </w:rPr>
              <w:t xml:space="preserve">  目</w:t>
            </w:r>
          </w:p>
        </w:tc>
        <w:tc>
          <w:tcPr>
            <w:tcW w:w="4929" w:type="dxa"/>
            <w:gridSpan w:val="4"/>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szCs w:val="24"/>
                <w:highlight w:val="none"/>
                <w:lang w:val="en-US" w:eastAsia="zh-CN"/>
              </w:rPr>
              <w:t>国有资本经营预算</w:t>
            </w:r>
            <w:r>
              <w:rPr>
                <w:rFonts w:hint="eastAsia" w:ascii="仿宋_GB2312" w:hAnsi="宋体" w:eastAsia="仿宋_GB2312" w:cs="宋体"/>
                <w:b/>
                <w:bCs/>
                <w:color w:val="auto"/>
                <w:kern w:val="0"/>
                <w:sz w:val="24"/>
                <w:highlight w:val="none"/>
              </w:rPr>
              <w:t>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功能分类科目编码</w:t>
            </w:r>
          </w:p>
        </w:tc>
        <w:tc>
          <w:tcPr>
            <w:tcW w:w="2357"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功能分类科目名称</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合 计</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157" w:type="dxa"/>
            <w:gridSpan w:val="2"/>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398"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p>
            <w:pPr>
              <w:widowControl/>
              <w:spacing w:line="280" w:lineRule="exact"/>
              <w:jc w:val="center"/>
              <w:rPr>
                <w:rFonts w:hint="eastAsia"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312"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类</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款</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c>
          <w:tcPr>
            <w:tcW w:w="1374"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c>
          <w:tcPr>
            <w:tcW w:w="1055"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lang w:val="en-US" w:eastAsia="zh-CN"/>
              </w:rPr>
              <w:t>人员经费</w:t>
            </w:r>
            <w:r>
              <w:rPr>
                <w:rFonts w:hint="eastAsia" w:ascii="仿宋_GB2312" w:hAnsi="宋体" w:eastAsia="仿宋_GB2312" w:cs="宋体"/>
                <w:b/>
                <w:bCs/>
                <w:color w:val="auto"/>
                <w:kern w:val="0"/>
                <w:sz w:val="20"/>
                <w:szCs w:val="20"/>
                <w:highlight w:val="none"/>
              </w:rPr>
              <w:t>　</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both"/>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lang w:val="en-US" w:eastAsia="zh-CN"/>
              </w:rPr>
              <w:t>公用经费</w:t>
            </w:r>
          </w:p>
        </w:tc>
        <w:tc>
          <w:tcPr>
            <w:tcW w:w="1398"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b/>
                <w:bCs/>
                <w:color w:val="auto"/>
                <w:kern w:val="0"/>
                <w:sz w:val="32"/>
                <w:szCs w:val="32"/>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auto"/>
                <w:kern w:val="0"/>
                <w:sz w:val="24"/>
                <w:highlight w:val="none"/>
              </w:rPr>
            </w:pPr>
            <w:r>
              <w:rPr>
                <w:rFonts w:hint="eastAsia" w:ascii="仿宋_GB2312" w:hAnsi="宋体" w:eastAsia="仿宋_GB2312" w:cs="宋体"/>
                <w:b/>
                <w:bCs/>
                <w:color w:val="auto"/>
                <w:kern w:val="0"/>
                <w:sz w:val="20"/>
                <w:szCs w:val="20"/>
                <w:highlight w:val="none"/>
              </w:rPr>
              <w:t>合  计</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bl>
    <w:p>
      <w:pPr>
        <w:widowControl/>
        <w:spacing w:line="280" w:lineRule="exact"/>
        <w:outlineLvl w:val="1"/>
        <w:rPr>
          <w:rFonts w:hint="eastAsia" w:ascii="仿宋_GB2312" w:hAnsi="宋体" w:eastAsia="仿宋_GB2312"/>
          <w:b/>
          <w:color w:val="auto"/>
          <w:kern w:val="0"/>
          <w:sz w:val="28"/>
          <w:szCs w:val="32"/>
          <w:highlight w:val="none"/>
          <w:lang w:eastAsia="zh-CN"/>
        </w:rPr>
      </w:pPr>
    </w:p>
    <w:p>
      <w:pPr>
        <w:widowControl/>
        <w:spacing w:line="280" w:lineRule="exact"/>
        <w:outlineLvl w:val="1"/>
        <w:rPr>
          <w:rFonts w:ascii="仿宋_GB2312" w:hAnsi="宋体" w:eastAsia="仿宋_GB2312"/>
          <w:color w:val="auto"/>
          <w:kern w:val="0"/>
          <w:sz w:val="32"/>
          <w:szCs w:val="32"/>
          <w:highlight w:val="none"/>
        </w:rPr>
      </w:pPr>
      <w:r>
        <w:rPr>
          <w:rFonts w:hint="eastAsia" w:ascii="仿宋_GB2312" w:hAnsi="宋体" w:eastAsia="仿宋_GB2312"/>
          <w:b/>
          <w:color w:val="auto"/>
          <w:kern w:val="0"/>
          <w:sz w:val="28"/>
          <w:szCs w:val="32"/>
          <w:highlight w:val="none"/>
        </w:rPr>
        <w:t>备注：</w:t>
      </w:r>
      <w:r>
        <w:rPr>
          <w:rFonts w:hint="eastAsia" w:ascii="仿宋_GB2312" w:hAnsi="宋体" w:eastAsia="仿宋_GB2312" w:cs="Times New Roman"/>
          <w:b/>
          <w:kern w:val="0"/>
          <w:sz w:val="28"/>
          <w:szCs w:val="32"/>
          <w:highlight w:val="none"/>
          <w:lang w:val="en-US" w:eastAsia="zh-CN"/>
        </w:rPr>
        <w:t>2025年本单位无国有资本经营预算支出，此表为空表。</w:t>
      </w:r>
    </w:p>
    <w:p>
      <w:pPr>
        <w:widowControl/>
        <w:spacing w:line="280" w:lineRule="exact"/>
        <w:outlineLvl w:val="1"/>
        <w:rPr>
          <w:rFonts w:ascii="仿宋_GB2312" w:hAnsi="宋体" w:eastAsia="仿宋_GB2312"/>
          <w:color w:val="auto"/>
          <w:kern w:val="0"/>
          <w:sz w:val="32"/>
          <w:szCs w:val="32"/>
          <w:highlight w:val="none"/>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宋体" w:hAnsi="宋体" w:eastAsia="宋体" w:cs="宋体"/>
          <w:i w:val="0"/>
          <w:color w:val="auto"/>
          <w:kern w:val="0"/>
          <w:sz w:val="20"/>
          <w:szCs w:val="20"/>
          <w:highlight w:val="none"/>
          <w:u w:val="none"/>
          <w:lang w:eastAsia="zh-CN" w:bidi="ar"/>
        </w:rPr>
      </w:pPr>
      <w:r>
        <w:rPr>
          <w:rFonts w:hint="eastAsia" w:ascii="宋体" w:hAnsi="宋体" w:eastAsia="宋体" w:cs="宋体"/>
          <w:i w:val="0"/>
          <w:color w:val="auto"/>
          <w:kern w:val="0"/>
          <w:sz w:val="20"/>
          <w:szCs w:val="20"/>
          <w:highlight w:val="none"/>
          <w:u w:val="none"/>
          <w:lang w:val="en-US" w:eastAsia="zh-CN" w:bidi="ar"/>
        </w:rPr>
        <w:t>表</w:t>
      </w:r>
      <w:r>
        <w:rPr>
          <w:rFonts w:hint="default" w:ascii="宋体" w:hAnsi="宋体" w:eastAsia="宋体" w:cs="宋体"/>
          <w:i w:val="0"/>
          <w:color w:val="auto"/>
          <w:kern w:val="0"/>
          <w:sz w:val="20"/>
          <w:szCs w:val="20"/>
          <w:highlight w:val="none"/>
          <w:u w:val="none"/>
          <w:lang w:eastAsia="zh-CN" w:bidi="ar"/>
        </w:rPr>
        <w:t>10</w:t>
      </w:r>
    </w:p>
    <w:p>
      <w:pPr>
        <w:widowControl/>
        <w:jc w:val="cente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lang w:val="en-US" w:eastAsia="zh-Hans"/>
        </w:rPr>
        <w:t>财政拨款</w:t>
      </w:r>
      <w:r>
        <w:rPr>
          <w:rFonts w:hint="eastAsia" w:ascii="仿宋_GB2312" w:hAnsi="宋体" w:eastAsia="仿宋_GB2312"/>
          <w:b/>
          <w:color w:val="auto"/>
          <w:kern w:val="0"/>
          <w:sz w:val="32"/>
          <w:szCs w:val="32"/>
          <w:highlight w:val="none"/>
        </w:rPr>
        <w:t>“三公”经费支出情况表</w:t>
      </w:r>
    </w:p>
    <w:p>
      <w:pPr>
        <w:widowControl/>
        <w:jc w:val="both"/>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 xml:space="preserve">编制单位： </w:t>
      </w:r>
      <w:r>
        <w:rPr>
          <w:rFonts w:hint="eastAsia" w:ascii="仿宋_GB2312" w:hAnsi="宋体" w:eastAsia="仿宋_GB2312"/>
          <w:color w:val="auto"/>
          <w:kern w:val="0"/>
          <w:sz w:val="24"/>
          <w:highlight w:val="none"/>
          <w:lang w:val="en-US" w:eastAsia="zh-CN"/>
        </w:rPr>
        <w:t>焉耆回族自治县市政工程维护管理处</w:t>
      </w:r>
      <w:r>
        <w:rPr>
          <w:rFonts w:hint="eastAsia" w:ascii="仿宋_GB2312" w:hAnsi="宋体" w:eastAsia="仿宋_GB2312"/>
          <w:color w:val="auto"/>
          <w:kern w:val="0"/>
          <w:sz w:val="24"/>
          <w:highlight w:val="none"/>
        </w:rPr>
        <w:t xml:space="preserve">             单位：万元</w:t>
      </w:r>
    </w:p>
    <w:tbl>
      <w:tblPr>
        <w:tblStyle w:val="11"/>
        <w:tblW w:w="0" w:type="auto"/>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90"/>
        <w:gridCol w:w="1156"/>
        <w:gridCol w:w="1247"/>
        <w:gridCol w:w="1504"/>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vMerge w:val="restart"/>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lang w:eastAsia="zh-CN"/>
              </w:rPr>
              <w:t>“</w:t>
            </w:r>
            <w:r>
              <w:rPr>
                <w:rFonts w:hint="eastAsia" w:ascii="仿宋_GB2312" w:hAnsi="宋体" w:eastAsia="仿宋_GB2312"/>
                <w:b/>
                <w:color w:val="auto"/>
                <w:kern w:val="0"/>
                <w:sz w:val="28"/>
                <w:szCs w:val="32"/>
                <w:highlight w:val="none"/>
                <w:vertAlign w:val="baseline"/>
              </w:rPr>
              <w:t>三公</w:t>
            </w:r>
            <w:r>
              <w:rPr>
                <w:rFonts w:hint="eastAsia" w:ascii="仿宋_GB2312" w:hAnsi="宋体" w:eastAsia="仿宋_GB2312"/>
                <w:b/>
                <w:color w:val="auto"/>
                <w:kern w:val="0"/>
                <w:sz w:val="28"/>
                <w:szCs w:val="32"/>
                <w:highlight w:val="none"/>
                <w:vertAlign w:val="baseline"/>
                <w:lang w:eastAsia="zh-CN"/>
              </w:rPr>
              <w:t>”</w:t>
            </w:r>
            <w:r>
              <w:rPr>
                <w:rFonts w:hint="eastAsia" w:ascii="仿宋_GB2312" w:hAnsi="宋体" w:eastAsia="仿宋_GB2312"/>
                <w:b/>
                <w:color w:val="auto"/>
                <w:kern w:val="0"/>
                <w:sz w:val="28"/>
                <w:szCs w:val="32"/>
                <w:highlight w:val="none"/>
                <w:vertAlign w:val="baseline"/>
                <w:lang w:val="en-US" w:eastAsia="zh-CN"/>
              </w:rPr>
              <w:t>经费</w:t>
            </w:r>
            <w:r>
              <w:rPr>
                <w:rFonts w:hint="eastAsia" w:ascii="仿宋_GB2312" w:hAnsi="宋体" w:eastAsia="仿宋_GB2312"/>
                <w:b/>
                <w:color w:val="auto"/>
                <w:kern w:val="0"/>
                <w:sz w:val="28"/>
                <w:szCs w:val="32"/>
                <w:highlight w:val="none"/>
                <w:vertAlign w:val="baseline"/>
              </w:rPr>
              <w:t>支出内容</w:t>
            </w:r>
          </w:p>
        </w:tc>
        <w:tc>
          <w:tcPr>
            <w:tcW w:w="1156" w:type="dxa"/>
            <w:vMerge w:val="restart"/>
            <w:noWrap w:val="0"/>
            <w:vAlign w:val="center"/>
          </w:tcPr>
          <w:p>
            <w:pPr>
              <w:widowControl/>
              <w:jc w:val="center"/>
              <w:outlineLvl w:val="1"/>
              <w:rPr>
                <w:rFonts w:hint="eastAsia" w:ascii="仿宋_GB2312" w:hAnsi="宋体" w:eastAsia="仿宋_GB2312"/>
                <w:b/>
                <w:color w:val="auto"/>
                <w:kern w:val="0"/>
                <w:sz w:val="28"/>
                <w:szCs w:val="32"/>
                <w:highlight w:val="none"/>
                <w:vertAlign w:val="baseline"/>
                <w:lang w:val="en-US" w:eastAsia="zh-Hans"/>
              </w:rPr>
            </w:pPr>
            <w:r>
              <w:rPr>
                <w:rFonts w:hint="eastAsia" w:ascii="仿宋_GB2312" w:hAnsi="宋体" w:eastAsia="仿宋_GB2312"/>
                <w:b/>
                <w:color w:val="auto"/>
                <w:kern w:val="0"/>
                <w:sz w:val="28"/>
                <w:szCs w:val="32"/>
                <w:highlight w:val="none"/>
                <w:vertAlign w:val="baseline"/>
                <w:lang w:val="en-US" w:eastAsia="zh-Hans"/>
              </w:rPr>
              <w:t>合计</w:t>
            </w:r>
          </w:p>
        </w:tc>
        <w:tc>
          <w:tcPr>
            <w:tcW w:w="4279" w:type="dxa"/>
            <w:gridSpan w:val="3"/>
            <w:noWrap w:val="0"/>
            <w:vAlign w:val="center"/>
          </w:tcPr>
          <w:p>
            <w:pPr>
              <w:widowControl/>
              <w:jc w:val="center"/>
              <w:outlineLvl w:val="1"/>
              <w:rPr>
                <w:rFonts w:hint="eastAsia" w:ascii="仿宋_GB2312" w:hAnsi="宋体" w:eastAsia="仿宋_GB2312"/>
                <w:b/>
                <w:color w:val="auto"/>
                <w:kern w:val="0"/>
                <w:sz w:val="28"/>
                <w:szCs w:val="32"/>
                <w:highlight w:val="none"/>
                <w:vertAlign w:val="baseline"/>
                <w:lang w:val="en-US" w:eastAsia="zh-Hans"/>
              </w:rPr>
            </w:pPr>
            <w:r>
              <w:rPr>
                <w:rFonts w:hint="eastAsia" w:ascii="仿宋_GB2312" w:hAnsi="宋体" w:eastAsia="仿宋_GB2312"/>
                <w:b/>
                <w:color w:val="auto"/>
                <w:kern w:val="0"/>
                <w:sz w:val="28"/>
                <w:szCs w:val="32"/>
                <w:highlight w:val="none"/>
                <w:vertAlign w:val="baseline"/>
                <w:lang w:val="en-US" w:eastAsia="zh-Hans"/>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vMerge w:val="continue"/>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156" w:type="dxa"/>
            <w:vMerge w:val="continue"/>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247"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lang w:val="en-US" w:eastAsia="zh-Hans"/>
              </w:rPr>
            </w:pPr>
            <w:r>
              <w:rPr>
                <w:rFonts w:hint="eastAsia" w:ascii="仿宋_GB2312" w:hAnsi="宋体" w:eastAsia="仿宋_GB2312"/>
                <w:b/>
                <w:color w:val="auto"/>
                <w:kern w:val="0"/>
                <w:sz w:val="28"/>
                <w:szCs w:val="32"/>
                <w:highlight w:val="none"/>
                <w:vertAlign w:val="baseline"/>
                <w:lang w:val="en-US" w:eastAsia="zh-Hans"/>
              </w:rPr>
              <w:t>一般公共预算</w:t>
            </w:r>
          </w:p>
        </w:tc>
        <w:tc>
          <w:tcPr>
            <w:tcW w:w="1504"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政府性基金</w:t>
            </w:r>
          </w:p>
        </w:tc>
        <w:tc>
          <w:tcPr>
            <w:tcW w:w="1528"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国有资本经营预算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合计</w:t>
            </w:r>
          </w:p>
        </w:tc>
        <w:tc>
          <w:tcPr>
            <w:tcW w:w="1156"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247"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04"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28"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因公出国（境）费</w:t>
            </w:r>
          </w:p>
        </w:tc>
        <w:tc>
          <w:tcPr>
            <w:tcW w:w="1156"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247"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04"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28"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公务接待费</w:t>
            </w:r>
          </w:p>
        </w:tc>
        <w:tc>
          <w:tcPr>
            <w:tcW w:w="1156"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247"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04"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28"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公务用车购置及运行费</w:t>
            </w:r>
          </w:p>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（小计）</w:t>
            </w:r>
          </w:p>
        </w:tc>
        <w:tc>
          <w:tcPr>
            <w:tcW w:w="1156" w:type="dxa"/>
            <w:noWrap w:val="0"/>
            <w:vAlign w:val="top"/>
          </w:tcPr>
          <w:p>
            <w:pPr>
              <w:widowControl/>
              <w:outlineLvl w:val="1"/>
              <w:rPr>
                <w:rFonts w:hint="default" w:ascii="仿宋_GB2312" w:hAnsi="宋体" w:eastAsia="仿宋_GB2312"/>
                <w:b/>
                <w:color w:val="auto"/>
                <w:kern w:val="0"/>
                <w:sz w:val="28"/>
                <w:szCs w:val="32"/>
                <w:highlight w:val="none"/>
                <w:vertAlign w:val="baseline"/>
              </w:rPr>
            </w:pPr>
          </w:p>
        </w:tc>
        <w:tc>
          <w:tcPr>
            <w:tcW w:w="1247" w:type="dxa"/>
            <w:noWrap w:val="0"/>
            <w:vAlign w:val="top"/>
          </w:tcPr>
          <w:p>
            <w:pPr>
              <w:widowControl/>
              <w:outlineLvl w:val="1"/>
              <w:rPr>
                <w:rFonts w:hint="default" w:ascii="仿宋_GB2312" w:hAnsi="宋体" w:eastAsia="仿宋_GB2312"/>
                <w:b/>
                <w:color w:val="auto"/>
                <w:kern w:val="0"/>
                <w:sz w:val="28"/>
                <w:szCs w:val="32"/>
                <w:highlight w:val="none"/>
                <w:vertAlign w:val="baseline"/>
              </w:rPr>
            </w:pPr>
          </w:p>
        </w:tc>
        <w:tc>
          <w:tcPr>
            <w:tcW w:w="1504"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28"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top"/>
          </w:tcPr>
          <w:p>
            <w:pPr>
              <w:widowControl/>
              <w:ind w:firstLine="281" w:firstLineChars="100"/>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其中：公务用车购置费</w:t>
            </w:r>
          </w:p>
        </w:tc>
        <w:tc>
          <w:tcPr>
            <w:tcW w:w="1156" w:type="dxa"/>
            <w:noWrap w:val="0"/>
            <w:vAlign w:val="top"/>
          </w:tcPr>
          <w:p>
            <w:pPr>
              <w:widowControl/>
              <w:outlineLvl w:val="1"/>
              <w:rPr>
                <w:rFonts w:hint="default" w:ascii="仿宋_GB2312" w:hAnsi="宋体" w:eastAsia="仿宋_GB2312"/>
                <w:b/>
                <w:color w:val="auto"/>
                <w:kern w:val="0"/>
                <w:sz w:val="28"/>
                <w:szCs w:val="32"/>
                <w:highlight w:val="none"/>
                <w:vertAlign w:val="baseline"/>
              </w:rPr>
            </w:pPr>
          </w:p>
        </w:tc>
        <w:tc>
          <w:tcPr>
            <w:tcW w:w="1247" w:type="dxa"/>
            <w:noWrap w:val="0"/>
            <w:vAlign w:val="top"/>
          </w:tcPr>
          <w:p>
            <w:pPr>
              <w:widowControl/>
              <w:outlineLvl w:val="1"/>
              <w:rPr>
                <w:rFonts w:hint="default" w:ascii="仿宋_GB2312" w:hAnsi="宋体" w:eastAsia="仿宋_GB2312"/>
                <w:b/>
                <w:color w:val="auto"/>
                <w:kern w:val="0"/>
                <w:sz w:val="28"/>
                <w:szCs w:val="32"/>
                <w:highlight w:val="none"/>
                <w:vertAlign w:val="baseline"/>
              </w:rPr>
            </w:pPr>
          </w:p>
        </w:tc>
        <w:tc>
          <w:tcPr>
            <w:tcW w:w="1504"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28"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top"/>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公务用车运行费</w:t>
            </w:r>
          </w:p>
        </w:tc>
        <w:tc>
          <w:tcPr>
            <w:tcW w:w="1156" w:type="dxa"/>
            <w:noWrap w:val="0"/>
            <w:vAlign w:val="top"/>
          </w:tcPr>
          <w:p>
            <w:pPr>
              <w:widowControl/>
              <w:outlineLvl w:val="1"/>
              <w:rPr>
                <w:rFonts w:hint="default" w:ascii="仿宋_GB2312" w:hAnsi="宋体" w:eastAsia="仿宋_GB2312"/>
                <w:b/>
                <w:color w:val="auto"/>
                <w:kern w:val="0"/>
                <w:sz w:val="28"/>
                <w:szCs w:val="32"/>
                <w:highlight w:val="none"/>
                <w:vertAlign w:val="baseline"/>
              </w:rPr>
            </w:pPr>
          </w:p>
        </w:tc>
        <w:tc>
          <w:tcPr>
            <w:tcW w:w="1247" w:type="dxa"/>
            <w:noWrap w:val="0"/>
            <w:vAlign w:val="top"/>
          </w:tcPr>
          <w:p>
            <w:pPr>
              <w:widowControl/>
              <w:outlineLvl w:val="1"/>
              <w:rPr>
                <w:rFonts w:hint="default" w:ascii="仿宋_GB2312" w:hAnsi="宋体" w:eastAsia="仿宋_GB2312"/>
                <w:b/>
                <w:color w:val="auto"/>
                <w:kern w:val="0"/>
                <w:sz w:val="28"/>
                <w:szCs w:val="32"/>
                <w:highlight w:val="none"/>
                <w:vertAlign w:val="baseline"/>
              </w:rPr>
            </w:pPr>
          </w:p>
        </w:tc>
        <w:tc>
          <w:tcPr>
            <w:tcW w:w="1504"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28"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bl>
    <w:p>
      <w:pPr>
        <w:widowControl/>
        <w:outlineLvl w:val="1"/>
        <w:rPr>
          <w:rFonts w:hint="eastAsia" w:ascii="仿宋_GB2312" w:hAnsi="宋体" w:eastAsia="仿宋_GB2312"/>
          <w:b/>
          <w:color w:val="auto"/>
          <w:kern w:val="0"/>
          <w:sz w:val="28"/>
          <w:szCs w:val="32"/>
          <w:highlight w:val="none"/>
        </w:rPr>
      </w:pPr>
      <w:r>
        <w:rPr>
          <w:rFonts w:hint="eastAsia" w:ascii="仿宋_GB2312" w:hAnsi="宋体" w:eastAsia="仿宋_GB2312"/>
          <w:b/>
          <w:color w:val="auto"/>
          <w:kern w:val="0"/>
          <w:sz w:val="28"/>
          <w:szCs w:val="32"/>
          <w:highlight w:val="none"/>
        </w:rPr>
        <w:t>备注：</w:t>
      </w:r>
      <w:r>
        <w:rPr>
          <w:rFonts w:hint="default" w:ascii="Times New Roman" w:hAnsi="Times New Roman" w:eastAsia="仿宋_GB2312" w:cs="Times New Roman"/>
          <w:b/>
          <w:sz w:val="28"/>
        </w:rPr>
        <w:t>202</w:t>
      </w:r>
      <w:r>
        <w:rPr>
          <w:rFonts w:hint="eastAsia" w:eastAsia="仿宋_GB2312" w:cs="Times New Roman"/>
          <w:b/>
          <w:sz w:val="28"/>
          <w:lang w:val="en-US" w:eastAsia="zh-CN"/>
        </w:rPr>
        <w:t>5</w:t>
      </w:r>
      <w:r>
        <w:rPr>
          <w:rFonts w:hint="eastAsia" w:ascii="仿宋_GB2312" w:hAnsi="宋体" w:eastAsia="仿宋_GB2312" w:cs="Times New Roman"/>
          <w:b/>
          <w:kern w:val="0"/>
          <w:sz w:val="28"/>
          <w:szCs w:val="32"/>
          <w:highlight w:val="none"/>
          <w:lang w:val="en-US" w:eastAsia="zh-CN"/>
        </w:rPr>
        <w:t>年本单位无</w:t>
      </w:r>
      <w:r>
        <w:rPr>
          <w:rFonts w:hint="eastAsia" w:ascii="仿宋_GB2312" w:hAnsi="宋体" w:eastAsia="仿宋_GB2312"/>
          <w:b/>
          <w:sz w:val="28"/>
        </w:rPr>
        <w:t>“三公”经费</w:t>
      </w:r>
      <w:r>
        <w:rPr>
          <w:rFonts w:hint="eastAsia" w:ascii="仿宋_GB2312" w:hAnsi="宋体" w:eastAsia="仿宋_GB2312" w:cs="Times New Roman"/>
          <w:b/>
          <w:kern w:val="0"/>
          <w:sz w:val="28"/>
          <w:szCs w:val="32"/>
          <w:highlight w:val="none"/>
          <w:lang w:val="en-US" w:eastAsia="zh-CN"/>
        </w:rPr>
        <w:t>预算支出，此表为空表。</w:t>
      </w: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jc w:val="both"/>
        <w:rPr>
          <w:rFonts w:hint="eastAsia" w:ascii="仿宋" w:hAnsi="仿宋" w:eastAsia="仿宋" w:cs="仿宋_GB2312"/>
          <w:bCs/>
          <w:color w:val="auto"/>
          <w:kern w:val="0"/>
          <w:sz w:val="28"/>
          <w:szCs w:val="28"/>
          <w:highlight w:val="none"/>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仿宋" w:hAnsi="仿宋" w:eastAsia="仿宋" w:cs="仿宋_GB2312"/>
          <w:bCs/>
          <w:color w:val="auto"/>
          <w:kern w:val="0"/>
          <w:sz w:val="28"/>
          <w:szCs w:val="28"/>
          <w:highlight w:val="none"/>
        </w:rPr>
      </w:pPr>
      <w:r>
        <w:rPr>
          <w:rFonts w:hint="eastAsia" w:ascii="宋体" w:hAnsi="宋体" w:eastAsia="宋体" w:cs="宋体"/>
          <w:i w:val="0"/>
          <w:color w:val="auto"/>
          <w:kern w:val="0"/>
          <w:sz w:val="20"/>
          <w:szCs w:val="20"/>
          <w:highlight w:val="none"/>
          <w:u w:val="none"/>
          <w:lang w:val="en-US" w:eastAsia="zh-CN" w:bidi="ar"/>
        </w:rPr>
        <w:t>表</w:t>
      </w:r>
      <w:r>
        <w:rPr>
          <w:rFonts w:hint="default" w:ascii="宋体" w:hAnsi="宋体" w:eastAsia="宋体" w:cs="宋体"/>
          <w:i w:val="0"/>
          <w:color w:val="auto"/>
          <w:kern w:val="0"/>
          <w:sz w:val="20"/>
          <w:szCs w:val="20"/>
          <w:highlight w:val="none"/>
          <w:u w:val="none"/>
          <w:lang w:eastAsia="zh-CN" w:bidi="ar"/>
        </w:rPr>
        <w:t>1</w:t>
      </w:r>
      <w:r>
        <w:rPr>
          <w:rFonts w:hint="eastAsia" w:ascii="宋体" w:hAnsi="宋体" w:cs="宋体"/>
          <w:i w:val="0"/>
          <w:color w:val="auto"/>
          <w:kern w:val="0"/>
          <w:sz w:val="20"/>
          <w:szCs w:val="20"/>
          <w:highlight w:val="none"/>
          <w:u w:val="none"/>
          <w:lang w:val="en-US" w:eastAsia="zh-CN" w:bidi="ar"/>
        </w:rPr>
        <w:t>1</w:t>
      </w:r>
    </w:p>
    <w:p>
      <w:pPr>
        <w:spacing w:line="600" w:lineRule="exact"/>
        <w:ind w:firstLine="2891" w:firstLineChars="900"/>
        <w:jc w:val="both"/>
        <w:rPr>
          <w:rFonts w:hint="eastAsia" w:ascii="仿宋_GB2312" w:hAnsi="宋体" w:eastAsia="仿宋_GB2312"/>
          <w:b/>
          <w:color w:val="auto"/>
          <w:kern w:val="0"/>
          <w:sz w:val="32"/>
          <w:szCs w:val="32"/>
          <w:highlight w:val="none"/>
          <w:lang w:val="en-US" w:eastAsia="zh-Hans"/>
        </w:rPr>
      </w:pPr>
      <w:r>
        <w:rPr>
          <w:rFonts w:hint="eastAsia" w:ascii="仿宋_GB2312" w:hAnsi="宋体" w:eastAsia="仿宋_GB2312"/>
          <w:b/>
          <w:color w:val="auto"/>
          <w:kern w:val="0"/>
          <w:sz w:val="32"/>
          <w:szCs w:val="32"/>
          <w:highlight w:val="none"/>
          <w:lang w:val="en-US" w:eastAsia="zh-Hans"/>
        </w:rPr>
        <w:t>上年结转</w:t>
      </w:r>
      <w:r>
        <w:rPr>
          <w:rFonts w:hint="eastAsia" w:ascii="仿宋_GB2312" w:hAnsi="宋体" w:eastAsia="仿宋_GB2312"/>
          <w:b/>
          <w:color w:val="auto"/>
          <w:kern w:val="0"/>
          <w:sz w:val="32"/>
          <w:szCs w:val="32"/>
          <w:highlight w:val="none"/>
          <w:lang w:val="en-US" w:eastAsia="zh-CN"/>
        </w:rPr>
        <w:t>结余</w:t>
      </w:r>
      <w:r>
        <w:rPr>
          <w:rFonts w:hint="eastAsia" w:ascii="仿宋_GB2312" w:hAnsi="宋体" w:eastAsia="仿宋_GB2312"/>
          <w:b/>
          <w:color w:val="auto"/>
          <w:kern w:val="0"/>
          <w:sz w:val="32"/>
          <w:szCs w:val="32"/>
          <w:highlight w:val="none"/>
          <w:lang w:val="en-US" w:eastAsia="zh-Hans"/>
        </w:rPr>
        <w:t>情况明细表</w:t>
      </w:r>
    </w:p>
    <w:p>
      <w:pPr>
        <w:widowControl/>
        <w:jc w:val="both"/>
        <w:rPr>
          <w:rFonts w:hint="eastAsia" w:ascii="仿宋_GB2312" w:hAnsi="宋体" w:eastAsia="仿宋_GB2312"/>
          <w:b/>
          <w:color w:val="auto"/>
          <w:kern w:val="0"/>
          <w:sz w:val="32"/>
          <w:szCs w:val="32"/>
          <w:highlight w:val="none"/>
          <w:lang w:val="en-US" w:eastAsia="zh-Hans"/>
        </w:rPr>
      </w:pPr>
      <w:r>
        <w:rPr>
          <w:rFonts w:hint="eastAsia" w:ascii="仿宋_GB2312" w:hAnsi="宋体" w:eastAsia="仿宋_GB2312"/>
          <w:color w:val="auto"/>
          <w:kern w:val="0"/>
          <w:sz w:val="24"/>
          <w:highlight w:val="none"/>
        </w:rPr>
        <w:t>编制单位：</w:t>
      </w:r>
      <w:r>
        <w:rPr>
          <w:rFonts w:hint="eastAsia" w:ascii="仿宋_GB2312" w:hAnsi="宋体" w:eastAsia="仿宋_GB2312"/>
          <w:color w:val="auto"/>
          <w:kern w:val="0"/>
          <w:sz w:val="24"/>
          <w:highlight w:val="none"/>
          <w:lang w:val="en-US" w:eastAsia="zh-CN"/>
        </w:rPr>
        <w:t>焉耆回族自治县市政工程维护管理处</w:t>
      </w:r>
      <w:r>
        <w:rPr>
          <w:rFonts w:hint="eastAsia" w:ascii="仿宋_GB2312" w:hAnsi="宋体" w:eastAsia="仿宋_GB2312"/>
          <w:color w:val="auto"/>
          <w:kern w:val="0"/>
          <w:sz w:val="24"/>
          <w:highlight w:val="none"/>
        </w:rPr>
        <w:t xml:space="preserve">              单位：万元</w:t>
      </w:r>
    </w:p>
    <w:tbl>
      <w:tblPr>
        <w:tblStyle w:val="11"/>
        <w:tblpPr w:leftFromText="180" w:rightFromText="180" w:vertAnchor="text" w:horzAnchor="page" w:tblpX="852" w:tblpY="190"/>
        <w:tblOverlap w:val="never"/>
        <w:tblW w:w="9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850"/>
        <w:gridCol w:w="1054"/>
        <w:gridCol w:w="890"/>
        <w:gridCol w:w="714"/>
        <w:gridCol w:w="1211"/>
        <w:gridCol w:w="797"/>
        <w:gridCol w:w="723"/>
        <w:gridCol w:w="881"/>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7" w:type="dxa"/>
            <w:vMerge w:val="restart"/>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项目</w:t>
            </w:r>
          </w:p>
        </w:tc>
        <w:tc>
          <w:tcPr>
            <w:tcW w:w="850" w:type="dxa"/>
            <w:vMerge w:val="restart"/>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合计</w:t>
            </w:r>
          </w:p>
        </w:tc>
        <w:tc>
          <w:tcPr>
            <w:tcW w:w="3869" w:type="dxa"/>
            <w:gridSpan w:val="4"/>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eastAsia="zh-CN"/>
              </w:rPr>
            </w:pPr>
            <w:r>
              <w:rPr>
                <w:rFonts w:hint="eastAsia" w:ascii="仿宋_GB2312" w:hAnsi="宋体" w:eastAsia="仿宋_GB2312" w:cs="宋体"/>
                <w:b/>
                <w:bCs/>
                <w:color w:val="auto"/>
                <w:kern w:val="0"/>
                <w:sz w:val="20"/>
                <w:szCs w:val="20"/>
                <w:highlight w:val="none"/>
                <w:lang w:val="en-US" w:eastAsia="zh-CN"/>
              </w:rPr>
              <w:t>财政拨款</w:t>
            </w:r>
          </w:p>
        </w:tc>
        <w:tc>
          <w:tcPr>
            <w:tcW w:w="3612" w:type="dxa"/>
            <w:gridSpan w:val="4"/>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非财政拨款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7" w:type="dxa"/>
            <w:vMerge w:val="continue"/>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850"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vMerge w:val="restart"/>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eastAsia="zh-CN"/>
              </w:rPr>
            </w:pPr>
            <w:r>
              <w:rPr>
                <w:rFonts w:hint="eastAsia" w:ascii="仿宋_GB2312" w:hAnsi="宋体" w:eastAsia="仿宋_GB2312" w:cs="宋体"/>
                <w:b/>
                <w:bCs/>
                <w:color w:val="auto"/>
                <w:kern w:val="0"/>
                <w:sz w:val="20"/>
                <w:szCs w:val="20"/>
                <w:highlight w:val="none"/>
                <w:lang w:val="en-US" w:eastAsia="zh-CN"/>
              </w:rPr>
              <w:t>小计</w:t>
            </w:r>
          </w:p>
        </w:tc>
        <w:tc>
          <w:tcPr>
            <w:tcW w:w="1604" w:type="dxa"/>
            <w:gridSpan w:val="2"/>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211" w:type="dxa"/>
            <w:vMerge w:val="restart"/>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tc>
        <w:tc>
          <w:tcPr>
            <w:tcW w:w="797" w:type="dxa"/>
            <w:vMerge w:val="restart"/>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小计</w:t>
            </w:r>
          </w:p>
        </w:tc>
        <w:tc>
          <w:tcPr>
            <w:tcW w:w="1604" w:type="dxa"/>
            <w:gridSpan w:val="2"/>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211" w:type="dxa"/>
            <w:vMerge w:val="restart"/>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87"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人员经费</w:t>
            </w: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公用经费</w:t>
            </w:r>
          </w:p>
        </w:tc>
        <w:tc>
          <w:tcPr>
            <w:tcW w:w="1211"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人员经费</w:t>
            </w:r>
          </w:p>
        </w:tc>
        <w:tc>
          <w:tcPr>
            <w:tcW w:w="881" w:type="dxa"/>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公用经费</w:t>
            </w:r>
          </w:p>
        </w:tc>
        <w:tc>
          <w:tcPr>
            <w:tcW w:w="1211" w:type="dxa"/>
            <w:vMerge w:val="continue"/>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8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8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8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28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noWrap w:val="0"/>
            <w:vAlign w:val="center"/>
          </w:tcPr>
          <w:p>
            <w:pPr>
              <w:spacing w:line="600" w:lineRule="exact"/>
              <w:jc w:val="center"/>
              <w:rPr>
                <w:rFonts w:hint="eastAsia" w:ascii="仿宋" w:hAnsi="仿宋" w:eastAsia="仿宋" w:cs="仿宋_GB2312"/>
                <w:bCs/>
                <w:color w:val="auto"/>
                <w:kern w:val="0"/>
                <w:sz w:val="28"/>
                <w:szCs w:val="28"/>
                <w:highlight w:val="none"/>
                <w:lang w:val="en-US" w:eastAsia="zh-CN"/>
              </w:rPr>
            </w:pPr>
            <w:r>
              <w:rPr>
                <w:rFonts w:hint="eastAsia" w:ascii="仿宋_GB2312" w:hAnsi="宋体" w:eastAsia="仿宋_GB2312" w:cs="宋体"/>
                <w:b/>
                <w:bCs/>
                <w:color w:val="auto"/>
                <w:kern w:val="0"/>
                <w:sz w:val="20"/>
                <w:szCs w:val="20"/>
                <w:highlight w:val="none"/>
                <w:lang w:val="en-US" w:eastAsia="zh-CN"/>
              </w:rPr>
              <w:t>总计</w:t>
            </w:r>
          </w:p>
        </w:tc>
        <w:tc>
          <w:tcPr>
            <w:tcW w:w="1054"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8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r>
    </w:tbl>
    <w:p>
      <w:pPr>
        <w:widowControl/>
        <w:spacing w:line="280" w:lineRule="exact"/>
        <w:outlineLvl w:val="1"/>
        <w:rPr>
          <w:rFonts w:hint="eastAsia" w:ascii="仿宋_GB2312" w:hAnsi="宋体" w:eastAsia="仿宋_GB2312"/>
          <w:b/>
          <w:color w:val="auto"/>
          <w:kern w:val="0"/>
          <w:sz w:val="28"/>
          <w:szCs w:val="32"/>
          <w:highlight w:val="none"/>
        </w:rPr>
      </w:pPr>
    </w:p>
    <w:p>
      <w:pPr>
        <w:widowControl/>
        <w:spacing w:line="280" w:lineRule="exact"/>
        <w:outlineLvl w:val="1"/>
        <w:rPr>
          <w:rFonts w:hint="eastAsia" w:ascii="仿宋_GB2312" w:hAnsi="宋体" w:eastAsia="仿宋_GB2312" w:cs="Times New Roman"/>
          <w:b/>
          <w:kern w:val="0"/>
          <w:sz w:val="28"/>
          <w:szCs w:val="32"/>
          <w:highlight w:val="none"/>
          <w:lang w:val="en-US" w:eastAsia="zh-CN"/>
        </w:rPr>
      </w:pPr>
      <w:r>
        <w:rPr>
          <w:rFonts w:hint="eastAsia" w:ascii="仿宋_GB2312" w:hAnsi="宋体" w:eastAsia="仿宋_GB2312"/>
          <w:b/>
          <w:color w:val="auto"/>
          <w:kern w:val="0"/>
          <w:sz w:val="28"/>
          <w:szCs w:val="32"/>
          <w:highlight w:val="none"/>
        </w:rPr>
        <w:t>备注：</w:t>
      </w:r>
      <w:r>
        <w:rPr>
          <w:rFonts w:hint="default" w:ascii="Times New Roman" w:hAnsi="Times New Roman" w:eastAsia="仿宋_GB2312" w:cs="Times New Roman"/>
          <w:b/>
          <w:sz w:val="28"/>
        </w:rPr>
        <w:t>202</w:t>
      </w:r>
      <w:r>
        <w:rPr>
          <w:rFonts w:hint="eastAsia" w:eastAsia="仿宋_GB2312" w:cs="Times New Roman"/>
          <w:b/>
          <w:sz w:val="28"/>
          <w:lang w:val="en-US" w:eastAsia="zh-CN"/>
        </w:rPr>
        <w:t>5</w:t>
      </w:r>
      <w:r>
        <w:rPr>
          <w:rFonts w:hint="eastAsia" w:ascii="仿宋_GB2312" w:hAnsi="宋体" w:eastAsia="仿宋_GB2312" w:cs="Times New Roman"/>
          <w:b/>
          <w:kern w:val="0"/>
          <w:sz w:val="28"/>
          <w:szCs w:val="32"/>
          <w:highlight w:val="none"/>
          <w:lang w:val="en-US" w:eastAsia="zh-CN"/>
        </w:rPr>
        <w:t>年本单位无上年结转结余资金，此表为空表。</w:t>
      </w:r>
    </w:p>
    <w:p>
      <w:pPr>
        <w:widowControl/>
        <w:jc w:val="left"/>
        <w:outlineLvl w:val="1"/>
        <w:rPr>
          <w:rFonts w:hint="eastAsia" w:ascii="仿宋_GB2312" w:hAnsi="宋体" w:eastAsia="仿宋_GB2312"/>
          <w:sz w:val="24"/>
        </w:rPr>
      </w:pPr>
    </w:p>
    <w:p>
      <w:pPr>
        <w:widowControl/>
        <w:outlineLvl w:val="1"/>
        <w:rPr>
          <w:rFonts w:ascii="仿宋_GB2312" w:hAnsi="宋体" w:eastAsia="仿宋_GB2312"/>
          <w:color w:val="auto"/>
          <w:kern w:val="0"/>
          <w:sz w:val="32"/>
          <w:szCs w:val="32"/>
          <w:highlight w:val="none"/>
        </w:rPr>
      </w:pPr>
    </w:p>
    <w:p>
      <w:pPr>
        <w:widowControl/>
        <w:spacing w:line="280" w:lineRule="exact"/>
        <w:jc w:val="left"/>
        <w:outlineLvl w:val="1"/>
        <w:rPr>
          <w:rFonts w:ascii="仿宋_GB2312" w:hAnsi="宋体" w:eastAsia="仿宋_GB2312"/>
          <w:color w:val="auto"/>
          <w:kern w:val="0"/>
          <w:sz w:val="32"/>
          <w:szCs w:val="32"/>
          <w:highlight w:val="none"/>
        </w:rPr>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center"/>
        <w:textAlignment w:val="auto"/>
        <w:outlineLvl w:val="9"/>
        <w:rPr>
          <w:rFonts w:hint="eastAsia" w:ascii="黑体" w:hAnsi="黑体" w:eastAsia="黑体"/>
          <w:color w:val="auto"/>
          <w:kern w:val="0"/>
          <w:sz w:val="32"/>
          <w:szCs w:val="32"/>
          <w:highlight w:val="none"/>
          <w:lang w:eastAsia="zh-CN"/>
        </w:rPr>
      </w:pPr>
      <w:r>
        <w:rPr>
          <w:rFonts w:hint="eastAsia" w:ascii="黑体" w:hAnsi="黑体" w:eastAsia="黑体"/>
          <w:color w:val="auto"/>
          <w:kern w:val="0"/>
          <w:sz w:val="32"/>
          <w:szCs w:val="32"/>
          <w:highlight w:val="none"/>
          <w:lang w:val="en-US" w:eastAsia="zh-CN"/>
        </w:rPr>
        <w:t>第三部分  2025年单位预算情况说明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val="0"/>
          <w:color w:val="auto"/>
          <w:kern w:val="0"/>
          <w:sz w:val="32"/>
          <w:szCs w:val="32"/>
          <w:highlight w:val="none"/>
          <w:lang w:eastAsia="zh-CN"/>
        </w:rPr>
      </w:pPr>
      <w:r>
        <w:rPr>
          <w:rFonts w:hint="eastAsia" w:ascii="楷体_GB2312" w:hAnsi="楷体_GB2312" w:eastAsia="楷体_GB2312" w:cs="楷体_GB2312"/>
          <w:b/>
          <w:bCs w:val="0"/>
          <w:color w:val="auto"/>
          <w:kern w:val="0"/>
          <w:sz w:val="32"/>
          <w:szCs w:val="32"/>
          <w:highlight w:val="none"/>
          <w:lang w:val="en-US" w:eastAsia="zh-CN"/>
        </w:rPr>
        <w:t>一、关于焉耆回族自治县市政工程维护管理处2025年收支预算情况的总体说明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按照全口径预算的原则，焉耆回族自治县市政工程维护管理处2025年所有收入和支出均纳入单位预算管理。收支总预算294.06万元。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收入预算包括:一般公共预算。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支出预算包括:社会保障和就业支出、卫生健康支出、城乡社区支出、住房保障支出。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二、关于焉耆回族自治县市政工程维护管理处2025年收入预算情况说明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焉耆回族自治县市政工程维护管理处收入预算294.06万元，其中：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一般公共预算294.06万元，占100%，比上年预算增加1.39万元，增长0.47%，主要原因：本年度</w:t>
      </w:r>
      <w:r>
        <w:rPr>
          <w:rFonts w:hint="default" w:ascii="Times New Roman" w:hAnsi="Times New Roman" w:eastAsia="仿宋_GB2312" w:cs="Times New Roman"/>
          <w:color w:val="auto"/>
          <w:kern w:val="0"/>
          <w:sz w:val="32"/>
          <w:szCs w:val="32"/>
          <w:highlight w:val="none"/>
        </w:rPr>
        <w:t>人员</w:t>
      </w:r>
      <w:r>
        <w:rPr>
          <w:rFonts w:hint="default" w:ascii="Times New Roman" w:hAnsi="Times New Roman" w:eastAsia="仿宋_GB2312" w:cs="Times New Roman"/>
          <w:color w:val="auto"/>
          <w:kern w:val="0"/>
          <w:sz w:val="32"/>
          <w:szCs w:val="32"/>
          <w:highlight w:val="none"/>
          <w:lang w:val="en-US" w:eastAsia="zh-CN"/>
        </w:rPr>
        <w:t>工资及社保费上调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工资及社保费</w:t>
      </w:r>
      <w:r>
        <w:rPr>
          <w:rFonts w:hint="default" w:ascii="Times New Roman" w:hAnsi="Times New Roman" w:eastAsia="仿宋_GB2312" w:cs="Times New Roman"/>
          <w:color w:val="auto"/>
          <w:kern w:val="0"/>
          <w:sz w:val="32"/>
          <w:szCs w:val="32"/>
          <w:highlight w:val="none"/>
        </w:rPr>
        <w:t>增加</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上级一般公共预算安排的转移支付资金未安排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政府性基金预算未安排。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上级政府性基金安排的转移支付资金未安排。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国有资本经营预算未安排。</w:t>
      </w:r>
    </w:p>
    <w:p>
      <w:pPr>
        <w:keepNext w:val="0"/>
        <w:keepLines w:val="0"/>
        <w:pageBreakBefore w:val="0"/>
        <w:widowControl w:val="0"/>
        <w:kinsoku/>
        <w:wordWrap/>
        <w:overflowPunct/>
        <w:topLinePunct w:val="0"/>
        <w:autoSpaceDE/>
        <w:autoSpaceDN/>
        <w:bidi w:val="0"/>
        <w:adjustRightInd/>
        <w:snapToGrid/>
        <w:spacing w:line="600" w:lineRule="exact"/>
        <w:ind w:left="638" w:leftChars="304" w:firstLine="0" w:firstLineChars="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上级国有资本经营预算安排的转移支付资金未安排。</w:t>
      </w:r>
      <w:r>
        <w:rPr>
          <w:rFonts w:hint="default" w:ascii="Times New Roman" w:hAnsi="Times New Roman" w:eastAsia="楷体_GB2312" w:cs="Times New Roman"/>
          <w:b/>
          <w:bCs/>
          <w:color w:val="auto"/>
          <w:kern w:val="0"/>
          <w:sz w:val="32"/>
          <w:szCs w:val="32"/>
          <w:highlight w:val="none"/>
          <w:lang w:val="en-US" w:eastAsia="zh-CN"/>
        </w:rPr>
        <w:t>三、关于焉耆回族自治县市政工程维护管理处2025年支出预算情况说明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关于焉耆回族自治县市政工程维护管理处2025年支出预算</w:t>
      </w:r>
      <w:r>
        <w:rPr>
          <w:rFonts w:hint="default" w:ascii="Times New Roman" w:hAnsi="Times New Roman" w:eastAsia="仿宋_GB2312" w:cs="Times New Roman"/>
          <w:color w:val="auto"/>
          <w:kern w:val="0"/>
          <w:sz w:val="32"/>
          <w:szCs w:val="32"/>
          <w:highlight w:val="none"/>
          <w:lang w:val="en-US" w:eastAsia="zh-CN"/>
        </w:rPr>
        <w:t>294.06</w:t>
      </w:r>
      <w:r>
        <w:rPr>
          <w:rFonts w:hint="default" w:ascii="Times New Roman" w:hAnsi="Times New Roman" w:eastAsia="仿宋_GB2312" w:cs="Times New Roman"/>
          <w:color w:val="auto"/>
          <w:kern w:val="0"/>
          <w:sz w:val="32"/>
          <w:szCs w:val="32"/>
          <w:highlight w:val="none"/>
          <w:lang w:eastAsia="zh-CN"/>
        </w:rPr>
        <w:t>万</w:t>
      </w:r>
      <w:r>
        <w:rPr>
          <w:rFonts w:hint="default" w:ascii="Times New Roman" w:hAnsi="Times New Roman" w:eastAsia="仿宋_GB2312" w:cs="Times New Roman"/>
          <w:color w:val="auto"/>
          <w:kern w:val="0"/>
          <w:sz w:val="32"/>
          <w:szCs w:val="32"/>
          <w:highlight w:val="none"/>
        </w:rPr>
        <w:t>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color w:val="auto"/>
          <w:kern w:val="0"/>
          <w:sz w:val="32"/>
          <w:szCs w:val="32"/>
          <w:highlight w:val="none"/>
        </w:rPr>
        <w:t>基本支出</w:t>
      </w:r>
      <w:r>
        <w:rPr>
          <w:rFonts w:hint="default" w:ascii="Times New Roman" w:hAnsi="Times New Roman" w:eastAsia="仿宋_GB2312" w:cs="Times New Roman"/>
          <w:color w:val="auto"/>
          <w:kern w:val="0"/>
          <w:sz w:val="32"/>
          <w:szCs w:val="32"/>
          <w:highlight w:val="none"/>
          <w:lang w:val="en-US" w:eastAsia="zh-CN"/>
        </w:rPr>
        <w:t>294.06</w:t>
      </w:r>
      <w:r>
        <w:rPr>
          <w:rFonts w:hint="default" w:ascii="Times New Roman" w:hAnsi="Times New Roman" w:eastAsia="仿宋_GB2312" w:cs="Times New Roman"/>
          <w:color w:val="auto"/>
          <w:kern w:val="0"/>
          <w:sz w:val="32"/>
          <w:szCs w:val="32"/>
          <w:highlight w:val="none"/>
        </w:rPr>
        <w:t>万元，占</w:t>
      </w:r>
      <w:r>
        <w:rPr>
          <w:rFonts w:hint="default" w:ascii="Times New Roman" w:hAnsi="Times New Roman" w:eastAsia="仿宋_GB2312" w:cs="Times New Roman"/>
          <w:color w:val="auto"/>
          <w:kern w:val="0"/>
          <w:sz w:val="32"/>
          <w:szCs w:val="32"/>
          <w:highlight w:val="none"/>
          <w:lang w:val="en-US" w:eastAsia="zh-CN"/>
        </w:rPr>
        <w:t>100</w:t>
      </w:r>
      <w:r>
        <w:rPr>
          <w:rFonts w:hint="default" w:ascii="Times New Roman" w:hAnsi="Times New Roman" w:eastAsia="仿宋_GB2312" w:cs="Times New Roman"/>
          <w:color w:val="auto"/>
          <w:kern w:val="0"/>
          <w:sz w:val="32"/>
          <w:szCs w:val="32"/>
          <w:highlight w:val="none"/>
        </w:rPr>
        <w:t xml:space="preserve"> %，比上年预算增加</w:t>
      </w:r>
      <w:r>
        <w:rPr>
          <w:rFonts w:hint="default" w:ascii="Times New Roman" w:hAnsi="Times New Roman" w:eastAsia="仿宋_GB2312" w:cs="Times New Roman"/>
          <w:color w:val="auto"/>
          <w:kern w:val="0"/>
          <w:sz w:val="32"/>
          <w:szCs w:val="32"/>
          <w:highlight w:val="none"/>
          <w:lang w:val="en-US" w:eastAsia="zh-CN"/>
        </w:rPr>
        <w:t>1.39</w:t>
      </w:r>
      <w:r>
        <w:rPr>
          <w:rFonts w:hint="default" w:ascii="Times New Roman" w:hAnsi="Times New Roman" w:eastAsia="仿宋_GB2312" w:cs="Times New Roman"/>
          <w:color w:val="auto"/>
          <w:kern w:val="0"/>
          <w:sz w:val="32"/>
          <w:szCs w:val="32"/>
          <w:highlight w:val="none"/>
        </w:rPr>
        <w:t xml:space="preserve">   万元，</w:t>
      </w:r>
      <w:r>
        <w:rPr>
          <w:rFonts w:hint="default" w:ascii="Times New Roman" w:hAnsi="Times New Roman" w:eastAsia="仿宋_GB2312" w:cs="Times New Roman"/>
          <w:color w:val="auto"/>
          <w:kern w:val="0"/>
          <w:sz w:val="32"/>
          <w:szCs w:val="32"/>
          <w:highlight w:val="none"/>
          <w:lang w:eastAsia="zh-CN"/>
        </w:rPr>
        <w:t>增长</w:t>
      </w:r>
      <w:r>
        <w:rPr>
          <w:rFonts w:hint="default" w:ascii="Times New Roman" w:hAnsi="Times New Roman" w:eastAsia="仿宋_GB2312" w:cs="Times New Roman"/>
          <w:color w:val="auto"/>
          <w:kern w:val="0"/>
          <w:sz w:val="32"/>
          <w:szCs w:val="32"/>
          <w:highlight w:val="none"/>
          <w:lang w:val="en-US" w:eastAsia="zh-CN"/>
        </w:rPr>
        <w:t>0.47%，</w:t>
      </w:r>
      <w:r>
        <w:rPr>
          <w:rFonts w:hint="default" w:ascii="Times New Roman" w:hAnsi="Times New Roman" w:eastAsia="仿宋_GB2312" w:cs="Times New Roman"/>
          <w:color w:val="auto"/>
          <w:kern w:val="0"/>
          <w:sz w:val="32"/>
          <w:szCs w:val="32"/>
          <w:highlight w:val="none"/>
        </w:rPr>
        <w:t>主要原因是</w:t>
      </w:r>
      <w:r>
        <w:rPr>
          <w:rFonts w:hint="default" w:ascii="Times New Roman" w:hAnsi="Times New Roman" w:eastAsia="仿宋_GB2312" w:cs="Times New Roman"/>
          <w:color w:val="auto"/>
          <w:kern w:val="0"/>
          <w:sz w:val="32"/>
          <w:szCs w:val="32"/>
          <w:highlight w:val="none"/>
          <w:lang w:val="en-US" w:eastAsia="zh-CN"/>
        </w:rPr>
        <w:t>本年度</w:t>
      </w:r>
      <w:r>
        <w:rPr>
          <w:rFonts w:hint="default" w:ascii="Times New Roman" w:hAnsi="Times New Roman" w:eastAsia="仿宋_GB2312" w:cs="Times New Roman"/>
          <w:color w:val="auto"/>
          <w:kern w:val="0"/>
          <w:sz w:val="32"/>
          <w:szCs w:val="32"/>
          <w:highlight w:val="none"/>
        </w:rPr>
        <w:t>人员</w:t>
      </w:r>
      <w:r>
        <w:rPr>
          <w:rFonts w:hint="default" w:ascii="Times New Roman" w:hAnsi="Times New Roman" w:eastAsia="仿宋_GB2312" w:cs="Times New Roman"/>
          <w:color w:val="auto"/>
          <w:kern w:val="0"/>
          <w:sz w:val="32"/>
          <w:szCs w:val="32"/>
          <w:highlight w:val="none"/>
          <w:lang w:val="en-US" w:eastAsia="zh-CN"/>
        </w:rPr>
        <w:t>工资及社保费上调，工资及社保费</w:t>
      </w:r>
      <w:r>
        <w:rPr>
          <w:rFonts w:hint="default" w:ascii="Times New Roman" w:hAnsi="Times New Roman" w:eastAsia="仿宋_GB2312" w:cs="Times New Roman"/>
          <w:color w:val="auto"/>
          <w:kern w:val="0"/>
          <w:sz w:val="32"/>
          <w:szCs w:val="32"/>
          <w:highlight w:val="none"/>
        </w:rPr>
        <w:t>增加</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color w:val="auto"/>
          <w:kern w:val="0"/>
          <w:sz w:val="32"/>
          <w:szCs w:val="32"/>
          <w:highlight w:val="none"/>
        </w:rPr>
        <w:t>项目支出</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万元，占</w:t>
      </w:r>
      <w:r>
        <w:rPr>
          <w:rFonts w:hint="eastAsia"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%，比上年预算增加</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kern w:val="0"/>
          <w:sz w:val="32"/>
          <w:szCs w:val="32"/>
          <w:highlight w:val="none"/>
          <w:lang w:eastAsia="zh-CN"/>
        </w:rPr>
        <w:t>增长</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主要原因是本年度无预算项目</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eastAsia="zh-CN"/>
        </w:rPr>
      </w:pPr>
      <w:r>
        <w:rPr>
          <w:rFonts w:hint="default" w:ascii="Times New Roman" w:hAnsi="Times New Roman" w:eastAsia="楷体_GB2312" w:cs="Times New Roman"/>
          <w:b/>
          <w:bCs/>
          <w:color w:val="auto"/>
          <w:kern w:val="0"/>
          <w:sz w:val="32"/>
          <w:szCs w:val="32"/>
          <w:highlight w:val="none"/>
          <w:lang w:val="en-US" w:eastAsia="zh-CN"/>
        </w:rPr>
        <w:t>四、关于焉耆回族自治县市政工程维护管理处2025年财政拨款收支预算情况的总体说明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2025年财政拨款收支总预算294.06万元。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收入全部为一般公共预算，不包含政府性基金预算和国有资本经营预算。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收入预算包括：一般公共预算拨款294.06万元。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一般公共预算支出包括:社会保障和就业支出47.38万元,主要用于机关事业单位基本养老保险缴费支出、机关事业单位职业年金缴费、事业单位离退休费等支出。</w:t>
      </w:r>
    </w:p>
    <w:p>
      <w:pPr>
        <w:keepNext w:val="0"/>
        <w:keepLines w:val="0"/>
        <w:pageBreakBefore w:val="0"/>
        <w:widowControl w:val="0"/>
        <w:kinsoku/>
        <w:wordWrap/>
        <w:overflowPunct/>
        <w:topLinePunct w:val="0"/>
        <w:autoSpaceDE/>
        <w:autoSpaceDN/>
        <w:bidi w:val="0"/>
        <w:adjustRightInd/>
        <w:snapToGrid/>
        <w:spacing w:line="600" w:lineRule="exact"/>
        <w:ind w:left="638" w:leftChars="304" w:firstLine="0" w:firstLineChars="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卫生健康支出13.74万元,主要用于事业单位医疗支出</w:t>
      </w:r>
      <w:r>
        <w:rPr>
          <w:rFonts w:hint="eastAsia"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城乡社区支出210.16万元，主要用于事业人员工资及其他城乡社区管理事务支出。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住房保障支出22.78万元，主要用于在职人员住房公积金支出。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eastAsia="zh-CN"/>
        </w:rPr>
      </w:pPr>
      <w:r>
        <w:rPr>
          <w:rFonts w:hint="default" w:ascii="Times New Roman" w:hAnsi="Times New Roman" w:eastAsia="楷体_GB2312" w:cs="Times New Roman"/>
          <w:b/>
          <w:bCs/>
          <w:color w:val="auto"/>
          <w:kern w:val="0"/>
          <w:sz w:val="32"/>
          <w:szCs w:val="32"/>
          <w:highlight w:val="none"/>
          <w:lang w:val="en-US" w:eastAsia="zh-CN"/>
        </w:rPr>
        <w:t>五、关于焉耆回族自治县市政工程维护管理处2025年一般公共预算当年拨款情况说明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（一）一般公共预算当年拨款规模变化情况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焉耆回族自治县市政工程维护管理处2025年一般公共预算拨款合计294.06万元,其中：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基本支出294.06万元，比上年预算增加1.39万元，</w:t>
      </w:r>
      <w:r>
        <w:rPr>
          <w:rFonts w:hint="default" w:ascii="Times New Roman" w:hAnsi="Times New Roman" w:eastAsia="仿宋_GB2312" w:cs="Times New Roman"/>
          <w:color w:val="auto"/>
          <w:kern w:val="0"/>
          <w:sz w:val="32"/>
          <w:szCs w:val="32"/>
          <w:highlight w:val="none"/>
        </w:rPr>
        <w:t>增长</w:t>
      </w:r>
      <w:r>
        <w:rPr>
          <w:rFonts w:hint="default" w:ascii="Times New Roman" w:hAnsi="Times New Roman" w:eastAsia="仿宋_GB2312" w:cs="Times New Roman"/>
          <w:color w:val="auto"/>
          <w:kern w:val="0"/>
          <w:sz w:val="32"/>
          <w:szCs w:val="32"/>
          <w:highlight w:val="none"/>
          <w:lang w:val="en-US" w:eastAsia="zh-CN"/>
        </w:rPr>
        <w:t>0.47%，主要原因：本年度</w:t>
      </w:r>
      <w:r>
        <w:rPr>
          <w:rFonts w:hint="default" w:ascii="Times New Roman" w:hAnsi="Times New Roman" w:eastAsia="仿宋_GB2312" w:cs="Times New Roman"/>
          <w:color w:val="auto"/>
          <w:kern w:val="0"/>
          <w:sz w:val="32"/>
          <w:szCs w:val="32"/>
          <w:highlight w:val="none"/>
        </w:rPr>
        <w:t>人员</w:t>
      </w:r>
      <w:r>
        <w:rPr>
          <w:rFonts w:hint="default" w:ascii="Times New Roman" w:hAnsi="Times New Roman" w:eastAsia="仿宋_GB2312" w:cs="Times New Roman"/>
          <w:color w:val="auto"/>
          <w:kern w:val="0"/>
          <w:sz w:val="32"/>
          <w:szCs w:val="32"/>
          <w:highlight w:val="none"/>
          <w:lang w:val="en-US" w:eastAsia="zh-CN"/>
        </w:rPr>
        <w:t>工资及社保费上调，工资及社保费</w:t>
      </w:r>
      <w:r>
        <w:rPr>
          <w:rFonts w:hint="default" w:ascii="Times New Roman" w:hAnsi="Times New Roman" w:eastAsia="仿宋_GB2312" w:cs="Times New Roman"/>
          <w:color w:val="auto"/>
          <w:kern w:val="0"/>
          <w:sz w:val="32"/>
          <w:szCs w:val="32"/>
          <w:highlight w:val="none"/>
        </w:rPr>
        <w:t>增加</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项目支出0万元，比上年预算增加0万元，增长0%，主要原因是：</w:t>
      </w:r>
      <w:r>
        <w:rPr>
          <w:rFonts w:hint="default" w:ascii="Times New Roman" w:hAnsi="Times New Roman" w:eastAsia="仿宋_GB2312" w:cs="Times New Roman"/>
          <w:color w:val="auto"/>
          <w:kern w:val="0"/>
          <w:sz w:val="32"/>
          <w:szCs w:val="32"/>
          <w:highlight w:val="none"/>
        </w:rPr>
        <w:t>本年度无预算项目</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（二）一般公共预算当年拨款结构情况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1.社会保障和就业支出（类）47.38万元，占16.11%。</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2.卫生健康支出（类）13.74万元，占4.67%。</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val="0"/>
          <w:bCs w:val="0"/>
          <w:lang w:val="en-US" w:eastAsia="zh-CN"/>
        </w:rPr>
      </w:pP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城乡社区支出（类）</w:t>
      </w:r>
      <w:r>
        <w:rPr>
          <w:rFonts w:hint="default" w:ascii="Times New Roman" w:hAnsi="Times New Roman" w:eastAsia="仿宋_GB2312" w:cs="Times New Roman"/>
          <w:color w:val="auto"/>
          <w:sz w:val="32"/>
          <w:szCs w:val="32"/>
          <w:highlight w:val="none"/>
          <w:lang w:val="en-US" w:eastAsia="zh-CN"/>
        </w:rPr>
        <w:t>210.16</w:t>
      </w:r>
      <w:r>
        <w:rPr>
          <w:rFonts w:hint="default" w:ascii="Times New Roman" w:hAnsi="Times New Roman" w:eastAsia="仿宋_GB2312" w:cs="Times New Roman"/>
          <w:color w:val="auto"/>
          <w:sz w:val="32"/>
          <w:szCs w:val="32"/>
          <w:highlight w:val="none"/>
        </w:rPr>
        <w:t>万元，占</w:t>
      </w:r>
      <w:r>
        <w:rPr>
          <w:rFonts w:hint="default" w:ascii="Times New Roman" w:hAnsi="Times New Roman" w:eastAsia="仿宋_GB2312" w:cs="Times New Roman"/>
          <w:color w:val="auto"/>
          <w:sz w:val="32"/>
          <w:szCs w:val="32"/>
          <w:highlight w:val="none"/>
          <w:lang w:val="en-US" w:eastAsia="zh-CN"/>
        </w:rPr>
        <w:t>71.47</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4.住房保障支出（类）22.78万元，占7.75%。</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（三）一般公共预算当年拨款具体使用情况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1.社会保障和就业支出（类）行政事业单位养老支出（款）事业单位离退休(项):2025年预算数为1.83万元，比上年预算减少3.32万元,下降64.47%,主要原因是：本年度退休人员医疗保险费减少。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2.社会保障和就业支出（类）行政事业单位养老支出（款）机关事业单位基本养老保险缴费支出(项):2025年预算数为30.37万元，比上年预算增加1.31万元,增长4.51%,主要原因是：</w:t>
      </w:r>
      <w:r>
        <w:rPr>
          <w:rFonts w:hint="default" w:ascii="Times New Roman" w:hAnsi="Times New Roman" w:eastAsia="仿宋_GB2312" w:cs="Times New Roman"/>
          <w:color w:val="auto"/>
          <w:kern w:val="0"/>
          <w:sz w:val="32"/>
          <w:szCs w:val="32"/>
          <w:highlight w:val="none"/>
        </w:rPr>
        <w:t>本年度</w:t>
      </w:r>
      <w:r>
        <w:rPr>
          <w:rFonts w:hint="default" w:ascii="Times New Roman" w:hAnsi="Times New Roman" w:eastAsia="仿宋_GB2312" w:cs="Times New Roman"/>
          <w:color w:val="auto"/>
          <w:kern w:val="0"/>
          <w:sz w:val="32"/>
          <w:szCs w:val="32"/>
          <w:highlight w:val="none"/>
          <w:lang w:val="en-US" w:eastAsia="zh-CN"/>
        </w:rPr>
        <w:t>在职人员社保基数上调，社保费增加。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3.社会保障和就业支出（类）行政事业单位养老支出（款）机关事业单位职业年金缴费支出(项):2025年预算数为15.18万元,比上年预算增加0.65万元,增长4.47%,主要原因是：</w:t>
      </w:r>
      <w:r>
        <w:rPr>
          <w:rFonts w:hint="default" w:ascii="Times New Roman" w:hAnsi="Times New Roman" w:eastAsia="仿宋_GB2312" w:cs="Times New Roman"/>
          <w:color w:val="auto"/>
          <w:kern w:val="0"/>
          <w:sz w:val="32"/>
          <w:szCs w:val="32"/>
          <w:highlight w:val="none"/>
        </w:rPr>
        <w:t>本年度</w:t>
      </w:r>
      <w:r>
        <w:rPr>
          <w:rFonts w:hint="default" w:ascii="Times New Roman" w:hAnsi="Times New Roman" w:eastAsia="仿宋_GB2312" w:cs="Times New Roman"/>
          <w:color w:val="auto"/>
          <w:kern w:val="0"/>
          <w:sz w:val="32"/>
          <w:szCs w:val="32"/>
          <w:highlight w:val="none"/>
          <w:lang w:val="en-US" w:eastAsia="zh-CN"/>
        </w:rPr>
        <w:t>在职人员社保基数上调，社保费增加。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4.卫生健康支出（类）行政事业单位医疗（款）事业单位医疗(项):2025年预算数为13.74万元，比上年预算增加1.02万元,增长8.02%,主要原因是：</w:t>
      </w:r>
      <w:r>
        <w:rPr>
          <w:rFonts w:hint="default" w:ascii="Times New Roman" w:hAnsi="Times New Roman" w:eastAsia="仿宋_GB2312" w:cs="Times New Roman"/>
          <w:color w:val="auto"/>
          <w:kern w:val="0"/>
          <w:sz w:val="32"/>
          <w:szCs w:val="32"/>
          <w:highlight w:val="none"/>
        </w:rPr>
        <w:t>本年度</w:t>
      </w:r>
      <w:r>
        <w:rPr>
          <w:rFonts w:hint="default" w:ascii="Times New Roman" w:hAnsi="Times New Roman" w:eastAsia="仿宋_GB2312" w:cs="Times New Roman"/>
          <w:color w:val="auto"/>
          <w:kern w:val="0"/>
          <w:sz w:val="32"/>
          <w:szCs w:val="32"/>
          <w:highlight w:val="none"/>
          <w:lang w:val="en-US" w:eastAsia="zh-CN"/>
        </w:rPr>
        <w:t>在职人员社保基数上调，社保费增加。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5.城乡社区支出（类）其他城乡社区管理事务支出内容（款）其他城乡社区管理事务支出(项):2025年预算数为210.16万元，比上年预算增加0.75万元,增长0.36%,主要原因是：</w:t>
      </w:r>
      <w:r>
        <w:rPr>
          <w:rFonts w:hint="default" w:ascii="Times New Roman" w:hAnsi="Times New Roman" w:eastAsia="仿宋_GB2312" w:cs="Times New Roman"/>
          <w:color w:val="auto"/>
          <w:kern w:val="0"/>
          <w:sz w:val="32"/>
          <w:szCs w:val="32"/>
          <w:highlight w:val="none"/>
        </w:rPr>
        <w:t>本年度</w:t>
      </w:r>
      <w:r>
        <w:rPr>
          <w:rFonts w:hint="default" w:ascii="Times New Roman" w:hAnsi="Times New Roman" w:eastAsia="仿宋_GB2312" w:cs="Times New Roman"/>
          <w:color w:val="auto"/>
          <w:kern w:val="0"/>
          <w:sz w:val="32"/>
          <w:szCs w:val="32"/>
          <w:highlight w:val="none"/>
          <w:lang w:val="en-US" w:eastAsia="zh-CN"/>
        </w:rPr>
        <w:t>在职人员工资上调，人员经费增加。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6.住房保障支出（类）住房改革支出（款）住房公积金(项):2025年预算数为22.78万元，比上年预算增加0.98万元,增长4.50%,主要原因是：社保缴费基数调整，住房公积金增加。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六、关于焉耆回族自治县市政工程维护管理处2025年一般公共预算基本支出情况说明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焉耆回族自治县市政工程维护管理处2025年一般公共预算基本支出294.06万元，其中：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人员经费288.59万元，</w:t>
      </w:r>
      <w:r>
        <w:rPr>
          <w:rFonts w:hint="eastAsia" w:eastAsia="仿宋_GB2312" w:cs="Times New Roman"/>
          <w:color w:val="auto"/>
          <w:spacing w:val="-6"/>
          <w:kern w:val="0"/>
          <w:sz w:val="32"/>
          <w:szCs w:val="32"/>
          <w:highlight w:val="none"/>
          <w:lang w:val="en-US" w:eastAsia="zh-CN"/>
        </w:rPr>
        <w:t>只要</w:t>
      </w:r>
      <w:r>
        <w:rPr>
          <w:rFonts w:hint="default" w:ascii="Times New Roman" w:hAnsi="Times New Roman" w:eastAsia="仿宋_GB2312" w:cs="Times New Roman"/>
          <w:color w:val="auto"/>
          <w:spacing w:val="-6"/>
          <w:kern w:val="0"/>
          <w:sz w:val="32"/>
          <w:szCs w:val="32"/>
          <w:highlight w:val="none"/>
          <w:lang w:val="en-US" w:eastAsia="zh-CN"/>
        </w:rPr>
        <w:t>包括:基本工资、津贴补贴、机关事业单位基本养老保险缴费、职业年金缴费、职工基本医疗保险缴费、其他社会保障缴费、住房公积金、退休费。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公用经费5.47万元，</w:t>
      </w:r>
      <w:r>
        <w:rPr>
          <w:rFonts w:hint="eastAsia" w:eastAsia="仿宋_GB2312" w:cs="Times New Roman"/>
          <w:color w:val="auto"/>
          <w:spacing w:val="-6"/>
          <w:kern w:val="0"/>
          <w:sz w:val="32"/>
          <w:szCs w:val="32"/>
          <w:highlight w:val="none"/>
          <w:lang w:val="en-US" w:eastAsia="zh-CN"/>
        </w:rPr>
        <w:t>主要</w:t>
      </w:r>
      <w:r>
        <w:rPr>
          <w:rFonts w:hint="default" w:ascii="Times New Roman" w:hAnsi="Times New Roman" w:eastAsia="仿宋_GB2312" w:cs="Times New Roman"/>
          <w:color w:val="auto"/>
          <w:spacing w:val="-6"/>
          <w:kern w:val="0"/>
          <w:sz w:val="32"/>
          <w:szCs w:val="32"/>
          <w:highlight w:val="none"/>
          <w:lang w:val="en-US" w:eastAsia="zh-CN"/>
        </w:rPr>
        <w:t>包括:办公费、印刷费、水费、电费、邮电费、工会经费、福利费。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七、关于焉耆回族自治县市政工程维护管理处2025年一般公共预算项目支出情况说明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焉耆回族自治县市政工程维护管理处2025年没有使用一般公共预算项目支出，一般公共预算项目支出情况表为空表</w:t>
      </w:r>
      <w:r>
        <w:rPr>
          <w:rFonts w:hint="eastAsia"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八、关于焉耆回族自治县市政工程维护管理处2025年政府性基金预算支出情况</w:t>
      </w:r>
      <w:r>
        <w:rPr>
          <w:rFonts w:hint="eastAsia" w:eastAsia="楷体_GB2312" w:cs="Times New Roman"/>
          <w:b/>
          <w:bCs/>
          <w:color w:val="auto"/>
          <w:kern w:val="0"/>
          <w:sz w:val="32"/>
          <w:szCs w:val="32"/>
          <w:highlight w:val="none"/>
          <w:lang w:val="en-US" w:eastAsia="zh-CN"/>
        </w:rPr>
        <w:t>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焉耆回族自治县市政工程维护管理处2025年没有使用政府性基金预算拨款安排的支出，政府性基金预算支出情况表为空表。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九、关于焉耆回族自治县市政工程维护管理处2025年国有资本经营预算拨款情况说明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焉耆回族自治县市政工程维护管理处2025年没有使用国有资本经营预算拨款安排的支出，国有资本经营预算支出情况表为空表。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十、关于焉耆回族自治县市政工程维护管理处2025年财政拨款“三公”经费预算情况说明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焉耆回族自治县市政工程维护管理处2025年财政拨款“三公”经费数为0万元，其中：因公出国（境）费0万元,公务用车购置费0万元,公务用车运行费0万元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公务接待费0万元</w:t>
      </w:r>
      <w:r>
        <w:rPr>
          <w:rFonts w:hint="eastAsia"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cs="Times New Roman"/>
          <w:b w:val="0"/>
          <w:bCs w:val="0"/>
          <w:lang w:val="en-US" w:eastAsia="zh-CN"/>
        </w:rPr>
      </w:pPr>
      <w:r>
        <w:rPr>
          <w:rFonts w:hint="default" w:ascii="Times New Roman" w:hAnsi="Times New Roman" w:eastAsia="仿宋_GB2312" w:cs="Times New Roman"/>
          <w:color w:val="auto"/>
          <w:kern w:val="0"/>
          <w:sz w:val="32"/>
          <w:szCs w:val="32"/>
          <w:highlight w:val="none"/>
          <w:lang w:val="en-US" w:eastAsia="zh-CN"/>
        </w:rPr>
        <w:t>2025年财政拨款“三公”经费比上年增加0万元，增长0%,其中：因公出国（境）费增加0万元，增长0%,主要原因是：</w:t>
      </w:r>
      <w:r>
        <w:rPr>
          <w:rFonts w:hint="eastAsia" w:eastAsia="仿宋_GB2312" w:cs="Times New Roman"/>
          <w:color w:val="auto"/>
          <w:kern w:val="0"/>
          <w:sz w:val="32"/>
          <w:szCs w:val="32"/>
          <w:highlight w:val="none"/>
          <w:lang w:val="en-US" w:eastAsia="zh-CN"/>
        </w:rPr>
        <w:t>无预算安排</w:t>
      </w:r>
      <w:r>
        <w:rPr>
          <w:rFonts w:hint="default" w:ascii="Times New Roman" w:hAnsi="Times New Roman" w:eastAsia="仿宋_GB2312" w:cs="Times New Roman"/>
          <w:color w:val="auto"/>
          <w:kern w:val="0"/>
          <w:sz w:val="32"/>
          <w:szCs w:val="32"/>
          <w:highlight w:val="none"/>
          <w:lang w:val="en-US" w:eastAsia="zh-CN"/>
        </w:rPr>
        <w:t>。公务用车购置费增加0万元，增长0%,主要原因是：</w:t>
      </w:r>
      <w:r>
        <w:rPr>
          <w:rFonts w:hint="eastAsia" w:eastAsia="仿宋_GB2312" w:cs="Times New Roman"/>
          <w:color w:val="auto"/>
          <w:kern w:val="0"/>
          <w:sz w:val="32"/>
          <w:szCs w:val="32"/>
          <w:highlight w:val="none"/>
          <w:lang w:val="en-US" w:eastAsia="zh-CN"/>
        </w:rPr>
        <w:t>无预算安排</w:t>
      </w:r>
      <w:r>
        <w:rPr>
          <w:rFonts w:hint="default" w:ascii="Times New Roman" w:hAnsi="Times New Roman" w:eastAsia="仿宋_GB2312" w:cs="Times New Roman"/>
          <w:color w:val="auto"/>
          <w:kern w:val="0"/>
          <w:sz w:val="32"/>
          <w:szCs w:val="32"/>
          <w:highlight w:val="none"/>
          <w:lang w:val="en-US" w:eastAsia="zh-CN"/>
        </w:rPr>
        <w:t>。公务用车运行费增加0万元，增长0%,主要原因是：</w:t>
      </w:r>
      <w:r>
        <w:rPr>
          <w:rFonts w:hint="eastAsia" w:eastAsia="仿宋_GB2312" w:cs="Times New Roman"/>
          <w:color w:val="auto"/>
          <w:kern w:val="0"/>
          <w:sz w:val="32"/>
          <w:szCs w:val="32"/>
          <w:highlight w:val="none"/>
          <w:lang w:val="en-US" w:eastAsia="zh-CN"/>
        </w:rPr>
        <w:t>无预算安排</w:t>
      </w:r>
      <w:r>
        <w:rPr>
          <w:rFonts w:hint="default" w:ascii="Times New Roman" w:hAnsi="Times New Roman" w:eastAsia="仿宋_GB2312" w:cs="Times New Roman"/>
          <w:b w:val="0"/>
          <w:bCs w:val="0"/>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公务接待费增加0万元，增长0%,主要原因是：</w:t>
      </w:r>
      <w:r>
        <w:rPr>
          <w:rFonts w:hint="eastAsia" w:eastAsia="仿宋_GB2312" w:cs="Times New Roman"/>
          <w:color w:val="auto"/>
          <w:kern w:val="0"/>
          <w:sz w:val="32"/>
          <w:szCs w:val="32"/>
          <w:highlight w:val="none"/>
          <w:lang w:val="en-US" w:eastAsia="zh-CN"/>
        </w:rPr>
        <w:t>无预算安排</w:t>
      </w:r>
      <w:r>
        <w:rPr>
          <w:rFonts w:hint="default" w:ascii="Times New Roman" w:hAnsi="Times New Roman" w:eastAsia="仿宋_GB2312" w:cs="Times New Roman"/>
          <w:b w:val="0"/>
          <w:bCs w:val="0"/>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楷体_GB2312" w:cs="Times New Roman"/>
          <w:b/>
          <w:bCs/>
          <w:color w:val="auto"/>
          <w:kern w:val="0"/>
          <w:sz w:val="32"/>
          <w:szCs w:val="32"/>
          <w:highlight w:val="none"/>
          <w:lang w:val="en-US" w:eastAsia="zh-Hans"/>
        </w:rPr>
        <w:t>十</w:t>
      </w:r>
      <w:r>
        <w:rPr>
          <w:rFonts w:hint="default" w:ascii="Times New Roman" w:hAnsi="Times New Roman" w:eastAsia="楷体_GB2312" w:cs="Times New Roman"/>
          <w:b/>
          <w:bCs/>
          <w:color w:val="auto"/>
          <w:kern w:val="0"/>
          <w:sz w:val="32"/>
          <w:szCs w:val="32"/>
          <w:highlight w:val="none"/>
          <w:lang w:val="en-US" w:eastAsia="zh-CN"/>
        </w:rPr>
        <w:t>一</w:t>
      </w:r>
      <w:r>
        <w:rPr>
          <w:rFonts w:hint="default" w:ascii="Times New Roman" w:hAnsi="Times New Roman" w:eastAsia="楷体_GB2312" w:cs="Times New Roman"/>
          <w:b/>
          <w:bCs/>
          <w:color w:val="auto"/>
          <w:kern w:val="0"/>
          <w:sz w:val="32"/>
          <w:szCs w:val="32"/>
          <w:highlight w:val="none"/>
        </w:rPr>
        <w:t>、关于</w:t>
      </w:r>
      <w:r>
        <w:rPr>
          <w:rFonts w:hint="default" w:ascii="Times New Roman" w:hAnsi="Times New Roman" w:eastAsia="楷体_GB2312" w:cs="Times New Roman"/>
          <w:b/>
          <w:bCs/>
          <w:color w:val="auto"/>
          <w:kern w:val="0"/>
          <w:sz w:val="32"/>
          <w:szCs w:val="32"/>
          <w:highlight w:val="none"/>
          <w:lang w:val="en-US" w:eastAsia="zh-CN"/>
        </w:rPr>
        <w:t>焉耆回族自治县市政工程维护管理处2025</w:t>
      </w:r>
      <w:r>
        <w:rPr>
          <w:rFonts w:hint="default" w:ascii="Times New Roman" w:hAnsi="Times New Roman" w:eastAsia="楷体_GB2312" w:cs="Times New Roman"/>
          <w:b/>
          <w:bCs/>
          <w:color w:val="auto"/>
          <w:kern w:val="0"/>
          <w:sz w:val="32"/>
          <w:szCs w:val="32"/>
          <w:highlight w:val="none"/>
        </w:rPr>
        <w:t>年</w:t>
      </w:r>
      <w:r>
        <w:rPr>
          <w:rFonts w:hint="default" w:ascii="Times New Roman" w:hAnsi="Times New Roman" w:eastAsia="楷体_GB2312" w:cs="Times New Roman"/>
          <w:b/>
          <w:bCs/>
          <w:color w:val="auto"/>
          <w:kern w:val="0"/>
          <w:sz w:val="32"/>
          <w:szCs w:val="32"/>
          <w:highlight w:val="none"/>
          <w:lang w:val="en-US" w:eastAsia="zh-CN"/>
        </w:rPr>
        <w:t>上年结转结余</w:t>
      </w:r>
      <w:r>
        <w:rPr>
          <w:rFonts w:hint="default" w:ascii="Times New Roman" w:hAnsi="Times New Roman" w:eastAsia="楷体_GB2312" w:cs="Times New Roman"/>
          <w:b/>
          <w:bCs/>
          <w:color w:val="auto"/>
          <w:kern w:val="0"/>
          <w:sz w:val="32"/>
          <w:szCs w:val="32"/>
          <w:highlight w:val="none"/>
        </w:rPr>
        <w:t>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color w:val="auto"/>
          <w:kern w:val="0"/>
          <w:sz w:val="32"/>
          <w:szCs w:val="32"/>
          <w:highlight w:val="none"/>
          <w:lang w:val="en-US" w:eastAsia="zh-CN"/>
        </w:rPr>
        <w:t>焉耆回族自治县市政工程维护管理处2025年</w:t>
      </w:r>
      <w:r>
        <w:rPr>
          <w:rFonts w:hint="eastAsia" w:eastAsia="仿宋_GB2312" w:cs="Times New Roman"/>
          <w:color w:val="auto"/>
          <w:kern w:val="0"/>
          <w:sz w:val="32"/>
          <w:szCs w:val="32"/>
          <w:highlight w:val="none"/>
          <w:lang w:val="en-US" w:eastAsia="zh-CN"/>
        </w:rPr>
        <w:t>没有</w:t>
      </w:r>
      <w:r>
        <w:rPr>
          <w:rFonts w:hint="default" w:ascii="Times New Roman" w:hAnsi="Times New Roman" w:eastAsia="仿宋_GB2312" w:cs="Times New Roman"/>
          <w:color w:val="auto"/>
          <w:kern w:val="0"/>
          <w:sz w:val="32"/>
          <w:szCs w:val="32"/>
          <w:highlight w:val="none"/>
          <w:lang w:val="en-US" w:eastAsia="zh-CN"/>
        </w:rPr>
        <w:t>上年结转结余预算的支出，</w:t>
      </w:r>
      <w:r>
        <w:rPr>
          <w:rFonts w:hint="eastAsia" w:eastAsia="仿宋_GB2312" w:cs="Times New Roman"/>
          <w:color w:val="auto"/>
          <w:kern w:val="0"/>
          <w:sz w:val="32"/>
          <w:szCs w:val="32"/>
          <w:highlight w:val="none"/>
          <w:lang w:val="en-US" w:eastAsia="zh-CN"/>
        </w:rPr>
        <w:t>上年</w:t>
      </w:r>
      <w:r>
        <w:rPr>
          <w:rFonts w:hint="default" w:ascii="Times New Roman" w:hAnsi="Times New Roman" w:eastAsia="仿宋_GB2312" w:cs="Times New Roman"/>
          <w:color w:val="auto"/>
          <w:kern w:val="0"/>
          <w:sz w:val="32"/>
          <w:szCs w:val="32"/>
          <w:highlight w:val="none"/>
          <w:lang w:val="en-US" w:eastAsia="zh-CN"/>
        </w:rPr>
        <w:t>结转结余情况</w:t>
      </w:r>
      <w:r>
        <w:rPr>
          <w:rFonts w:hint="eastAsia" w:eastAsia="仿宋_GB2312" w:cs="Times New Roman"/>
          <w:color w:val="auto"/>
          <w:kern w:val="0"/>
          <w:sz w:val="32"/>
          <w:szCs w:val="32"/>
          <w:highlight w:val="none"/>
          <w:lang w:val="en-US" w:eastAsia="zh-CN"/>
        </w:rPr>
        <w:t>明细</w:t>
      </w:r>
      <w:r>
        <w:rPr>
          <w:rFonts w:hint="default" w:ascii="Times New Roman" w:hAnsi="Times New Roman" w:eastAsia="仿宋_GB2312" w:cs="Times New Roman"/>
          <w:color w:val="auto"/>
          <w:kern w:val="0"/>
          <w:sz w:val="32"/>
          <w:szCs w:val="32"/>
          <w:highlight w:val="none"/>
          <w:lang w:val="en-US" w:eastAsia="zh-CN"/>
        </w:rPr>
        <w:t>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cs="Times New Roman"/>
        </w:rPr>
      </w:pPr>
      <w:r>
        <w:rPr>
          <w:rFonts w:hint="default" w:ascii="Times New Roman" w:hAnsi="Times New Roman" w:eastAsia="楷体_GB2312" w:cs="Times New Roman"/>
          <w:b/>
          <w:bCs/>
          <w:color w:val="auto"/>
          <w:kern w:val="0"/>
          <w:sz w:val="32"/>
          <w:szCs w:val="32"/>
          <w:highlight w:val="none"/>
          <w:lang w:val="en-US" w:eastAsia="zh-Hans"/>
        </w:rPr>
        <w:t>十</w:t>
      </w:r>
      <w:r>
        <w:rPr>
          <w:rFonts w:hint="default" w:ascii="Times New Roman" w:hAnsi="Times New Roman" w:eastAsia="楷体_GB2312" w:cs="Times New Roman"/>
          <w:b/>
          <w:bCs/>
          <w:color w:val="auto"/>
          <w:kern w:val="0"/>
          <w:sz w:val="32"/>
          <w:szCs w:val="32"/>
          <w:highlight w:val="none"/>
          <w:lang w:val="en-US" w:eastAsia="zh-CN"/>
        </w:rPr>
        <w:t>二</w:t>
      </w:r>
      <w:r>
        <w:rPr>
          <w:rFonts w:hint="default" w:ascii="Times New Roman" w:hAnsi="Times New Roman" w:eastAsia="楷体_GB2312" w:cs="Times New Roman"/>
          <w:b/>
          <w:bCs/>
          <w:color w:val="auto"/>
          <w:kern w:val="0"/>
          <w:sz w:val="32"/>
          <w:szCs w:val="32"/>
          <w:highlight w:val="none"/>
        </w:rPr>
        <w:t>、其他重要事项的情况说明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b/>
          <w:color w:val="auto"/>
          <w:kern w:val="0"/>
          <w:sz w:val="32"/>
          <w:szCs w:val="32"/>
          <w:highlight w:val="none"/>
        </w:rPr>
        <w:t>（一）</w:t>
      </w:r>
      <w:r>
        <w:rPr>
          <w:rFonts w:hint="default" w:ascii="Times New Roman" w:hAnsi="Times New Roman" w:eastAsia="仿宋_GB2312" w:cs="Times New Roman"/>
          <w:b/>
          <w:color w:val="auto"/>
          <w:kern w:val="0"/>
          <w:sz w:val="32"/>
          <w:szCs w:val="32"/>
          <w:highlight w:val="none"/>
          <w:lang w:val="en-US" w:eastAsia="zh-CN"/>
        </w:rPr>
        <w:t>单位</w:t>
      </w:r>
      <w:r>
        <w:rPr>
          <w:rFonts w:hint="default" w:ascii="Times New Roman" w:hAnsi="Times New Roman" w:eastAsia="仿宋_GB2312" w:cs="Times New Roman"/>
          <w:b/>
          <w:color w:val="auto"/>
          <w:kern w:val="0"/>
          <w:sz w:val="32"/>
          <w:szCs w:val="32"/>
          <w:highlight w:val="none"/>
        </w:rPr>
        <w:t>运行经费情况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焉耆回族自治县市政工程维护管理处2025年的事业单位运行经费5.47万元，比上年预算增加0万元，增长0%。主要原因是：本年与上年相比无变化。</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（二）政府采购情况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2025年，焉耆回族自治县市政工程维护管理处政府采购预算2.65万元，其中：政府采购货物预算2.00万元，政府采购工程预算0万元，政府采购服务预算0.65万元。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2025年，焉耆回族自治县市政工程维护管理处面向中小企业预留政府采购项目预算金额2.65万元，小微企业预留政府采购项目预算金额2.65万元。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（三）国有资产占用使用情况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截至2024年底，焉耆回族自治县市政工程维护管理处及下属各预算单位占用使用国有资产总体情况为：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1.房屋0平方米，价值0万元。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2.车辆4辆，价值62.45万元。其中：一般公务用车0辆，价值0万元，执法执勤用车0辆，价值0万元，其他用车4辆，价值</w:t>
      </w:r>
      <w:r>
        <w:rPr>
          <w:rFonts w:hint="eastAsia" w:eastAsia="仿宋_GB2312" w:cs="Times New Roman"/>
          <w:color w:val="auto"/>
          <w:kern w:val="0"/>
          <w:sz w:val="32"/>
          <w:szCs w:val="32"/>
          <w:highlight w:val="none"/>
          <w:lang w:val="en-US" w:eastAsia="zh-CN"/>
        </w:rPr>
        <w:t>62.45</w:t>
      </w:r>
      <w:r>
        <w:rPr>
          <w:rFonts w:hint="default" w:ascii="Times New Roman" w:hAnsi="Times New Roman" w:eastAsia="仿宋_GB2312" w:cs="Times New Roman"/>
          <w:color w:val="auto"/>
          <w:kern w:val="0"/>
          <w:sz w:val="32"/>
          <w:szCs w:val="32"/>
          <w:highlight w:val="none"/>
          <w:lang w:val="en-US" w:eastAsia="zh-CN"/>
        </w:rPr>
        <w:t>万元</w:t>
      </w:r>
      <w:r>
        <w:rPr>
          <w:rFonts w:hint="eastAsia" w:eastAsia="仿宋_GB2312" w:cs="Times New Roman"/>
          <w:color w:val="auto"/>
          <w:kern w:val="0"/>
          <w:sz w:val="32"/>
          <w:szCs w:val="32"/>
          <w:highlight w:val="none"/>
          <w:lang w:val="en-US"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3.办公家具价值3.30万元。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4.其他资产价值285.05万元。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单位价值50万元以上大型设备</w:t>
      </w:r>
      <w:r>
        <w:rPr>
          <w:rFonts w:hint="eastAsia"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台，单位价值100万元以上大型设备0台。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2025年单位预算未安排购置车辆经费,安排购置50万元以上大型设备0台，单位价值100万元以上大型设备0台。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b/>
          <w:color w:val="auto"/>
          <w:kern w:val="0"/>
          <w:sz w:val="32"/>
          <w:szCs w:val="32"/>
          <w:highlight w:val="none"/>
          <w:lang w:val="en-US"/>
        </w:rPr>
        <w:t>（四）</w:t>
      </w:r>
      <w:r>
        <w:rPr>
          <w:rFonts w:hint="default" w:ascii="Times New Roman" w:hAnsi="Times New Roman" w:eastAsia="仿宋_GB2312" w:cs="Times New Roman"/>
          <w:b/>
          <w:color w:val="auto"/>
          <w:kern w:val="0"/>
          <w:sz w:val="32"/>
          <w:szCs w:val="32"/>
          <w:highlight w:val="none"/>
        </w:rPr>
        <w:t>预算绩效情况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rPr>
        <w:t>202</w:t>
      </w:r>
      <w:r>
        <w:rPr>
          <w:rFonts w:hint="default" w:ascii="Times New Roman" w:hAnsi="Times New Roman"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rPr>
        <w:t>年，</w:t>
      </w:r>
      <w:r>
        <w:rPr>
          <w:rFonts w:hint="default" w:ascii="Times New Roman" w:hAnsi="Times New Roman" w:eastAsia="仿宋_GB2312" w:cs="Times New Roman"/>
          <w:color w:val="auto"/>
          <w:kern w:val="0"/>
          <w:sz w:val="32"/>
          <w:szCs w:val="32"/>
          <w:highlight w:val="none"/>
          <w:lang w:val="en-US" w:eastAsia="zh-CN"/>
        </w:rPr>
        <w:t>本</w:t>
      </w:r>
      <w:r>
        <w:rPr>
          <w:rFonts w:hint="eastAsia" w:eastAsia="仿宋_GB2312" w:cs="Times New Roman"/>
          <w:color w:val="auto"/>
          <w:kern w:val="0"/>
          <w:sz w:val="32"/>
          <w:szCs w:val="32"/>
          <w:highlight w:val="none"/>
          <w:lang w:val="en-US" w:eastAsia="zh-CN"/>
        </w:rPr>
        <w:t>单位</w:t>
      </w:r>
      <w:r>
        <w:rPr>
          <w:rFonts w:hint="default" w:ascii="Times New Roman" w:hAnsi="Times New Roman" w:eastAsia="仿宋_GB2312" w:cs="Times New Roman"/>
          <w:color w:val="auto"/>
          <w:kern w:val="0"/>
          <w:sz w:val="32"/>
          <w:szCs w:val="32"/>
          <w:highlight w:val="none"/>
        </w:rPr>
        <w:t>预算绩效管理</w:t>
      </w:r>
      <w:r>
        <w:rPr>
          <w:rFonts w:hint="default" w:ascii="Times New Roman" w:hAnsi="Times New Roman" w:eastAsia="仿宋_GB2312" w:cs="Times New Roman"/>
          <w:color w:val="auto"/>
          <w:kern w:val="0"/>
          <w:sz w:val="32"/>
          <w:szCs w:val="32"/>
          <w:highlight w:val="none"/>
          <w:lang w:val="en-US" w:eastAsia="zh-CN"/>
        </w:rPr>
        <w:t>整体预算绩效目标1个，涉及预算金额294.06万元；当年预算安排项目共0个，其中:</w:t>
      </w:r>
      <w:r>
        <w:rPr>
          <w:rFonts w:hint="default" w:ascii="Times New Roman" w:hAnsi="Times New Roman" w:eastAsia="仿宋_GB2312" w:cs="Times New Roman"/>
          <w:color w:val="auto"/>
          <w:kern w:val="0"/>
          <w:sz w:val="32"/>
          <w:szCs w:val="32"/>
          <w:highlight w:val="none"/>
          <w:lang w:val="en-US" w:eastAsia="zh-Hans"/>
        </w:rPr>
        <w:t>财政拨款</w:t>
      </w:r>
      <w:r>
        <w:rPr>
          <w:rFonts w:hint="default" w:ascii="Times New Roman" w:hAnsi="Times New Roman" w:eastAsia="仿宋_GB2312" w:cs="Times New Roman"/>
          <w:color w:val="auto"/>
          <w:kern w:val="0"/>
          <w:sz w:val="32"/>
          <w:szCs w:val="32"/>
          <w:highlight w:val="none"/>
        </w:rPr>
        <w:t>项目</w:t>
      </w:r>
      <w:r>
        <w:rPr>
          <w:rFonts w:hint="default" w:ascii="Times New Roman" w:hAnsi="Times New Roman" w:eastAsia="仿宋_GB2312" w:cs="Times New Roman"/>
          <w:color w:val="auto"/>
          <w:kern w:val="0"/>
          <w:sz w:val="32"/>
          <w:szCs w:val="32"/>
          <w:highlight w:val="none"/>
          <w:lang w:val="en-US" w:eastAsia="zh-CN"/>
        </w:rPr>
        <w:t>涉及预算金额0万元；</w:t>
      </w:r>
      <w:r>
        <w:rPr>
          <w:rFonts w:hint="default" w:ascii="Times New Roman" w:hAnsi="Times New Roman" w:eastAsia="仿宋_GB2312" w:cs="Times New Roman"/>
          <w:color w:val="auto"/>
          <w:kern w:val="0"/>
          <w:sz w:val="32"/>
          <w:szCs w:val="32"/>
          <w:highlight w:val="none"/>
          <w:lang w:val="en-US" w:eastAsia="zh-Hans"/>
        </w:rPr>
        <w:t>非财政拨款项目</w:t>
      </w:r>
      <w:r>
        <w:rPr>
          <w:rFonts w:hint="default" w:ascii="Times New Roman" w:hAnsi="Times New Roman" w:eastAsia="仿宋_GB2312" w:cs="Times New Roman"/>
          <w:color w:val="auto"/>
          <w:kern w:val="0"/>
          <w:sz w:val="32"/>
          <w:szCs w:val="32"/>
          <w:highlight w:val="none"/>
        </w:rPr>
        <w:t>涉及预算金额</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万元。具体情况见下表</w:t>
      </w:r>
      <w:r>
        <w:rPr>
          <w:rFonts w:hint="eastAsia" w:eastAsia="仿宋_GB2312" w:cs="Times New Roman"/>
          <w:color w:val="auto"/>
          <w:kern w:val="0"/>
          <w:sz w:val="32"/>
          <w:szCs w:val="32"/>
          <w:highlight w:val="none"/>
          <w:lang w:eastAsia="zh-CN"/>
        </w:rPr>
        <w:t>（</w:t>
      </w:r>
      <w:r>
        <w:rPr>
          <w:rFonts w:hint="eastAsia" w:eastAsia="仿宋_GB2312" w:cs="Times New Roman"/>
          <w:color w:val="auto"/>
          <w:kern w:val="0"/>
          <w:sz w:val="32"/>
          <w:szCs w:val="32"/>
          <w:highlight w:val="none"/>
          <w:lang w:val="en-US" w:eastAsia="zh-CN"/>
        </w:rPr>
        <w:t>按项目分别填报）：</w:t>
      </w:r>
    </w:p>
    <w:tbl>
      <w:tblPr>
        <w:tblStyle w:val="10"/>
        <w:tblpPr w:leftFromText="180" w:rightFromText="180" w:vertAnchor="text" w:horzAnchor="page" w:tblpX="1266" w:tblpY="-12046"/>
        <w:tblOverlap w:val="never"/>
        <w:tblW w:w="9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22"/>
        <w:gridCol w:w="1367"/>
        <w:gridCol w:w="1657"/>
        <w:gridCol w:w="1659"/>
        <w:gridCol w:w="1947"/>
        <w:gridCol w:w="15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9340" w:type="dxa"/>
            <w:gridSpan w:val="6"/>
            <w:tcBorders>
              <w:top w:val="nil"/>
              <w:left w:val="nil"/>
              <w:bottom w:val="nil"/>
              <w:right w:val="nil"/>
            </w:tcBorders>
            <w:noWrap w:val="0"/>
            <w:vAlign w:val="center"/>
          </w:tcPr>
          <w:p>
            <w:pPr>
              <w:keepNext w:val="0"/>
              <w:keepLines w:val="0"/>
              <w:widowControl/>
              <w:suppressLineNumbers w:val="0"/>
              <w:jc w:val="both"/>
              <w:textAlignment w:val="center"/>
              <w:rPr>
                <w:rFonts w:hint="eastAsia" w:eastAsia="仿宋_GB2312" w:cs="Times New Roman"/>
                <w:color w:val="auto"/>
                <w:kern w:val="0"/>
                <w:sz w:val="32"/>
                <w:szCs w:val="32"/>
                <w:highlight w:val="none"/>
                <w:lang w:val="en-US" w:eastAsia="zh-CN"/>
              </w:rPr>
            </w:pPr>
          </w:p>
          <w:p>
            <w:pPr>
              <w:keepNext w:val="0"/>
              <w:keepLines w:val="0"/>
              <w:widowControl/>
              <w:suppressLineNumbers w:val="0"/>
              <w:jc w:val="both"/>
              <w:textAlignment w:val="center"/>
              <w:rPr>
                <w:rFonts w:hint="eastAsia" w:ascii="仿宋_GB2312" w:hAnsi="宋体" w:eastAsia="仿宋_GB2312" w:cs="仿宋_GB2312"/>
                <w:b/>
                <w:color w:val="000000"/>
                <w:kern w:val="0"/>
                <w:sz w:val="32"/>
                <w:szCs w:val="32"/>
                <w:highlight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b/>
                <w:color w:val="000000"/>
                <w:kern w:val="0"/>
                <w:sz w:val="32"/>
                <w:szCs w:val="32"/>
                <w:highlight w:val="none"/>
                <w:lang w:val="en-US" w:eastAsia="zh-CN" w:bidi="ar"/>
              </w:rPr>
            </w:pPr>
            <w:r>
              <w:rPr>
                <w:rFonts w:hint="eastAsia" w:ascii="仿宋_GB2312" w:hAnsi="宋体" w:eastAsia="仿宋_GB2312" w:cs="仿宋_GB2312"/>
                <w:b/>
                <w:color w:val="000000"/>
                <w:kern w:val="0"/>
                <w:sz w:val="32"/>
                <w:szCs w:val="32"/>
                <w:highlight w:val="none"/>
                <w:lang w:val="en-US" w:eastAsia="zh-CN" w:bidi="ar"/>
              </w:rPr>
              <w:t>单位整体绩效目标表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9340" w:type="dxa"/>
            <w:gridSpan w:val="6"/>
            <w:tcBorders>
              <w:top w:val="nil"/>
              <w:left w:val="nil"/>
              <w:bottom w:val="nil"/>
              <w:right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b/>
                <w:color w:val="000000"/>
                <w:kern w:val="0"/>
                <w:sz w:val="32"/>
                <w:szCs w:val="32"/>
                <w:highlight w:val="none"/>
                <w:lang w:val="en-US" w:eastAsia="zh-CN" w:bidi="ar"/>
              </w:rPr>
            </w:pPr>
            <w:r>
              <w:rPr>
                <w:rFonts w:hint="eastAsia" w:ascii="宋体" w:hAnsi="宋体" w:eastAsia="宋体" w:cs="宋体"/>
                <w:i w:val="0"/>
                <w:iCs w:val="0"/>
                <w:color w:val="000000"/>
                <w:sz w:val="24"/>
                <w:szCs w:val="24"/>
                <w:highlight w:val="none"/>
                <w:u w:val="none"/>
                <w:lang w:val="en-US" w:eastAsia="zh-CN"/>
              </w:rPr>
              <w:t>（202</w:t>
            </w:r>
            <w:r>
              <w:rPr>
                <w:rFonts w:hint="eastAsia" w:ascii="宋体" w:hAnsi="宋体" w:cs="宋体"/>
                <w:i w:val="0"/>
                <w:iCs w:val="0"/>
                <w:color w:val="000000"/>
                <w:sz w:val="24"/>
                <w:szCs w:val="24"/>
                <w:highlight w:val="none"/>
                <w:u w:val="none"/>
                <w:lang w:val="en-US" w:eastAsia="zh-CN"/>
              </w:rPr>
              <w:t>5</w:t>
            </w:r>
            <w:r>
              <w:rPr>
                <w:rFonts w:hint="eastAsia" w:ascii="宋体" w:hAnsi="宋体" w:eastAsia="宋体" w:cs="宋体"/>
                <w:i w:val="0"/>
                <w:iCs w:val="0"/>
                <w:color w:val="000000"/>
                <w:sz w:val="24"/>
                <w:szCs w:val="24"/>
                <w:highlight w:val="none"/>
                <w:u w:val="none"/>
                <w:lang w:val="en-US" w:eastAsia="zh-CN"/>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单位名称</w:t>
            </w:r>
          </w:p>
        </w:tc>
        <w:tc>
          <w:tcPr>
            <w:tcW w:w="685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焉耆回族自治县市政工程维护管理处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单位联系人</w:t>
            </w:r>
          </w:p>
        </w:tc>
        <w:tc>
          <w:tcPr>
            <w:tcW w:w="331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古力扎尔·玉散</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联系电话：</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15999438400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4"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年度绩效目标</w:t>
            </w:r>
          </w:p>
        </w:tc>
        <w:tc>
          <w:tcPr>
            <w:tcW w:w="685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left"/>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2025年完成市政工程设施维护管理；城市街道与小区照明设施维护管理，计划完成维修及更换4590个灯；县城内道路缺失的标志/标线/指示牌等安装，计划完成县城道路标线施划3818平方米；对破损的各类路面及人行道进行维修维护面积约1890平方米，计划更换路灯电缆约15000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248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年度预算（万元）</w:t>
            </w:r>
          </w:p>
        </w:tc>
        <w:tc>
          <w:tcPr>
            <w:tcW w:w="331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资金来源</w:t>
            </w:r>
          </w:p>
        </w:tc>
        <w:tc>
          <w:tcPr>
            <w:tcW w:w="353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资金总额（万元）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18"/>
                <w:szCs w:val="18"/>
                <w:highlight w:val="none"/>
                <w:u w:val="none"/>
              </w:rPr>
            </w:pPr>
          </w:p>
        </w:tc>
        <w:tc>
          <w:tcPr>
            <w:tcW w:w="16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财政资金（万元）</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上级安排</w:t>
            </w:r>
          </w:p>
        </w:tc>
        <w:tc>
          <w:tcPr>
            <w:tcW w:w="353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18"/>
                <w:szCs w:val="18"/>
                <w:highlight w:val="none"/>
                <w:u w:val="none"/>
              </w:rPr>
            </w:pPr>
          </w:p>
        </w:tc>
        <w:tc>
          <w:tcPr>
            <w:tcW w:w="16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本级安排</w:t>
            </w:r>
          </w:p>
        </w:tc>
        <w:tc>
          <w:tcPr>
            <w:tcW w:w="353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294.60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18"/>
                <w:szCs w:val="18"/>
                <w:highlight w:val="none"/>
                <w:u w:val="none"/>
              </w:rPr>
            </w:pP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其他资金（万元）</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其他</w:t>
            </w:r>
          </w:p>
        </w:tc>
        <w:tc>
          <w:tcPr>
            <w:tcW w:w="353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4" w:hRule="atLeast"/>
        </w:trPr>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一级指标</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二级指标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三级指标</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指标值</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指标设定依据</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分值权重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122"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履职效能</w:t>
            </w:r>
          </w:p>
        </w:tc>
        <w:tc>
          <w:tcPr>
            <w:tcW w:w="1367"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数量指标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施划道路标线</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ind w:firstLine="400" w:firstLineChars="20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〉=3818平方米</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2025年工作计划</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122"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highlight w:val="none"/>
                <w:u w:val="none"/>
              </w:rPr>
            </w:pPr>
          </w:p>
        </w:tc>
        <w:tc>
          <w:tcPr>
            <w:tcW w:w="1367" w:type="dxa"/>
            <w:vMerge w:val="continue"/>
            <w:tcBorders>
              <w:left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sz w:val="18"/>
                <w:szCs w:val="18"/>
                <w:highlight w:val="none"/>
                <w:u w:val="none"/>
              </w:rPr>
            </w:pP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更换县城破损路灯</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ind w:firstLine="400" w:firstLineChars="20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〉=4590个</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2025年工作计划</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122"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highlight w:val="none"/>
                <w:u w:val="none"/>
              </w:rPr>
            </w:pPr>
          </w:p>
        </w:tc>
        <w:tc>
          <w:tcPr>
            <w:tcW w:w="1367"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kern w:val="2"/>
                <w:sz w:val="18"/>
                <w:szCs w:val="18"/>
                <w:u w:val="none"/>
                <w:lang w:val="en-US" w:eastAsia="zh-CN" w:bidi="ar-SA"/>
              </w:rPr>
            </w:pP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更换路灯电缆</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〉=15000米</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2025年工作计划</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122"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highlight w:val="none"/>
                <w:u w:val="none"/>
              </w:rPr>
            </w:pPr>
          </w:p>
        </w:tc>
        <w:tc>
          <w:tcPr>
            <w:tcW w:w="1367"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8"/>
                <w:szCs w:val="18"/>
                <w:u w:val="none"/>
                <w:lang w:val="en-US" w:eastAsia="zh-CN" w:bidi="ar-SA"/>
              </w:rPr>
            </w:pP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路面及人行道维修维护</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〉=1890平方米</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2025年工作计划</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20</w:t>
            </w: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kern w:val="0"/>
          <w:sz w:val="18"/>
          <w:szCs w:val="18"/>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jc w:val="both"/>
        <w:textAlignment w:val="auto"/>
        <w:outlineLvl w:val="9"/>
        <w:rPr>
          <w:rFonts w:hint="eastAsia" w:ascii="楷体_GB2312" w:hAnsi="宋体" w:eastAsia="楷体_GB2312" w:cs="宋体"/>
          <w:b/>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eastAsia" w:ascii="楷体_GB2312" w:hAnsi="宋体" w:eastAsia="楷体_GB2312" w:cs="宋体"/>
          <w:b/>
          <w:kern w:val="0"/>
          <w:sz w:val="32"/>
          <w:szCs w:val="32"/>
          <w:highlight w:val="none"/>
        </w:rPr>
      </w:pPr>
      <w:r>
        <w:rPr>
          <w:rFonts w:hint="eastAsia" w:ascii="楷体_GB2312" w:hAnsi="宋体" w:eastAsia="楷体_GB2312" w:cs="宋体"/>
          <w:b/>
          <w:kern w:val="0"/>
          <w:sz w:val="32"/>
          <w:szCs w:val="32"/>
          <w:highlight w:val="none"/>
        </w:rPr>
        <w:t>（五）其他需说明的事项</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left"/>
        <w:textAlignment w:val="auto"/>
        <w:outlineLvl w:val="9"/>
        <w:rPr>
          <w:rFonts w:hint="eastAsia" w:ascii="黑体" w:hAnsi="黑体" w:eastAsia="黑体"/>
          <w:kern w:val="0"/>
          <w:sz w:val="32"/>
          <w:szCs w:val="32"/>
          <w:highlight w:val="none"/>
          <w:lang w:eastAsia="zh-CN"/>
        </w:rPr>
      </w:pPr>
      <w:r>
        <w:rPr>
          <w:rFonts w:hint="eastAsia" w:ascii="仿宋_GB2312" w:hAnsi="宋体" w:eastAsia="仿宋_GB2312" w:cs="宋体"/>
          <w:kern w:val="0"/>
          <w:sz w:val="32"/>
          <w:szCs w:val="32"/>
          <w:highlight w:val="none"/>
          <w:lang w:val="en-US" w:eastAsia="zh-CN"/>
        </w:rPr>
        <w:t>本单位无其他需说明的事项。</w:t>
      </w:r>
    </w:p>
    <w:p>
      <w:pPr>
        <w:rPr>
          <w:rFonts w:hint="eastAsia" w:ascii="黑体" w:hAnsi="黑体" w:eastAsia="黑体"/>
          <w:kern w:val="0"/>
          <w:sz w:val="32"/>
          <w:szCs w:val="32"/>
          <w:highlight w:val="none"/>
        </w:rPr>
      </w:pPr>
      <w:r>
        <w:br w:type="page"/>
      </w:r>
    </w:p>
    <w:p>
      <w:pPr>
        <w:keepNext w:val="0"/>
        <w:keepLines w:val="0"/>
        <w:pageBreakBefore w:val="0"/>
        <w:widowControl w:val="0"/>
        <w:kinsoku/>
        <w:wordWrap/>
        <w:overflowPunct/>
        <w:topLinePunct w:val="0"/>
        <w:autoSpaceDE/>
        <w:autoSpaceDN/>
        <w:bidi w:val="0"/>
        <w:adjustRightInd/>
        <w:snapToGrid/>
        <w:spacing w:before="0" w:beforeLines="0" w:line="600" w:lineRule="exact"/>
        <w:jc w:val="center"/>
        <w:textAlignment w:val="auto"/>
        <w:outlineLvl w:val="9"/>
        <w:rPr>
          <w:rFonts w:hint="eastAsia" w:ascii="黑体" w:hAnsi="黑体" w:eastAsia="黑体"/>
          <w:kern w:val="0"/>
          <w:sz w:val="32"/>
          <w:szCs w:val="32"/>
          <w:highlight w:val="none"/>
        </w:rPr>
      </w:pPr>
      <w:r>
        <w:rPr>
          <w:rFonts w:hint="eastAsia" w:ascii="黑体" w:hAnsi="黑体" w:eastAsia="黑体"/>
          <w:kern w:val="0"/>
          <w:sz w:val="32"/>
          <w:szCs w:val="32"/>
          <w:highlight w:val="none"/>
        </w:rPr>
        <w:t>第四部分  名词解释</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eastAsia"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sz w:val="32"/>
          <w:szCs w:val="32"/>
          <w:highlight w:val="none"/>
        </w:rPr>
      </w:pPr>
      <w:r>
        <w:rPr>
          <w:rFonts w:hint="eastAsia" w:ascii="楷体_GB2312" w:hAnsi="楷体_GB2312" w:eastAsia="楷体_GB2312" w:cs="楷体_GB2312"/>
          <w:b/>
          <w:bCs/>
          <w:sz w:val="32"/>
          <w:szCs w:val="32"/>
          <w:highlight w:val="none"/>
        </w:rPr>
        <w:t>一、财政拨款：</w:t>
      </w:r>
      <w:r>
        <w:rPr>
          <w:rFonts w:hint="eastAsia" w:ascii="仿宋_GB2312" w:eastAsia="仿宋_GB2312"/>
          <w:sz w:val="32"/>
          <w:szCs w:val="32"/>
          <w:highlight w:val="none"/>
        </w:rPr>
        <w:t>指由一般公共预算、政府性基金预算、国有资本经营预算安排的财政拨款数。</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二、一般公共预算：</w:t>
      </w:r>
      <w:r>
        <w:rPr>
          <w:rFonts w:hint="eastAsia" w:ascii="仿宋_GB2312" w:eastAsia="仿宋_GB2312"/>
          <w:color w:val="auto"/>
          <w:spacing w:val="-6"/>
          <w:sz w:val="32"/>
          <w:szCs w:val="32"/>
          <w:highlight w:val="none"/>
        </w:rPr>
        <w:t>包括公共财政拨款（补助）资金、专项收入。</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三、财政专户管理资金：</w:t>
      </w:r>
      <w:r>
        <w:rPr>
          <w:rFonts w:hint="eastAsia" w:ascii="仿宋_GB2312" w:eastAsia="仿宋_GB2312"/>
          <w:color w:val="auto"/>
          <w:sz w:val="32"/>
          <w:szCs w:val="32"/>
          <w:highlight w:val="none"/>
        </w:rPr>
        <w:t>包括专户管理行政事业性收费（主要是教育收费）、其他非税收入。</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pacing w:val="-17"/>
          <w:sz w:val="32"/>
          <w:szCs w:val="32"/>
          <w:highlight w:val="none"/>
        </w:rPr>
      </w:pPr>
      <w:r>
        <w:rPr>
          <w:rFonts w:hint="eastAsia" w:ascii="楷体_GB2312" w:hAnsi="楷体_GB2312" w:eastAsia="楷体_GB2312" w:cs="楷体_GB2312"/>
          <w:b/>
          <w:bCs/>
          <w:color w:val="auto"/>
          <w:sz w:val="32"/>
          <w:szCs w:val="32"/>
          <w:highlight w:val="none"/>
        </w:rPr>
        <w:t>四、其他资金：</w:t>
      </w:r>
      <w:r>
        <w:rPr>
          <w:rFonts w:hint="eastAsia" w:ascii="仿宋_GB2312" w:eastAsia="仿宋_GB2312"/>
          <w:color w:val="auto"/>
          <w:spacing w:val="-17"/>
          <w:sz w:val="32"/>
          <w:szCs w:val="32"/>
          <w:highlight w:val="none"/>
        </w:rPr>
        <w:t>包括事业收入、事业经营收入、其他收入等。</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五、基本支出：</w:t>
      </w:r>
      <w:r>
        <w:rPr>
          <w:rFonts w:hint="eastAsia" w:ascii="仿宋_GB2312" w:eastAsia="仿宋_GB2312"/>
          <w:color w:val="auto"/>
          <w:sz w:val="32"/>
          <w:szCs w:val="32"/>
          <w:highlight w:val="none"/>
        </w:rPr>
        <w:t>包括人员经费、公用经费（定额）。其中，人员经费包括工资福利支出、对个人和家庭的补助。</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六、项目支出：</w:t>
      </w:r>
      <w:r>
        <w:rPr>
          <w:rFonts w:hint="eastAsia" w:ascii="仿宋_GB2312" w:eastAsia="仿宋_GB2312"/>
          <w:color w:val="auto"/>
          <w:sz w:val="32"/>
          <w:szCs w:val="32"/>
          <w:highlight w:val="none"/>
        </w:rPr>
        <w:t>单位支出预算的组成部分，是</w:t>
      </w:r>
      <w:r>
        <w:rPr>
          <w:rFonts w:hint="eastAsia" w:ascii="仿宋_GB2312" w:eastAsia="仿宋_GB2312"/>
          <w:color w:val="auto"/>
          <w:sz w:val="32"/>
          <w:szCs w:val="32"/>
          <w:highlight w:val="none"/>
          <w:lang w:val="en-US"/>
        </w:rPr>
        <w:t>各</w:t>
      </w:r>
      <w:r>
        <w:rPr>
          <w:rFonts w:hint="eastAsia" w:ascii="仿宋_GB2312" w:eastAsia="仿宋_GB2312"/>
          <w:color w:val="auto"/>
          <w:sz w:val="32"/>
          <w:szCs w:val="32"/>
          <w:highlight w:val="none"/>
        </w:rPr>
        <w:t>单位为完成其特定的行政任务或事业发展目标，在基本支出预算之外编制的年度项目支出计划。</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eastAsia"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七、“三公”经费：</w:t>
      </w:r>
      <w:r>
        <w:rPr>
          <w:rFonts w:hint="eastAsia" w:ascii="仿宋_GB2312" w:eastAsia="仿宋_GB2312"/>
          <w:sz w:val="32"/>
          <w:szCs w:val="32"/>
          <w:highlight w:val="none"/>
        </w:rPr>
        <w:t>指</w:t>
      </w:r>
      <w:r>
        <w:rPr>
          <w:rFonts w:hint="eastAsia" w:ascii="仿宋_GB2312" w:eastAsia="仿宋_GB2312"/>
          <w:sz w:val="32"/>
          <w:szCs w:val="32"/>
          <w:highlight w:val="none"/>
          <w:lang w:val="en-US" w:eastAsia="zh-CN"/>
        </w:rPr>
        <w:t>单位</w:t>
      </w:r>
      <w:r>
        <w:rPr>
          <w:rFonts w:hint="eastAsia" w:ascii="仿宋_GB2312" w:eastAsia="仿宋_GB2312"/>
          <w:sz w:val="32"/>
          <w:szCs w:val="32"/>
          <w:highlight w:val="none"/>
        </w:rPr>
        <w:t>因公出国（境）费、公务用车购置及运行维护费和公务接待费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其中</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因公出国（境）费反映</w:t>
      </w:r>
      <w:r>
        <w:rPr>
          <w:rFonts w:hint="eastAsia" w:ascii="仿宋_GB2312" w:eastAsia="仿宋_GB2312"/>
          <w:sz w:val="32"/>
          <w:szCs w:val="32"/>
          <w:highlight w:val="none"/>
          <w:lang w:val="en-US" w:eastAsia="zh-CN"/>
        </w:rPr>
        <w:t>机关和参公事业单位公务出国（境）的国际旅费、国外城市间交通费、住宿费、伙食费、培训费、公杂费等支出</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公务用车购置反映机关和参公事业单位公务用车购置支出（含车辆购置税、牌照费）；</w:t>
      </w:r>
      <w:r>
        <w:rPr>
          <w:rFonts w:hint="eastAsia" w:ascii="仿宋_GB2312" w:eastAsia="仿宋_GB2312"/>
          <w:sz w:val="32"/>
          <w:szCs w:val="32"/>
          <w:highlight w:val="none"/>
        </w:rPr>
        <w:t>公务用车运行维护费反映</w:t>
      </w:r>
      <w:r>
        <w:rPr>
          <w:rFonts w:hint="eastAsia" w:ascii="仿宋_GB2312" w:eastAsia="仿宋_GB2312"/>
          <w:sz w:val="32"/>
          <w:szCs w:val="32"/>
          <w:highlight w:val="none"/>
          <w:lang w:val="en-US" w:eastAsia="zh-CN"/>
        </w:rPr>
        <w:t>机关和参公事业单位按规定保留的公务用车燃料费、新能源汽车充电费、维修费、过桥过路费、保险费、安全奖励费用等支出</w:t>
      </w:r>
      <w:r>
        <w:rPr>
          <w:rFonts w:hint="eastAsia" w:ascii="仿宋_GB2312" w:eastAsia="仿宋_GB2312"/>
          <w:sz w:val="32"/>
          <w:szCs w:val="32"/>
          <w:highlight w:val="none"/>
        </w:rPr>
        <w:t>；公务接待费反映</w:t>
      </w:r>
      <w:r>
        <w:rPr>
          <w:rFonts w:hint="eastAsia" w:ascii="仿宋_GB2312" w:eastAsia="仿宋_GB2312"/>
          <w:sz w:val="32"/>
          <w:szCs w:val="32"/>
          <w:highlight w:val="none"/>
          <w:lang w:val="en-US" w:eastAsia="zh-CN"/>
        </w:rPr>
        <w:t>机关和参公事业单位</w:t>
      </w:r>
      <w:r>
        <w:rPr>
          <w:rFonts w:hint="eastAsia" w:ascii="仿宋_GB2312" w:eastAsia="仿宋_GB2312"/>
          <w:sz w:val="32"/>
          <w:szCs w:val="32"/>
          <w:highlight w:val="none"/>
        </w:rPr>
        <w:t>按规定开支的各类公务接待（含外宾接待）</w:t>
      </w:r>
      <w:r>
        <w:rPr>
          <w:rFonts w:hint="eastAsia" w:ascii="仿宋_GB2312" w:eastAsia="仿宋_GB2312"/>
          <w:sz w:val="32"/>
          <w:szCs w:val="32"/>
          <w:highlight w:val="none"/>
          <w:lang w:val="en-US" w:eastAsia="zh-CN"/>
        </w:rPr>
        <w:t>费用</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仿宋_GB2312" w:hAnsi="Times New Roman" w:eastAsia="仿宋_GB2312" w:cs="Times New Roman"/>
          <w:color w:val="auto"/>
          <w:spacing w:val="-11"/>
          <w:sz w:val="32"/>
          <w:szCs w:val="32"/>
          <w:highlight w:val="none"/>
          <w:lang w:val="en-US" w:eastAsia="zh-CN"/>
        </w:rPr>
      </w:pPr>
      <w:r>
        <w:rPr>
          <w:rFonts w:hint="eastAsia" w:ascii="楷体_GB2312" w:hAnsi="楷体_GB2312" w:eastAsia="楷体_GB2312" w:cs="楷体_GB2312"/>
          <w:b/>
          <w:bCs/>
          <w:color w:val="auto"/>
          <w:sz w:val="32"/>
          <w:szCs w:val="32"/>
          <w:highlight w:val="none"/>
        </w:rPr>
        <w:t>八、机关运行经费</w:t>
      </w:r>
      <w:r>
        <w:rPr>
          <w:rFonts w:hint="eastAsia" w:ascii="仿宋_GB2312" w:eastAsia="仿宋_GB2312"/>
          <w:color w:val="auto"/>
          <w:sz w:val="32"/>
          <w:szCs w:val="32"/>
          <w:highlight w:val="none"/>
        </w:rPr>
        <w:t>：指行政单位（含参照公务员法管理事业单位）的公用经费，包括办公及印刷费、邮电费、差旅费、会议费、福利费、日常维修费、专用材料及一般设备购置费、办公用房水电费、办公用房</w:t>
      </w:r>
      <w:r>
        <w:rPr>
          <w:rFonts w:hint="eastAsia" w:ascii="仿宋_GB2312" w:hAnsi="Times New Roman" w:eastAsia="仿宋_GB2312" w:cs="Times New Roman"/>
          <w:color w:val="auto"/>
          <w:spacing w:val="-11"/>
          <w:sz w:val="32"/>
          <w:szCs w:val="32"/>
          <w:highlight w:val="none"/>
        </w:rPr>
        <w:t>取暖费、办公用房物业管理费、公务用车运行维护费及其他费用。</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ascii="仿宋_GB2312" w:hAnsi="宋体" w:eastAsia="仿宋_GB2312" w:cs="宋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ascii="仿宋_GB2312" w:hAnsi="宋体" w:eastAsia="仿宋_GB2312" w:cs="宋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ascii="仿宋_GB2312" w:hAnsi="宋体" w:eastAsia="仿宋_GB2312" w:cs="宋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right"/>
        <w:textAlignment w:val="auto"/>
        <w:outlineLvl w:val="9"/>
        <w:rPr>
          <w:rFonts w:hint="eastAsia" w:ascii="仿宋_GB2312" w:hAnsi="宋体" w:eastAsia="仿宋_GB2312" w:cs="宋体"/>
          <w:kern w:val="0"/>
          <w:sz w:val="32"/>
          <w:szCs w:val="32"/>
          <w:highlight w:val="none"/>
          <w:lang w:eastAsia="zh-CN"/>
        </w:rPr>
      </w:pPr>
      <w:r>
        <w:rPr>
          <w:rFonts w:hint="eastAsia" w:ascii="仿宋_GB2312" w:hAnsi="宋体" w:eastAsia="仿宋_GB2312" w:cs="宋体"/>
          <w:kern w:val="0"/>
          <w:sz w:val="32"/>
          <w:szCs w:val="32"/>
          <w:highlight w:val="none"/>
          <w:lang w:val="en-US" w:eastAsia="zh-CN"/>
        </w:rPr>
        <w:t>焉耆回族自治县市政工程维护管理处</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 xml:space="preserve">                          </w:t>
      </w:r>
      <w:r>
        <w:rPr>
          <w:rFonts w:hint="eastAsia" w:ascii="仿宋_GB2312" w:hAnsi="宋体" w:eastAsia="仿宋_GB2312" w:cs="宋体"/>
          <w:kern w:val="0"/>
          <w:sz w:val="32"/>
          <w:szCs w:val="32"/>
          <w:highlight w:val="none"/>
          <w:lang w:val="en-US" w:eastAsia="zh-CN"/>
        </w:rPr>
        <w:t>2025</w:t>
      </w:r>
      <w:r>
        <w:rPr>
          <w:rFonts w:hint="eastAsia" w:ascii="仿宋_GB2312" w:hAnsi="宋体" w:eastAsia="仿宋_GB2312" w:cs="宋体"/>
          <w:kern w:val="0"/>
          <w:sz w:val="32"/>
          <w:szCs w:val="32"/>
          <w:highlight w:val="none"/>
        </w:rPr>
        <w:t xml:space="preserve"> </w:t>
      </w:r>
      <w:r>
        <w:rPr>
          <w:rFonts w:ascii="仿宋_GB2312" w:hAnsi="宋体" w:eastAsia="仿宋_GB2312" w:cs="宋体"/>
          <w:kern w:val="0"/>
          <w:sz w:val="32"/>
          <w:szCs w:val="32"/>
          <w:highlight w:val="none"/>
        </w:rPr>
        <w:t>年</w:t>
      </w:r>
      <w:r>
        <w:rPr>
          <w:rFonts w:hint="eastAsia" w:ascii="仿宋_GB2312" w:hAnsi="宋体" w:eastAsia="仿宋_GB2312" w:cs="宋体"/>
          <w:kern w:val="0"/>
          <w:sz w:val="32"/>
          <w:szCs w:val="32"/>
          <w:highlight w:val="none"/>
          <w:lang w:val="en-US" w:eastAsia="zh-CN"/>
        </w:rPr>
        <w:t>2</w:t>
      </w:r>
      <w:r>
        <w:rPr>
          <w:rFonts w:ascii="仿宋_GB2312" w:hAnsi="宋体" w:eastAsia="仿宋_GB2312" w:cs="宋体"/>
          <w:kern w:val="0"/>
          <w:sz w:val="32"/>
          <w:szCs w:val="32"/>
          <w:highlight w:val="none"/>
        </w:rPr>
        <w:t>月</w:t>
      </w:r>
      <w:r>
        <w:rPr>
          <w:rFonts w:hint="eastAsia" w:ascii="仿宋_GB2312" w:hAnsi="宋体" w:eastAsia="仿宋_GB2312" w:cs="宋体"/>
          <w:kern w:val="0"/>
          <w:sz w:val="32"/>
          <w:szCs w:val="32"/>
          <w:highlight w:val="none"/>
          <w:lang w:val="en-US" w:eastAsia="zh-CN"/>
        </w:rPr>
        <w:t>20</w:t>
      </w:r>
      <w:r>
        <w:rPr>
          <w:rFonts w:ascii="仿宋_GB2312" w:hAnsi="宋体" w:eastAsia="仿宋_GB2312" w:cs="宋体"/>
          <w:kern w:val="0"/>
          <w:sz w:val="32"/>
          <w:szCs w:val="32"/>
          <w:highlight w:val="none"/>
        </w:rPr>
        <w:t>日</w:t>
      </w:r>
    </w:p>
    <w:p>
      <w:pPr>
        <w:rPr>
          <w:highlight w:val="none"/>
        </w:rPr>
      </w:pPr>
    </w:p>
    <w:p>
      <w:pPr>
        <w:rPr>
          <w:highlight w:val="none"/>
        </w:rPr>
      </w:pPr>
    </w:p>
    <w:p/>
    <w:p>
      <w:pPr>
        <w:rPr>
          <w:rFonts w:hint="eastAsia"/>
          <w:lang w:eastAsia="zh-CN"/>
        </w:rP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_x0000_s000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anchor="t" upright="0">
                      <a:spAutoFit/>
                    </wps:bodyPr>
                  </wps:wsp>
                </a:graphicData>
              </a:graphic>
            </wp:anchor>
          </w:drawing>
        </mc:Choice>
        <mc:Fallback>
          <w:pict>
            <v:rect id="_x0000_s0005" o:spid="_x0000_s1026" o:spt="1"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5dblS0AAAAAUBAAAP&#10;AAAAAAAAAAEAIAAAACIAAABkcnMvZG93bnJldi54bWxQSwECFAAUAAAACACHTuJAfOsoMucBAAD0&#10;AwAADgAAAAAAAAABACAAAAAfAQAAZHJzL2Uyb0RvYy54bWxQSwUGAAAAAAYABgBZAQAAeAUAAAAA&#10;">
              <v:fill on="f" focussize="0,0"/>
              <v:stroke on="f"/>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rect>
          </w:pict>
        </mc:Fallback>
      </mc:AlternateConten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_x0000_s000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anchor="t" upright="0">
                      <a:spAutoFit/>
                    </wps:bodyPr>
                  </wps:wsp>
                </a:graphicData>
              </a:graphic>
            </wp:anchor>
          </w:drawing>
        </mc:Choice>
        <mc:Fallback>
          <w:pict>
            <v:rect id="_x0000_s000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5dblS0AAAAAUBAAAP&#10;AAAAAAAAAAEAIAAAACIAAABkcnMvZG93bnJldi54bWxQSwECFAAUAAAACACHTuJABhIkyucBAAD0&#10;AwAADgAAAAAAAAABACAAAAAfAQAAZHJzL2Uyb0RvYy54bWxQSwUGAAAAAAYABgBZAQAAeAUAAAAA&#10;">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dit="trackedChanges"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06A4A34"/>
    <w:rsid w:val="00943275"/>
    <w:rsid w:val="00C8472F"/>
    <w:rsid w:val="00CC7B3A"/>
    <w:rsid w:val="01167B41"/>
    <w:rsid w:val="0117196A"/>
    <w:rsid w:val="014E188A"/>
    <w:rsid w:val="02337752"/>
    <w:rsid w:val="041E542B"/>
    <w:rsid w:val="05924419"/>
    <w:rsid w:val="06445A25"/>
    <w:rsid w:val="08CD7F03"/>
    <w:rsid w:val="094D75AC"/>
    <w:rsid w:val="09A04029"/>
    <w:rsid w:val="0ADB6B49"/>
    <w:rsid w:val="0B0C5372"/>
    <w:rsid w:val="0B895C28"/>
    <w:rsid w:val="0C9D58E1"/>
    <w:rsid w:val="0CB13F62"/>
    <w:rsid w:val="0E70724E"/>
    <w:rsid w:val="0F2C5AC8"/>
    <w:rsid w:val="108D05CB"/>
    <w:rsid w:val="11544C5D"/>
    <w:rsid w:val="12F12352"/>
    <w:rsid w:val="13167476"/>
    <w:rsid w:val="13395D67"/>
    <w:rsid w:val="152003F1"/>
    <w:rsid w:val="163569FB"/>
    <w:rsid w:val="168F064D"/>
    <w:rsid w:val="16D30B47"/>
    <w:rsid w:val="18386F42"/>
    <w:rsid w:val="1AAE019A"/>
    <w:rsid w:val="1C220BA4"/>
    <w:rsid w:val="1C3310CE"/>
    <w:rsid w:val="1C7611CD"/>
    <w:rsid w:val="1C81209E"/>
    <w:rsid w:val="1FDD4772"/>
    <w:rsid w:val="20160626"/>
    <w:rsid w:val="20374A38"/>
    <w:rsid w:val="207E0CC5"/>
    <w:rsid w:val="20F43DD9"/>
    <w:rsid w:val="21705AB1"/>
    <w:rsid w:val="21A57320"/>
    <w:rsid w:val="226837CF"/>
    <w:rsid w:val="22B0232B"/>
    <w:rsid w:val="22D31A30"/>
    <w:rsid w:val="230543CD"/>
    <w:rsid w:val="2485084F"/>
    <w:rsid w:val="25255F00"/>
    <w:rsid w:val="25707547"/>
    <w:rsid w:val="26322035"/>
    <w:rsid w:val="2669602E"/>
    <w:rsid w:val="26D34989"/>
    <w:rsid w:val="27E27C69"/>
    <w:rsid w:val="27EC16F4"/>
    <w:rsid w:val="29421942"/>
    <w:rsid w:val="2A892F9E"/>
    <w:rsid w:val="2AE72007"/>
    <w:rsid w:val="2C5A1EFE"/>
    <w:rsid w:val="2D3965AC"/>
    <w:rsid w:val="2D4E548E"/>
    <w:rsid w:val="2F681D91"/>
    <w:rsid w:val="2FA56683"/>
    <w:rsid w:val="31F619E8"/>
    <w:rsid w:val="32E4768C"/>
    <w:rsid w:val="33AE40EC"/>
    <w:rsid w:val="352A520A"/>
    <w:rsid w:val="35377A00"/>
    <w:rsid w:val="35543788"/>
    <w:rsid w:val="35830FB8"/>
    <w:rsid w:val="36794429"/>
    <w:rsid w:val="383A06F2"/>
    <w:rsid w:val="38E705E9"/>
    <w:rsid w:val="38F435A0"/>
    <w:rsid w:val="394121FE"/>
    <w:rsid w:val="3AB55410"/>
    <w:rsid w:val="3BF61087"/>
    <w:rsid w:val="3D2263DC"/>
    <w:rsid w:val="3D9D6800"/>
    <w:rsid w:val="3DB9424D"/>
    <w:rsid w:val="3DF7097D"/>
    <w:rsid w:val="3F625B59"/>
    <w:rsid w:val="3FE042B4"/>
    <w:rsid w:val="401E44DC"/>
    <w:rsid w:val="4058136E"/>
    <w:rsid w:val="42A97351"/>
    <w:rsid w:val="436E6C1B"/>
    <w:rsid w:val="43FB58FD"/>
    <w:rsid w:val="442602E4"/>
    <w:rsid w:val="44810A83"/>
    <w:rsid w:val="449E6ECC"/>
    <w:rsid w:val="44BD1157"/>
    <w:rsid w:val="457F291E"/>
    <w:rsid w:val="45E52775"/>
    <w:rsid w:val="467005EA"/>
    <w:rsid w:val="48306317"/>
    <w:rsid w:val="48723978"/>
    <w:rsid w:val="48A25BC5"/>
    <w:rsid w:val="4A6A5795"/>
    <w:rsid w:val="4AD63985"/>
    <w:rsid w:val="4AD80F60"/>
    <w:rsid w:val="4BCB2B6F"/>
    <w:rsid w:val="4BD71FDE"/>
    <w:rsid w:val="4CFF394D"/>
    <w:rsid w:val="4D056594"/>
    <w:rsid w:val="4E7C67C4"/>
    <w:rsid w:val="4FE8455D"/>
    <w:rsid w:val="53203F1B"/>
    <w:rsid w:val="53321294"/>
    <w:rsid w:val="534816C6"/>
    <w:rsid w:val="5465041D"/>
    <w:rsid w:val="5570730A"/>
    <w:rsid w:val="55A975F8"/>
    <w:rsid w:val="55CB6CB5"/>
    <w:rsid w:val="56684722"/>
    <w:rsid w:val="573D5D6A"/>
    <w:rsid w:val="58BA11C2"/>
    <w:rsid w:val="58F705D9"/>
    <w:rsid w:val="593F62F1"/>
    <w:rsid w:val="5AB76903"/>
    <w:rsid w:val="5B0F6BED"/>
    <w:rsid w:val="5C2D0654"/>
    <w:rsid w:val="5C4A082E"/>
    <w:rsid w:val="5C733BCE"/>
    <w:rsid w:val="5D28514C"/>
    <w:rsid w:val="5DCF3646"/>
    <w:rsid w:val="5EB0783C"/>
    <w:rsid w:val="5EDD47DF"/>
    <w:rsid w:val="5FBF593E"/>
    <w:rsid w:val="603F488D"/>
    <w:rsid w:val="620C4FA0"/>
    <w:rsid w:val="62816A88"/>
    <w:rsid w:val="62934BBB"/>
    <w:rsid w:val="62AD5086"/>
    <w:rsid w:val="63313795"/>
    <w:rsid w:val="633C43ED"/>
    <w:rsid w:val="638E650F"/>
    <w:rsid w:val="63C82D9D"/>
    <w:rsid w:val="673C3997"/>
    <w:rsid w:val="679C6412"/>
    <w:rsid w:val="698D301B"/>
    <w:rsid w:val="699B5CB2"/>
    <w:rsid w:val="6A00257E"/>
    <w:rsid w:val="6A53350A"/>
    <w:rsid w:val="6A6D4681"/>
    <w:rsid w:val="6A827278"/>
    <w:rsid w:val="6C4C6BF2"/>
    <w:rsid w:val="6CE17948"/>
    <w:rsid w:val="6E40412B"/>
    <w:rsid w:val="6E6341F8"/>
    <w:rsid w:val="6F2820CD"/>
    <w:rsid w:val="6F4E7D06"/>
    <w:rsid w:val="70A86AA7"/>
    <w:rsid w:val="70CA4672"/>
    <w:rsid w:val="71304E7C"/>
    <w:rsid w:val="720B4A30"/>
    <w:rsid w:val="741331C7"/>
    <w:rsid w:val="74A6730D"/>
    <w:rsid w:val="75053277"/>
    <w:rsid w:val="76483854"/>
    <w:rsid w:val="79893955"/>
    <w:rsid w:val="7AD93A33"/>
    <w:rsid w:val="7B2D2B0D"/>
    <w:rsid w:val="7B6F045D"/>
    <w:rsid w:val="7B730AD9"/>
    <w:rsid w:val="7CA173D8"/>
    <w:rsid w:val="7ED02B3F"/>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unhideWhenUsed/>
    <w:qFormat/>
    <w:uiPriority w:val="9"/>
    <w:pPr>
      <w:keepNext/>
      <w:keepLines/>
      <w:ind w:firstLine="200" w:firstLineChars="200"/>
      <w:outlineLvl w:val="2"/>
    </w:pPr>
    <w:rPr>
      <w:rFonts w:eastAsia="方正楷体简体"/>
      <w:b/>
      <w:bCs/>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4">
    <w:name w:val="annotation text"/>
    <w:basedOn w:val="1"/>
    <w:qFormat/>
    <w:uiPriority w:val="0"/>
    <w:pPr>
      <w:jc w:val="left"/>
    </w:pPr>
  </w:style>
  <w:style w:type="paragraph" w:styleId="5">
    <w:name w:val="toc 3"/>
    <w:basedOn w:val="1"/>
    <w:next w:val="1"/>
    <w:qFormat/>
    <w:uiPriority w:val="0"/>
    <w:pPr>
      <w:ind w:left="840" w:leftChars="4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table" w:styleId="11">
    <w:name w:val="Table Grid"/>
    <w:basedOn w:val="1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3">
    <w:name w:val="WPSOffice手动目录 3"/>
    <w:qFormat/>
    <w:uiPriority w:val="0"/>
    <w:pPr>
      <w:ind w:leftChars="400"/>
    </w:pPr>
    <w:rPr>
      <w:rFonts w:ascii="Times New Roman" w:hAnsi="Times New Roman" w:eastAsia="宋体" w:cs="Times New Roman"/>
      <w:sz w:val="20"/>
      <w:szCs w:val="20"/>
    </w:rPr>
  </w:style>
  <w:style w:type="paragraph" w:customStyle="1" w:styleId="14">
    <w:name w:val="WPSOffice手动目录 2"/>
    <w:qFormat/>
    <w:uiPriority w:val="0"/>
    <w:pPr>
      <w:ind w:leftChars="200"/>
    </w:pPr>
    <w:rPr>
      <w:rFonts w:ascii="Times New Roman" w:hAnsi="Times New Roman" w:eastAsia="宋体" w:cs="Times New Roman"/>
      <w:sz w:val="20"/>
      <w:szCs w:val="20"/>
    </w:rPr>
  </w:style>
  <w:style w:type="paragraph" w:customStyle="1" w:styleId="15">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cp:lastPrinted>2024-07-22T11:58:00Z</cp:lastPrinted>
  <dcterms:modified xsi:type="dcterms:W3CDTF">2025-02-18T11:07:17Z</dcterms:modified>
</cp:coreProperties>
</file>

<file path=customXml/item3.xml><?xml version="1.0" encoding="utf-8"?>
<Properties xmlns="http://schemas.openxmlformats.org/officeDocument/2006/extended-properties" xmlns:vt="http://schemas.openxmlformats.org/officeDocument/2006/docPropsVTypes">
  <Template>Normal.dotm</Template>
  <Pages>17</Pages>
  <Words>6249</Words>
  <Characters>6321</Characters>
  <Lines>0</Lines>
  <Paragraphs>0</Paragraphs>
  <TotalTime>3</TotalTime>
  <ScaleCrop>false</ScaleCrop>
  <LinksUpToDate>false</LinksUpToDate>
  <CharactersWithSpaces>6351</CharactersWithSpaces>
  <Application>WPS Office_11.8.2.10154_F1E327BC-269C-435d-A152-05C5408002CA</Application>
  <DocSecurity>0</DocSecurity>
</Properties>
</file>

<file path=customXml/item4.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7F1BA76700A04C6DA077E64EC2EDFE18_13</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b72f04-0736-43bf-8c26-c62ed3b9d6b4}">
  <ds:schemaRefs/>
</ds:datastoreItem>
</file>

<file path=customXml/itemProps3.xml><?xml version="1.0" encoding="utf-8"?>
<ds:datastoreItem xmlns:ds="http://schemas.openxmlformats.org/officeDocument/2006/customXml" ds:itemID="{12ce09f8-eb64-4aed-977b-f8b984f46111}">
  <ds:schemaRefs/>
</ds:datastoreItem>
</file>

<file path=customXml/itemProps4.xml><?xml version="1.0" encoding="utf-8"?>
<ds:datastoreItem xmlns:ds="http://schemas.openxmlformats.org/officeDocument/2006/customXml" ds:itemID="{1688abf9-7f0d-40b0-b09c-b77b7df3b55d}">
  <ds:schemaRefs/>
</ds:datastoreItem>
</file>

<file path=docProps/app.xml><?xml version="1.0" encoding="utf-8"?>
<Properties xmlns="http://schemas.openxmlformats.org/officeDocument/2006/extended-properties" xmlns:vt="http://schemas.openxmlformats.org/officeDocument/2006/docPropsVTypes">
  <Template>Normal.dotm</Template>
  <Pages>25</Pages>
  <Words>2233</Words>
  <Characters>2803</Characters>
  <Lines>0</Lines>
  <Paragraphs>0</Paragraphs>
  <TotalTime>3</TotalTime>
  <ScaleCrop>false</ScaleCrop>
  <LinksUpToDate>false</LinksUpToDate>
  <CharactersWithSpaces>3203</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cp:lastPrinted>2024-07-22T11:58:00Z</cp:lastPrinted>
  <dcterms:modified xsi:type="dcterms:W3CDTF">2025-04-24T10:53:20Z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KSOTemplateDocerSaveRecord">
    <vt:lpwstr>eyJoZGlkIjoiZThlYzAyNmZlMDBlN2NiNTkwMmMyOTAzOWYxMjc5NzAifQ==</vt:lpwstr>
  </property>
  <property fmtid="{D5CDD505-2E9C-101B-9397-08002B2CF9AE}" pid="4" name="ICV">
    <vt:lpwstr>7C4B5E40C7F8412F9B074547DDE0D315_12</vt:lpwstr>
  </property>
</Properties>
</file>