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焉耆回族自治县北大渠乡中心学校</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一、关于焉耆回族自治县北大渠乡中心学校2025年收支预算情况的总体说明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二、关于焉耆回族自治县北大渠乡中心学校2025年收入预算情况说明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三、关于焉耆回族自治县北大渠乡中心学校2025年支出预算情况说明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四、关于焉耆回族自治县北大渠乡中心学校2025年财政拨款收支预算情况的总体说明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五、关于焉耆回族自治县北大渠乡中心学校2025年一般公共预算当年拨款情况说明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六、关于焉耆回族自治县北大渠乡中心学校2025年一般公共预算基本支出情况说明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七、关于焉耆回族自治县北大渠乡中心学校2025年一般公共预算项目支出情况说明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八、关于焉耆回族自治县北大渠乡中心学校2025年政府性基金预算拨款情况说明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九、关于焉耆回族自治县北大渠乡中心学校2025年国有资本经营预算拨款情况说明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十、关于焉耆回族自治县北大渠乡中心学校2025年财政拨款“三公”经费预算情况说明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十一、关于焉耆回族自治县北大渠乡中心学校2025年上年结转结余预算情况说明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1.全面贯彻落实党和国家方针、政策、法律、法规，按照国家教育教学标准，不断提高教学质量。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焉耆县北大渠乡中心学校无下属预算单位，下设7个处室，分别是：党政办、行政办、教研处、德育处、后勤处、幼儿园、六十户教学点。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焉耆县北大渠乡中心学校编制数46，实有人数146人，其中：在职97人，减少3人；退休49人，减少1人；离休0人，增加0人。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编制单位：焉耆回族自治县北大渠乡中心学校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231"/>
        <w:gridCol w:w="1037"/>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0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0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0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1700.82</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5"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55.00</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55.00</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37"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231"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0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231"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0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1700.82</w:t>
            </w:r>
          </w:p>
        </w:tc>
        <w:tc>
          <w:tcPr>
            <w:tcW w:w="2693" w:type="dxa"/>
            <w:tcBorders>
              <w:top w:val="nil"/>
              <w:left w:val="nil"/>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1700.82</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default" w:ascii="Times New Roman" w:hAnsi="Times New Roman" w:eastAsia="仿宋_GB2312" w:cs="Times New Roman"/>
          <w:color w:val="auto"/>
          <w:kern w:val="0"/>
          <w:sz w:val="24"/>
          <w:highlight w:val="none"/>
        </w:rPr>
        <w:t>焉耆回族自治县北大渠乡中心学校</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10065" w:type="dxa"/>
        <w:tblInd w:w="-855" w:type="dxa"/>
        <w:tblLayout w:type="fixed"/>
        <w:tblCellMar>
          <w:top w:w="0" w:type="dxa"/>
          <w:left w:w="108" w:type="dxa"/>
          <w:bottom w:w="0" w:type="dxa"/>
          <w:right w:w="108" w:type="dxa"/>
        </w:tblCellMar>
      </w:tblPr>
      <w:tblGrid>
        <w:gridCol w:w="533"/>
        <w:gridCol w:w="467"/>
        <w:gridCol w:w="480"/>
        <w:gridCol w:w="740"/>
        <w:gridCol w:w="806"/>
        <w:gridCol w:w="960"/>
        <w:gridCol w:w="840"/>
        <w:gridCol w:w="654"/>
        <w:gridCol w:w="520"/>
        <w:gridCol w:w="800"/>
        <w:gridCol w:w="426"/>
        <w:gridCol w:w="618"/>
        <w:gridCol w:w="583"/>
        <w:gridCol w:w="719"/>
        <w:gridCol w:w="412"/>
        <w:gridCol w:w="507"/>
      </w:tblGrid>
      <w:tr>
        <w:tblPrEx>
          <w:tblCellMar>
            <w:top w:w="0" w:type="dxa"/>
            <w:left w:w="108" w:type="dxa"/>
            <w:bottom w:w="0" w:type="dxa"/>
            <w:right w:w="108" w:type="dxa"/>
          </w:tblCellMar>
        </w:tblPrEx>
        <w:trPr>
          <w:trHeight w:val="697" w:hRule="atLeast"/>
        </w:trPr>
        <w:tc>
          <w:tcPr>
            <w:tcW w:w="14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0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8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8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71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1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33"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6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80"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74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0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96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84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5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52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80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2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18"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58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719"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12"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0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6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48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7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教育支出</w:t>
            </w:r>
          </w:p>
        </w:tc>
        <w:tc>
          <w:tcPr>
            <w:tcW w:w="80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9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84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65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8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2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1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8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_GB2312" w:cs="Times New Roman"/>
                <w:color w:val="auto"/>
                <w:kern w:val="2"/>
                <w:sz w:val="18"/>
                <w:szCs w:val="18"/>
                <w:highlight w:val="none"/>
                <w:lang w:val="en-US" w:eastAsia="zh-CN" w:bidi="ar-SA"/>
              </w:rPr>
            </w:pPr>
          </w:p>
        </w:tc>
        <w:tc>
          <w:tcPr>
            <w:tcW w:w="71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55.</w:t>
            </w:r>
            <w:r>
              <w:rPr>
                <w:rFonts w:hint="eastAsia" w:eastAsia="仿宋_GB2312" w:cs="Times New Roman"/>
                <w:i w:val="0"/>
                <w:iCs w:val="0"/>
                <w:color w:val="000000"/>
                <w:kern w:val="0"/>
                <w:sz w:val="18"/>
                <w:szCs w:val="18"/>
                <w:u w:val="none"/>
                <w:lang w:val="en-US" w:eastAsia="zh-CN" w:bidi="ar"/>
              </w:rPr>
              <w:t>00</w:t>
            </w:r>
          </w:p>
        </w:tc>
        <w:tc>
          <w:tcPr>
            <w:tcW w:w="412"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18"/>
                <w:szCs w:val="18"/>
                <w:highlight w:val="none"/>
              </w:rPr>
            </w:pPr>
          </w:p>
        </w:tc>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7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普通教育</w:t>
            </w:r>
          </w:p>
        </w:tc>
        <w:tc>
          <w:tcPr>
            <w:tcW w:w="8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18"/>
                <w:szCs w:val="18"/>
                <w:highlight w:val="none"/>
                <w:lang w:val="en-US" w:eastAsia="zh-CN" w:bidi="ar-SA"/>
              </w:rPr>
            </w:pPr>
          </w:p>
        </w:tc>
        <w:tc>
          <w:tcPr>
            <w:tcW w:w="7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55.</w:t>
            </w:r>
            <w:r>
              <w:rPr>
                <w:rFonts w:hint="eastAsia" w:eastAsia="仿宋_GB2312" w:cs="Times New Roman"/>
                <w:i w:val="0"/>
                <w:iCs w:val="0"/>
                <w:color w:val="000000"/>
                <w:kern w:val="0"/>
                <w:sz w:val="18"/>
                <w:szCs w:val="18"/>
                <w:u w:val="none"/>
                <w:lang w:val="en-US" w:eastAsia="zh-CN" w:bidi="ar"/>
              </w:rPr>
              <w:t>00</w:t>
            </w: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8"/>
                <w:szCs w:val="18"/>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7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小学教育</w:t>
            </w:r>
          </w:p>
        </w:tc>
        <w:tc>
          <w:tcPr>
            <w:tcW w:w="8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18"/>
                <w:szCs w:val="18"/>
                <w:highlight w:val="none"/>
                <w:lang w:val="en-US" w:eastAsia="zh-CN" w:bidi="ar-SA"/>
              </w:rPr>
            </w:pPr>
          </w:p>
        </w:tc>
        <w:tc>
          <w:tcPr>
            <w:tcW w:w="7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55.</w:t>
            </w:r>
            <w:r>
              <w:rPr>
                <w:rFonts w:hint="eastAsia" w:eastAsia="仿宋_GB2312" w:cs="Times New Roman"/>
                <w:i w:val="0"/>
                <w:iCs w:val="0"/>
                <w:color w:val="000000"/>
                <w:kern w:val="0"/>
                <w:sz w:val="18"/>
                <w:szCs w:val="18"/>
                <w:u w:val="none"/>
                <w:lang w:val="en-US" w:eastAsia="zh-CN" w:bidi="ar"/>
              </w:rPr>
              <w:t>00</w:t>
            </w: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8"/>
                <w:szCs w:val="18"/>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1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1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b/>
                <w:bCs/>
                <w:color w:val="auto"/>
                <w:sz w:val="20"/>
                <w:szCs w:val="20"/>
                <w:highlight w:val="none"/>
              </w:rPr>
              <w:t>合  计</w:t>
            </w:r>
            <w:r>
              <w:rPr>
                <w:rFonts w:hint="eastAsia" w:ascii="仿宋_GB2312" w:eastAsia="仿宋_GB2312"/>
                <w:color w:val="auto"/>
                <w:sz w:val="20"/>
                <w:szCs w:val="20"/>
                <w:highlight w:val="none"/>
              </w:rPr>
              <w:t>　</w:t>
            </w:r>
          </w:p>
        </w:tc>
        <w:tc>
          <w:tcPr>
            <w:tcW w:w="8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6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2"/>
                <w:sz w:val="18"/>
                <w:szCs w:val="18"/>
                <w:highlight w:val="none"/>
                <w:lang w:val="en-US" w:eastAsia="zh-CN" w:bidi="ar-SA"/>
              </w:rPr>
            </w:pPr>
          </w:p>
        </w:tc>
        <w:tc>
          <w:tcPr>
            <w:tcW w:w="7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55.</w:t>
            </w:r>
            <w:r>
              <w:rPr>
                <w:rFonts w:hint="eastAsia" w:eastAsia="仿宋_GB2312" w:cs="Times New Roman"/>
                <w:i w:val="0"/>
                <w:iCs w:val="0"/>
                <w:color w:val="000000"/>
                <w:kern w:val="0"/>
                <w:sz w:val="18"/>
                <w:szCs w:val="18"/>
                <w:u w:val="none"/>
                <w:lang w:val="en-US" w:eastAsia="zh-CN" w:bidi="ar"/>
              </w:rPr>
              <w:t>00</w:t>
            </w:r>
          </w:p>
        </w:tc>
        <w:tc>
          <w:tcPr>
            <w:tcW w:w="41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编制单位：焉耆回族自治县北大渠乡中心学校                   单位：万元</w:t>
      </w:r>
    </w:p>
    <w:tbl>
      <w:tblPr>
        <w:tblStyle w:val="10"/>
        <w:tblW w:w="9420" w:type="dxa"/>
        <w:tblInd w:w="-240" w:type="dxa"/>
        <w:tblLayout w:type="fixed"/>
        <w:tblCellMar>
          <w:top w:w="0" w:type="dxa"/>
          <w:left w:w="108" w:type="dxa"/>
          <w:bottom w:w="0" w:type="dxa"/>
          <w:right w:w="108" w:type="dxa"/>
        </w:tblCellMar>
      </w:tblPr>
      <w:tblGrid>
        <w:gridCol w:w="516"/>
        <w:gridCol w:w="417"/>
        <w:gridCol w:w="417"/>
        <w:gridCol w:w="2546"/>
        <w:gridCol w:w="1826"/>
        <w:gridCol w:w="1827"/>
        <w:gridCol w:w="1871"/>
      </w:tblGrid>
      <w:tr>
        <w:tblPrEx>
          <w:tblCellMar>
            <w:top w:w="0" w:type="dxa"/>
            <w:left w:w="108" w:type="dxa"/>
            <w:bottom w:w="0" w:type="dxa"/>
            <w:right w:w="108" w:type="dxa"/>
          </w:tblCellMar>
        </w:tblPrEx>
        <w:trPr>
          <w:trHeight w:val="328" w:hRule="atLeast"/>
        </w:trPr>
        <w:tc>
          <w:tcPr>
            <w:tcW w:w="3896"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24"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4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4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rPr>
              <w:t>　</w:t>
            </w:r>
          </w:p>
        </w:tc>
        <w:tc>
          <w:tcPr>
            <w:tcW w:w="25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教育支出</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lang w:val="en-US"/>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rPr>
              <w:t>　</w:t>
            </w:r>
          </w:p>
        </w:tc>
        <w:tc>
          <w:tcPr>
            <w:tcW w:w="25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普通教育</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lang w:val="en-US"/>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小学教育</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lang w:val="en-US"/>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2546" w:type="dxa"/>
            <w:tcBorders>
              <w:top w:val="nil"/>
              <w:left w:val="nil"/>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1826" w:type="dxa"/>
            <w:tcBorders>
              <w:top w:val="nil"/>
              <w:left w:val="nil"/>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1827" w:type="dxa"/>
            <w:tcBorders>
              <w:top w:val="nil"/>
              <w:left w:val="nil"/>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1871" w:type="dxa"/>
            <w:tcBorders>
              <w:top w:val="nil"/>
              <w:left w:val="nil"/>
              <w:bottom w:val="single" w:color="auto" w:sz="4" w:space="0"/>
              <w:right w:val="single" w:color="auto" w:sz="4" w:space="0"/>
            </w:tcBorders>
            <w:vAlign w:val="center"/>
          </w:tcPr>
          <w:p>
            <w:pP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i w:val="0"/>
                <w:iCs w:val="0"/>
                <w:color w:val="000000"/>
                <w:kern w:val="0"/>
                <w:sz w:val="18"/>
                <w:szCs w:val="18"/>
                <w:u w:val="none"/>
                <w:lang w:val="en-US" w:eastAsia="zh-CN" w:bidi="ar"/>
              </w:rPr>
              <w:t>1700.82</w:t>
            </w:r>
          </w:p>
        </w:tc>
        <w:tc>
          <w:tcPr>
            <w:tcW w:w="187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4"/>
                <w:highlight w:val="none"/>
                <w:lang w:val="en-US"/>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highlight w:val="none"/>
        </w:rPr>
        <w:t>焉耆回族自治县北大渠乡中心学校</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0"/>
        <w:tblW w:w="9765" w:type="dxa"/>
        <w:tblInd w:w="-556" w:type="dxa"/>
        <w:tblLayout w:type="fixed"/>
        <w:tblCellMar>
          <w:top w:w="0" w:type="dxa"/>
          <w:left w:w="108" w:type="dxa"/>
          <w:bottom w:w="0" w:type="dxa"/>
          <w:right w:w="108" w:type="dxa"/>
        </w:tblCellMar>
      </w:tblPr>
      <w:tblGrid>
        <w:gridCol w:w="2200"/>
        <w:gridCol w:w="959"/>
        <w:gridCol w:w="2557"/>
        <w:gridCol w:w="900"/>
        <w:gridCol w:w="893"/>
        <w:gridCol w:w="1128"/>
        <w:gridCol w:w="1128"/>
      </w:tblGrid>
      <w:tr>
        <w:tblPrEx>
          <w:tblCellMar>
            <w:top w:w="0" w:type="dxa"/>
            <w:left w:w="108" w:type="dxa"/>
            <w:bottom w:w="0" w:type="dxa"/>
            <w:right w:w="108" w:type="dxa"/>
          </w:tblCellMar>
        </w:tblPrEx>
        <w:trPr>
          <w:trHeight w:val="285" w:hRule="atLeast"/>
        </w:trPr>
        <w:tc>
          <w:tcPr>
            <w:tcW w:w="3159"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606"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2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8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59"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rPr>
              <w:t>收</w:t>
            </w:r>
            <w:r>
              <w:rPr>
                <w:rFonts w:hint="eastAsia" w:eastAsia="仿宋_GB2312" w:cs="Times New Roman"/>
                <w:b/>
                <w:bCs/>
                <w:color w:val="auto"/>
                <w:kern w:val="0"/>
                <w:sz w:val="20"/>
                <w:szCs w:val="20"/>
                <w:highlight w:val="none"/>
                <w:lang w:val="en-US" w:eastAsia="zh-CN"/>
              </w:rPr>
              <w:t xml:space="preserve"> </w:t>
            </w:r>
            <w:r>
              <w:rPr>
                <w:rFonts w:hint="default" w:ascii="Times New Roman" w:hAnsi="Times New Roman" w:eastAsia="仿宋_GB2312" w:cs="Times New Roman"/>
                <w:b/>
                <w:bCs/>
                <w:color w:val="auto"/>
                <w:kern w:val="0"/>
                <w:sz w:val="20"/>
                <w:szCs w:val="20"/>
                <w:highlight w:val="none"/>
                <w:lang w:val="en-US" w:eastAsia="zh-CN"/>
              </w:rPr>
              <w:t>入</w:t>
            </w:r>
            <w:r>
              <w:rPr>
                <w:rFonts w:hint="eastAsia" w:eastAsia="仿宋_GB2312" w:cs="Times New Roman"/>
                <w:b/>
                <w:bCs/>
                <w:color w:val="auto"/>
                <w:kern w:val="0"/>
                <w:sz w:val="20"/>
                <w:szCs w:val="20"/>
                <w:highlight w:val="none"/>
                <w:lang w:val="en-US" w:eastAsia="zh-CN"/>
              </w:rPr>
              <w:t xml:space="preserve"> </w:t>
            </w:r>
            <w:r>
              <w:rPr>
                <w:rFonts w:hint="default" w:ascii="Times New Roman" w:hAnsi="Times New Roman" w:eastAsia="仿宋_GB2312" w:cs="Times New Roman"/>
                <w:b/>
                <w:bCs/>
                <w:color w:val="auto"/>
                <w:kern w:val="0"/>
                <w:sz w:val="20"/>
                <w:szCs w:val="20"/>
                <w:highlight w:val="none"/>
                <w:lang w:val="en-US" w:eastAsia="zh-CN"/>
              </w:rPr>
              <w:t>总</w:t>
            </w:r>
            <w:r>
              <w:rPr>
                <w:rFonts w:hint="eastAsia" w:eastAsia="仿宋_GB2312" w:cs="Times New Roman"/>
                <w:b/>
                <w:bCs/>
                <w:color w:val="auto"/>
                <w:kern w:val="0"/>
                <w:sz w:val="20"/>
                <w:szCs w:val="20"/>
                <w:highlight w:val="none"/>
                <w:lang w:val="en-US" w:eastAsia="zh-CN"/>
              </w:rPr>
              <w:t xml:space="preserve"> </w:t>
            </w:r>
            <w:r>
              <w:rPr>
                <w:rFonts w:hint="default" w:ascii="Times New Roman" w:hAnsi="Times New Roman" w:eastAsia="仿宋_GB2312" w:cs="Times New Roman"/>
                <w:b/>
                <w:bCs/>
                <w:color w:val="auto"/>
                <w:kern w:val="0"/>
                <w:sz w:val="20"/>
                <w:szCs w:val="20"/>
                <w:highlight w:val="none"/>
                <w:lang w:val="en-US" w:eastAsia="zh-CN"/>
              </w:rPr>
              <w:t>计</w:t>
            </w:r>
          </w:p>
        </w:tc>
        <w:tc>
          <w:tcPr>
            <w:tcW w:w="9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1645.82　</w:t>
            </w:r>
          </w:p>
        </w:tc>
        <w:tc>
          <w:tcPr>
            <w:tcW w:w="25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rPr>
              <w:t>支 出 总 计</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0000FF"/>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8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0000FF"/>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color w:val="0000FF"/>
                <w:kern w:val="0"/>
                <w:sz w:val="18"/>
                <w:szCs w:val="18"/>
                <w:highlight w:val="none"/>
              </w:rPr>
            </w:pPr>
          </w:p>
        </w:tc>
        <w:tc>
          <w:tcPr>
            <w:tcW w:w="11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19"/>
        <w:gridCol w:w="499"/>
        <w:gridCol w:w="502"/>
        <w:gridCol w:w="2495"/>
        <w:gridCol w:w="1675"/>
        <w:gridCol w:w="215"/>
        <w:gridCol w:w="1617"/>
        <w:gridCol w:w="1692"/>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905" w:type="dxa"/>
            <w:gridSpan w:val="6"/>
            <w:tcBorders>
              <w:top w:val="nil"/>
              <w:left w:val="nil"/>
              <w:bottom w:val="nil"/>
              <w:right w:val="nil"/>
            </w:tcBorders>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编制单位：焉耆回族自治县北大渠乡中心学校</w:t>
            </w:r>
          </w:p>
        </w:tc>
        <w:tc>
          <w:tcPr>
            <w:tcW w:w="3309" w:type="dxa"/>
            <w:gridSpan w:val="2"/>
            <w:tcBorders>
              <w:top w:val="nil"/>
              <w:left w:val="nil"/>
              <w:bottom w:val="nil"/>
              <w:right w:val="nil"/>
            </w:tcBorders>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99"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5"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5"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2"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5"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5"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p>
        </w:tc>
        <w:tc>
          <w:tcPr>
            <w:tcW w:w="5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教育支出</w:t>
            </w:r>
          </w:p>
        </w:tc>
        <w:tc>
          <w:tcPr>
            <w:tcW w:w="1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18"/>
                <w:szCs w:val="18"/>
                <w:u w:val="none"/>
                <w:lang w:val="en-US" w:eastAsia="zh-CN" w:bidi="ar"/>
              </w:rPr>
              <w:t>1645.82</w:t>
            </w:r>
          </w:p>
        </w:tc>
        <w:tc>
          <w:tcPr>
            <w:tcW w:w="183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18"/>
                <w:szCs w:val="18"/>
                <w:u w:val="none"/>
                <w:lang w:val="en-US" w:eastAsia="zh-CN" w:bidi="ar"/>
              </w:rPr>
              <w:t>1645.82</w:t>
            </w:r>
          </w:p>
        </w:tc>
        <w:tc>
          <w:tcPr>
            <w:tcW w:w="16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普通教育</w:t>
            </w:r>
          </w:p>
        </w:tc>
        <w:tc>
          <w:tcPr>
            <w:tcW w:w="1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18"/>
                <w:szCs w:val="18"/>
                <w:u w:val="none"/>
                <w:lang w:val="en-US" w:eastAsia="zh-CN" w:bidi="ar"/>
              </w:rPr>
              <w:t>1645.82</w:t>
            </w:r>
          </w:p>
        </w:tc>
        <w:tc>
          <w:tcPr>
            <w:tcW w:w="183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18"/>
                <w:szCs w:val="18"/>
                <w:u w:val="none"/>
                <w:lang w:val="en-US" w:eastAsia="zh-CN" w:bidi="ar"/>
              </w:rPr>
              <w:t>1645.82</w:t>
            </w:r>
          </w:p>
        </w:tc>
        <w:tc>
          <w:tcPr>
            <w:tcW w:w="16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24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iCs w:val="0"/>
                <w:color w:val="000000"/>
                <w:kern w:val="0"/>
                <w:sz w:val="20"/>
                <w:szCs w:val="20"/>
                <w:u w:val="none"/>
                <w:lang w:val="en-US" w:eastAsia="zh-CN" w:bidi="ar"/>
              </w:rPr>
              <w:t>小学教育</w:t>
            </w:r>
          </w:p>
        </w:tc>
        <w:tc>
          <w:tcPr>
            <w:tcW w:w="1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18"/>
                <w:szCs w:val="18"/>
                <w:u w:val="none"/>
                <w:lang w:val="en-US" w:eastAsia="zh-CN" w:bidi="ar"/>
              </w:rPr>
              <w:t>1645.82</w:t>
            </w:r>
          </w:p>
        </w:tc>
        <w:tc>
          <w:tcPr>
            <w:tcW w:w="183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i w:val="0"/>
                <w:iCs w:val="0"/>
                <w:color w:val="000000"/>
                <w:kern w:val="0"/>
                <w:sz w:val="18"/>
                <w:szCs w:val="18"/>
                <w:u w:val="none"/>
                <w:lang w:val="en-US" w:eastAsia="zh-CN" w:bidi="ar"/>
              </w:rPr>
              <w:t>1645.82</w:t>
            </w:r>
          </w:p>
        </w:tc>
        <w:tc>
          <w:tcPr>
            <w:tcW w:w="16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83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000000"/>
                <w:kern w:val="0"/>
                <w:sz w:val="18"/>
                <w:szCs w:val="18"/>
                <w:u w:val="none"/>
                <w:lang w:val="en-US" w:eastAsia="zh-CN" w:bidi="ar"/>
              </w:rPr>
              <w:t>1645.82</w:t>
            </w:r>
          </w:p>
        </w:tc>
        <w:tc>
          <w:tcPr>
            <w:tcW w:w="183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000000"/>
                <w:kern w:val="0"/>
                <w:sz w:val="18"/>
                <w:szCs w:val="18"/>
                <w:u w:val="none"/>
                <w:lang w:val="en-US" w:eastAsia="zh-CN" w:bidi="ar"/>
              </w:rPr>
              <w:t>1645.82</w:t>
            </w:r>
          </w:p>
        </w:tc>
        <w:tc>
          <w:tcPr>
            <w:tcW w:w="16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编制单位：焉耆回族自治县北大渠乡中心学校</w:t>
            </w:r>
          </w:p>
        </w:tc>
        <w:tc>
          <w:tcPr>
            <w:tcW w:w="2426" w:type="dxa"/>
            <w:gridSpan w:val="2"/>
            <w:tcBorders>
              <w:top w:val="nil"/>
              <w:left w:val="nil"/>
              <w:bottom w:val="nil"/>
              <w:right w:val="nil"/>
            </w:tcBorders>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工资福利支出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1609.11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1609.11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基本工资</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553.42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553.42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津贴补贴</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587.18</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587.18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170.61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170.61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4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职业年金缴费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85.31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85.31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职工基本医疗保险缴费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77.06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77.06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其他社会保障缴费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7.57</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7.57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127.96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127.96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商品与服务支出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28.50</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28.50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取暖费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25.51</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25.51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培训费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2.60</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工会经费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0.21</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0.21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福利费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0.19</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0.1</w:t>
            </w:r>
            <w:r>
              <w:rPr>
                <w:rFonts w:hint="eastAsia" w:ascii="Times New Roman" w:hAnsi="Times New Roman" w:eastAsia="仿宋_GB2312" w:cs="Times New Roman"/>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对个人和家庭补助</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8.21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8.21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退休费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8.21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8.21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1645.82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1617.32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28.50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default" w:ascii="Times New Roman" w:hAnsi="Times New Roman" w:eastAsia="仿宋_GB2312" w:cs="Times New Roman"/>
                <w:color w:val="auto"/>
                <w:kern w:val="0"/>
                <w:sz w:val="24"/>
                <w:highlight w:val="none"/>
              </w:rPr>
              <w:t>焉耆回族自治县北大渠乡中心学校</w:t>
            </w:r>
            <w:r>
              <w:rPr>
                <w:rFonts w:hint="eastAsia" w:ascii="仿宋_GB2312" w:hAnsi="宋体" w:eastAsia="仿宋_GB2312" w:cs="宋体"/>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本单位无一般公共预算项目支出</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编制单位：焉耆回族自治县北大渠乡中心学校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24"/>
                <w:highlight w:val="none"/>
              </w:rPr>
            </w:pP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24"/>
                <w:highlight w:val="none"/>
              </w:rPr>
            </w:pP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本单位无政府性基金预算</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焉耆回族自治县北大渠乡中心学校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24"/>
                <w:highlight w:val="none"/>
              </w:rPr>
            </w:pP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auto"/>
                <w:kern w:val="0"/>
                <w:sz w:val="24"/>
                <w:highlight w:val="none"/>
              </w:rPr>
            </w:pP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本单位无国有资本经营预算</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编制单位：焉耆回族自治县北大渠乡中心学校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w:t>
      </w:r>
      <w:r>
        <w:rPr>
          <w:rFonts w:hint="eastAsia" w:ascii="Times New Roman" w:hAnsi="Times New Roman" w:eastAsia="仿宋_GB2312" w:cs="Times New Roman"/>
          <w:b/>
          <w:color w:val="auto"/>
          <w:kern w:val="0"/>
          <w:sz w:val="28"/>
          <w:szCs w:val="32"/>
          <w:highlight w:val="none"/>
          <w:lang w:eastAsia="zh-CN"/>
        </w:rPr>
        <w:t>单位无</w:t>
      </w:r>
      <w:r>
        <w:rPr>
          <w:rFonts w:hint="eastAsia" w:ascii="Times New Roman" w:hAnsi="Times New Roman" w:eastAsia="仿宋_GB2312" w:cs="Times New Roman"/>
          <w:b/>
          <w:color w:val="auto"/>
          <w:kern w:val="0"/>
          <w:sz w:val="28"/>
          <w:szCs w:val="32"/>
          <w:highlight w:val="none"/>
          <w:lang w:val="en-US" w:eastAsia="zh-Hans"/>
        </w:rPr>
        <w:t>财政拨款</w:t>
      </w:r>
      <w:r>
        <w:rPr>
          <w:rFonts w:hint="eastAsia" w:ascii="Times New Roman" w:hAnsi="Times New Roman" w:eastAsia="仿宋_GB2312" w:cs="Times New Roman"/>
          <w:b/>
          <w:color w:val="auto"/>
          <w:kern w:val="0"/>
          <w:sz w:val="28"/>
          <w:szCs w:val="32"/>
          <w:highlight w:val="none"/>
          <w:lang w:eastAsia="zh-CN"/>
        </w:rPr>
        <w:t>“三公”经费</w:t>
      </w:r>
      <w:r>
        <w:rPr>
          <w:rFonts w:hint="default" w:ascii="Times New Roman" w:hAnsi="Times New Roman" w:eastAsia="仿宋_GB2312" w:cs="Times New Roman"/>
          <w:b/>
          <w:color w:val="auto"/>
          <w:kern w:val="0"/>
          <w:sz w:val="28"/>
          <w:szCs w:val="32"/>
          <w:highlight w:val="none"/>
          <w:lang w:eastAsia="zh-CN"/>
        </w:rPr>
        <w:t>，此表为空表。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 xml:space="preserve">编制单位： 焉耆回族自治县北大渠乡中心学校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890" w:type="dxa"/>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Align w:val="center"/>
          </w:tcPr>
          <w:p>
            <w:pPr>
              <w:spacing w:line="600" w:lineRule="exact"/>
              <w:jc w:val="center"/>
              <w:rPr>
                <w:rFonts w:ascii="仿宋" w:hAnsi="仿宋" w:eastAsia="仿宋" w:cs="仿宋_GB2312"/>
                <w:bCs/>
                <w:color w:val="auto"/>
                <w:kern w:val="0"/>
                <w:sz w:val="28"/>
                <w:szCs w:val="28"/>
                <w:highlight w:val="none"/>
              </w:rPr>
            </w:pPr>
          </w:p>
        </w:tc>
        <w:tc>
          <w:tcPr>
            <w:tcW w:w="890"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Align w:val="center"/>
          </w:tcPr>
          <w:p>
            <w:pPr>
              <w:spacing w:line="600" w:lineRule="exact"/>
              <w:jc w:val="center"/>
              <w:rPr>
                <w:rFonts w:ascii="仿宋" w:hAnsi="仿宋" w:eastAsia="仿宋" w:cs="仿宋_GB2312"/>
                <w:bCs/>
                <w:color w:val="auto"/>
                <w:kern w:val="0"/>
                <w:sz w:val="28"/>
                <w:szCs w:val="28"/>
                <w:highlight w:val="none"/>
              </w:rPr>
            </w:pPr>
          </w:p>
        </w:tc>
        <w:tc>
          <w:tcPr>
            <w:tcW w:w="890"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Align w:val="center"/>
          </w:tcPr>
          <w:p>
            <w:pPr>
              <w:spacing w:line="600" w:lineRule="exact"/>
              <w:jc w:val="center"/>
              <w:rPr>
                <w:rFonts w:ascii="仿宋" w:hAnsi="仿宋" w:eastAsia="仿宋" w:cs="仿宋_GB2312"/>
                <w:bCs/>
                <w:color w:val="auto"/>
                <w:kern w:val="0"/>
                <w:sz w:val="28"/>
                <w:szCs w:val="28"/>
                <w:highlight w:val="none"/>
              </w:rPr>
            </w:pPr>
          </w:p>
        </w:tc>
        <w:tc>
          <w:tcPr>
            <w:tcW w:w="890"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Align w:val="center"/>
          </w:tcPr>
          <w:p>
            <w:pPr>
              <w:spacing w:line="600" w:lineRule="exact"/>
              <w:jc w:val="center"/>
              <w:rPr>
                <w:rFonts w:ascii="仿宋" w:hAnsi="仿宋" w:eastAsia="仿宋" w:cs="仿宋_GB2312"/>
                <w:bCs/>
                <w:color w:val="auto"/>
                <w:kern w:val="0"/>
                <w:sz w:val="28"/>
                <w:szCs w:val="28"/>
                <w:highlight w:val="none"/>
              </w:rPr>
            </w:pPr>
          </w:p>
        </w:tc>
        <w:tc>
          <w:tcPr>
            <w:tcW w:w="723" w:type="dxa"/>
            <w:vAlign w:val="center"/>
          </w:tcPr>
          <w:p>
            <w:pPr>
              <w:spacing w:line="600" w:lineRule="exact"/>
              <w:jc w:val="center"/>
              <w:rPr>
                <w:rFonts w:ascii="仿宋" w:hAnsi="仿宋" w:eastAsia="仿宋" w:cs="仿宋_GB2312"/>
                <w:bCs/>
                <w:color w:val="auto"/>
                <w:kern w:val="0"/>
                <w:sz w:val="28"/>
                <w:szCs w:val="28"/>
                <w:highlight w:val="none"/>
              </w:rPr>
            </w:pPr>
          </w:p>
        </w:tc>
        <w:tc>
          <w:tcPr>
            <w:tcW w:w="881" w:type="dxa"/>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vAlign w:val="center"/>
          </w:tcPr>
          <w:p>
            <w:pPr>
              <w:keepNext w:val="0"/>
              <w:keepLines w:val="0"/>
              <w:widowControl/>
              <w:suppressLineNumbers w:val="0"/>
              <w:jc w:val="right"/>
              <w:textAlignment w:val="center"/>
              <w:rPr>
                <w:rFonts w:ascii="仿宋" w:hAnsi="仿宋" w:eastAsia="仿宋" w:cs="仿宋_GB2312"/>
                <w:bCs/>
                <w:color w:val="auto"/>
                <w:kern w:val="0"/>
                <w:sz w:val="28"/>
                <w:szCs w:val="28"/>
                <w:highlight w:val="none"/>
              </w:rPr>
            </w:pPr>
          </w:p>
        </w:tc>
        <w:tc>
          <w:tcPr>
            <w:tcW w:w="890" w:type="dxa"/>
            <w:vAlign w:val="center"/>
          </w:tcPr>
          <w:p>
            <w:pPr>
              <w:keepNext w:val="0"/>
              <w:keepLines w:val="0"/>
              <w:widowControl/>
              <w:suppressLineNumbers w:val="0"/>
              <w:jc w:val="right"/>
              <w:textAlignment w:val="center"/>
              <w:rPr>
                <w:rFonts w:hint="eastAsia" w:ascii="仿宋_GB2312" w:hAnsi="宋体" w:eastAsia="仿宋_GB2312" w:cs="宋体"/>
                <w:b/>
                <w:bCs/>
                <w:color w:val="auto"/>
                <w:kern w:val="0"/>
                <w:sz w:val="20"/>
                <w:szCs w:val="20"/>
                <w:highlight w:val="none"/>
                <w:lang w:val="en-US" w:eastAsia="zh-CN"/>
              </w:rPr>
            </w:pPr>
          </w:p>
        </w:tc>
        <w:tc>
          <w:tcPr>
            <w:tcW w:w="714" w:type="dxa"/>
            <w:vAlign w:val="center"/>
          </w:tcPr>
          <w:p>
            <w:pPr>
              <w:keepNext w:val="0"/>
              <w:keepLines w:val="0"/>
              <w:widowControl/>
              <w:suppressLineNumbers w:val="0"/>
              <w:jc w:val="right"/>
              <w:textAlignment w:val="center"/>
              <w:rPr>
                <w:rFonts w:hint="eastAsia" w:ascii="仿宋_GB2312" w:hAnsi="宋体" w:eastAsia="仿宋_GB2312" w:cs="宋体"/>
                <w:b/>
                <w:bCs/>
                <w:color w:val="auto"/>
                <w:kern w:val="0"/>
                <w:sz w:val="20"/>
                <w:szCs w:val="20"/>
                <w:highlight w:val="none"/>
                <w:lang w:val="en-US" w:eastAsia="zh-CN"/>
              </w:rPr>
            </w:pPr>
          </w:p>
        </w:tc>
        <w:tc>
          <w:tcPr>
            <w:tcW w:w="1211" w:type="dxa"/>
            <w:vAlign w:val="center"/>
          </w:tcPr>
          <w:p>
            <w:pPr>
              <w:keepNext w:val="0"/>
              <w:keepLines w:val="0"/>
              <w:widowControl/>
              <w:suppressLineNumbers w:val="0"/>
              <w:jc w:val="right"/>
              <w:textAlignment w:val="center"/>
              <w:rPr>
                <w:rFonts w:ascii="仿宋" w:hAnsi="仿宋" w:eastAsia="仿宋" w:cs="仿宋_GB2312"/>
                <w:bCs/>
                <w:color w:val="auto"/>
                <w:kern w:val="0"/>
                <w:sz w:val="28"/>
                <w:szCs w:val="28"/>
                <w:highlight w:val="none"/>
              </w:rPr>
            </w:pPr>
          </w:p>
        </w:tc>
        <w:tc>
          <w:tcPr>
            <w:tcW w:w="797" w:type="dxa"/>
            <w:vAlign w:val="center"/>
          </w:tcPr>
          <w:p>
            <w:pPr>
              <w:keepNext w:val="0"/>
              <w:keepLines w:val="0"/>
              <w:widowControl/>
              <w:suppressLineNumbers w:val="0"/>
              <w:jc w:val="right"/>
              <w:textAlignment w:val="center"/>
              <w:rPr>
                <w:rFonts w:ascii="仿宋" w:hAnsi="仿宋" w:eastAsia="仿宋" w:cs="仿宋_GB2312"/>
                <w:bCs/>
                <w:color w:val="auto"/>
                <w:kern w:val="0"/>
                <w:sz w:val="28"/>
                <w:szCs w:val="28"/>
                <w:highlight w:val="none"/>
              </w:rPr>
            </w:pPr>
          </w:p>
        </w:tc>
        <w:tc>
          <w:tcPr>
            <w:tcW w:w="723" w:type="dxa"/>
            <w:vAlign w:val="center"/>
          </w:tcPr>
          <w:p>
            <w:pPr>
              <w:keepNext w:val="0"/>
              <w:keepLines w:val="0"/>
              <w:widowControl/>
              <w:suppressLineNumbers w:val="0"/>
              <w:jc w:val="right"/>
              <w:textAlignment w:val="center"/>
              <w:rPr>
                <w:rFonts w:ascii="仿宋" w:hAnsi="仿宋" w:eastAsia="仿宋" w:cs="仿宋_GB2312"/>
                <w:bCs/>
                <w:color w:val="auto"/>
                <w:kern w:val="0"/>
                <w:sz w:val="28"/>
                <w:szCs w:val="28"/>
                <w:highlight w:val="none"/>
              </w:rPr>
            </w:pPr>
          </w:p>
        </w:tc>
        <w:tc>
          <w:tcPr>
            <w:tcW w:w="881" w:type="dxa"/>
            <w:vAlign w:val="center"/>
          </w:tcPr>
          <w:p>
            <w:pPr>
              <w:keepNext w:val="0"/>
              <w:keepLines w:val="0"/>
              <w:widowControl/>
              <w:suppressLineNumbers w:val="0"/>
              <w:jc w:val="right"/>
              <w:textAlignment w:val="center"/>
              <w:rPr>
                <w:rFonts w:ascii="仿宋" w:hAnsi="仿宋" w:eastAsia="仿宋" w:cs="仿宋_GB2312"/>
                <w:bCs/>
                <w:color w:val="auto"/>
                <w:kern w:val="0"/>
                <w:sz w:val="28"/>
                <w:szCs w:val="28"/>
                <w:highlight w:val="none"/>
              </w:rPr>
            </w:pPr>
          </w:p>
        </w:tc>
        <w:tc>
          <w:tcPr>
            <w:tcW w:w="1211" w:type="dxa"/>
            <w:vAlign w:val="center"/>
          </w:tcPr>
          <w:p>
            <w:pPr>
              <w:keepNext w:val="0"/>
              <w:keepLines w:val="0"/>
              <w:widowControl/>
              <w:suppressLineNumbers w:val="0"/>
              <w:jc w:val="right"/>
              <w:textAlignment w:val="center"/>
              <w:rPr>
                <w:rFonts w:ascii="仿宋" w:hAnsi="仿宋" w:eastAsia="仿宋" w:cs="仿宋_GB2312"/>
                <w:bCs/>
                <w:color w:val="auto"/>
                <w:kern w:val="0"/>
                <w:sz w:val="28"/>
                <w:szCs w:val="28"/>
                <w:highlight w:val="none"/>
              </w:rPr>
            </w:pPr>
          </w:p>
        </w:tc>
      </w:tr>
    </w:tbl>
    <w:p>
      <w:pPr>
        <w:widowControl/>
        <w:spacing w:line="280" w:lineRule="exact"/>
        <w:outlineLvl w:val="1"/>
        <w:rPr>
          <w:rFonts w:hint="eastAsia" w:ascii="仿宋_GB2312" w:hAnsi="宋体" w:eastAsia="仿宋_GB2312"/>
          <w:b/>
          <w:color w:val="auto"/>
          <w:kern w:val="0"/>
          <w:sz w:val="28"/>
          <w:szCs w:val="32"/>
          <w:highlight w:val="none"/>
        </w:rPr>
      </w:pPr>
    </w:p>
    <w:p>
      <w:pPr>
        <w:spacing w:line="600" w:lineRule="exact"/>
        <w:jc w:val="both"/>
        <w:rPr>
          <w:rFonts w:hint="default" w:ascii="Times New Roman" w:hAnsi="Times New Roman" w:eastAsia="仿宋_GB2312" w:cs="Times New Roman"/>
          <w:kern w:val="0"/>
          <w:sz w:val="32"/>
          <w:szCs w:val="32"/>
          <w:lang w:eastAsia="zh-CN"/>
        </w:rPr>
      </w:pPr>
      <w:r>
        <w:rPr>
          <w:rFonts w:hint="eastAsia" w:eastAsia="仿宋_GB2312" w:cs="Times New Roman"/>
          <w:b/>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val="en-US" w:eastAsia="zh-CN"/>
        </w:rPr>
        <w:t>2025年本单位</w:t>
      </w:r>
      <w:r>
        <w:rPr>
          <w:rFonts w:hint="eastAsia" w:eastAsia="仿宋_GB2312" w:cs="Times New Roman"/>
          <w:b/>
          <w:kern w:val="0"/>
          <w:sz w:val="28"/>
          <w:szCs w:val="32"/>
          <w:highlight w:val="none"/>
          <w:lang w:eastAsia="zh-CN"/>
        </w:rPr>
        <w:t>无</w:t>
      </w:r>
      <w:r>
        <w:rPr>
          <w:rFonts w:hint="default" w:ascii="Times New Roman" w:hAnsi="Times New Roman" w:eastAsia="仿宋_GB2312" w:cs="Times New Roman"/>
          <w:b/>
          <w:kern w:val="0"/>
          <w:sz w:val="28"/>
          <w:szCs w:val="32"/>
          <w:highlight w:val="none"/>
          <w:lang w:eastAsia="zh-CN"/>
        </w:rPr>
        <w:t>上年结转结余资金，此表为空表。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一、关于焉耆回族自治县北大渠乡中心学校2025年收支预算情况的总体说明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按照全口径预算的原则，焉耆回族自治县北大渠乡中心学校2025年所有收入和支出均纳入单位预算管理。收支总预算1700.82万元。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二、关于焉耆回族自治县北大渠乡中心学校2025年收入预算情况说明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焉耆回族自治县北大渠乡中心学校收入预算1700.82万元，其中：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w:t>
      </w:r>
      <w:r>
        <w:rPr>
          <w:rFonts w:hint="eastAsia" w:eastAsia="仿宋_GB2312" w:cs="Times New Roman"/>
          <w:color w:val="auto"/>
          <w:kern w:val="0"/>
          <w:sz w:val="32"/>
          <w:szCs w:val="32"/>
          <w:highlight w:val="none"/>
          <w:lang w:val="en-US" w:eastAsia="zh-CN"/>
        </w:rPr>
        <w:t>1645.82</w:t>
      </w:r>
      <w:r>
        <w:rPr>
          <w:rFonts w:hint="default"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96.77</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eastAsia="仿宋_GB2312" w:cs="Times New Roman"/>
          <w:color w:val="auto"/>
          <w:kern w:val="0"/>
          <w:sz w:val="32"/>
          <w:szCs w:val="32"/>
          <w:highlight w:val="none"/>
          <w:lang w:val="en-US" w:eastAsia="zh-CN"/>
        </w:rPr>
        <w:t>661.61</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28.67</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人员减少，工资社保等相应减少。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110.68</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 xml:space="preserve">%，主要原因是本年度项目预算资金由主管部门负责填报，故项目支出减少；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单位资金55万元，占3.23%，比上年预算增加37万元，增长205.56%，主要原因</w:t>
      </w:r>
      <w:r>
        <w:rPr>
          <w:rFonts w:hint="eastAsia" w:ascii="Times New Roman" w:hAnsi="Times New Roman" w:eastAsia="仿宋_GB2312" w:cs="Times New Roman"/>
          <w:color w:val="auto"/>
          <w:kern w:val="0"/>
          <w:sz w:val="32"/>
          <w:szCs w:val="32"/>
          <w:highlight w:val="none"/>
          <w:lang w:val="en-US" w:eastAsia="zh-CN"/>
        </w:rPr>
        <w:t>是本年度其他事业收入</w:t>
      </w:r>
      <w:r>
        <w:rPr>
          <w:rFonts w:hint="default" w:ascii="Times New Roman" w:hAnsi="Times New Roman" w:eastAsia="仿宋_GB2312" w:cs="Times New Roman"/>
          <w:color w:val="auto"/>
          <w:kern w:val="0"/>
          <w:sz w:val="32"/>
          <w:szCs w:val="32"/>
          <w:highlight w:val="none"/>
          <w:lang w:val="en-US" w:eastAsia="zh-CN"/>
        </w:rPr>
        <w:t>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三、关于焉耆回族自治县北大渠乡中心学校2025年支出预算情况说明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焉耆回族自治县北大渠乡中心学校</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    1700.82</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基本支出1700.82万元，占</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eastAsia" w:ascii="Times New Roman" w:hAnsi="Times New Roman" w:eastAsia="仿宋_GB2312" w:cs="Times New Roman"/>
          <w:color w:val="auto"/>
          <w:kern w:val="0"/>
          <w:sz w:val="32"/>
          <w:szCs w:val="32"/>
          <w:highlight w:val="none"/>
          <w:lang w:val="en-US" w:eastAsia="zh-CN"/>
        </w:rPr>
        <w:t>624.61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26.86</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教师和学生人数减少</w:t>
      </w:r>
      <w:r>
        <w:rPr>
          <w:rFonts w:hint="eastAsia" w:ascii="Times New Roman" w:hAnsi="Times New Roman" w:eastAsia="仿宋_GB2312" w:cs="Times New Roman"/>
          <w:color w:val="auto"/>
          <w:kern w:val="0"/>
          <w:sz w:val="32"/>
          <w:szCs w:val="32"/>
          <w:highlight w:val="none"/>
          <w:lang w:eastAsia="zh-CN"/>
        </w:rPr>
        <w:t>，人员经费及公用经费相应减少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w:t>
      </w:r>
      <w:r>
        <w:rPr>
          <w:rFonts w:hint="eastAsia" w:ascii="Times New Roman" w:hAnsi="Times New Roman" w:eastAsia="仿宋_GB2312" w:cs="Times New Roman"/>
          <w:color w:val="auto"/>
          <w:kern w:val="0"/>
          <w:sz w:val="32"/>
          <w:szCs w:val="32"/>
          <w:highlight w:val="none"/>
          <w:lang w:eastAsia="zh-CN"/>
        </w:rPr>
        <w:t>减少</w:t>
      </w:r>
      <w:r>
        <w:rPr>
          <w:rFonts w:hint="eastAsia" w:ascii="Times New Roman" w:hAnsi="Times New Roman" w:eastAsia="仿宋_GB2312" w:cs="Times New Roman"/>
          <w:color w:val="auto"/>
          <w:kern w:val="0"/>
          <w:sz w:val="32"/>
          <w:szCs w:val="32"/>
          <w:highlight w:val="none"/>
          <w:lang w:val="en-US" w:eastAsia="zh-CN"/>
        </w:rPr>
        <w:t>110.68</w:t>
      </w:r>
      <w:r>
        <w:rPr>
          <w:rFonts w:hint="default"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四、关于焉耆回族自治县北大渠乡中心学校2025年财政拨款收支预算情况的总体说明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2025年财政拨款收支总预算1645.82万元。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收入预算包括：一般公共预算拨款1645.82万元。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一般公共预算支出包括:教育支出1645.82万元，主要用于人员经费支出、公用经费支出。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五、关于焉耆回族自治县北大渠乡中心学校2025年一般公共预算当年拨款情况说明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焉耆回族自治县北大渠乡中心学校2025年一般公共预算拨款合计1645.82万元,其中：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1645.82</w:t>
      </w:r>
      <w:r>
        <w:rPr>
          <w:rFonts w:hint="default" w:ascii="Times New Roman" w:hAnsi="Times New Roman" w:eastAsia="仿宋_GB2312" w:cs="Times New Roman"/>
          <w:color w:val="auto"/>
          <w:kern w:val="0"/>
          <w:sz w:val="32"/>
          <w:szCs w:val="32"/>
          <w:highlight w:val="none"/>
        </w:rPr>
        <w:t>万元，比上年预算减少</w:t>
      </w:r>
      <w:r>
        <w:rPr>
          <w:rFonts w:hint="eastAsia" w:ascii="Times New Roman" w:hAnsi="Times New Roman" w:eastAsia="仿宋_GB2312" w:cs="Times New Roman"/>
          <w:color w:val="auto"/>
          <w:kern w:val="0"/>
          <w:sz w:val="32"/>
          <w:szCs w:val="32"/>
          <w:highlight w:val="none"/>
          <w:lang w:val="en-US" w:eastAsia="zh-CN"/>
        </w:rPr>
        <w:t>661.61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28.67</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教师和学生人数减少</w:t>
      </w:r>
      <w:r>
        <w:rPr>
          <w:rFonts w:hint="eastAsia" w:ascii="Times New Roman" w:hAnsi="Times New Roman" w:eastAsia="仿宋_GB2312" w:cs="Times New Roman"/>
          <w:color w:val="auto"/>
          <w:kern w:val="0"/>
          <w:sz w:val="32"/>
          <w:szCs w:val="32"/>
          <w:highlight w:val="none"/>
          <w:lang w:eastAsia="zh-CN"/>
        </w:rPr>
        <w:t>，人员经费及公用经费相应减少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万元，比上年预算</w:t>
      </w:r>
      <w:r>
        <w:rPr>
          <w:rFonts w:hint="eastAsia" w:ascii="Times New Roman" w:hAnsi="Times New Roman" w:eastAsia="仿宋_GB2312" w:cs="Times New Roman"/>
          <w:color w:val="auto"/>
          <w:kern w:val="0"/>
          <w:sz w:val="32"/>
          <w:szCs w:val="32"/>
          <w:highlight w:val="none"/>
          <w:lang w:eastAsia="zh-CN"/>
        </w:rPr>
        <w:t>减少</w:t>
      </w:r>
      <w:r>
        <w:rPr>
          <w:rFonts w:hint="eastAsia" w:ascii="Times New Roman" w:hAnsi="Times New Roman" w:eastAsia="仿宋_GB2312" w:cs="Times New Roman"/>
          <w:color w:val="auto"/>
          <w:kern w:val="0"/>
          <w:sz w:val="32"/>
          <w:szCs w:val="32"/>
          <w:highlight w:val="none"/>
          <w:lang w:val="en-US" w:eastAsia="zh-CN"/>
        </w:rPr>
        <w:t>110.68</w:t>
      </w:r>
      <w:r>
        <w:rPr>
          <w:rFonts w:hint="default"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default" w:ascii="Times New Roman" w:hAnsi="Times New Roman" w:eastAsia="仿宋_GB2312" w:cs="Times New Roman"/>
          <w:color w:val="auto"/>
          <w:kern w:val="0"/>
          <w:sz w:val="32"/>
          <w:szCs w:val="32"/>
          <w:highlight w:val="none"/>
          <w:lang w:val="en-US" w:eastAsia="zh-CN"/>
        </w:rPr>
        <w:t>1645.82</w:t>
      </w:r>
      <w:r>
        <w:rPr>
          <w:rFonts w:hint="default" w:ascii="Times New Roman" w:hAnsi="Times New Roman" w:eastAsia="仿宋_GB2312" w:cs="Times New Roman"/>
          <w:color w:val="auto"/>
          <w:sz w:val="32"/>
          <w:szCs w:val="32"/>
          <w:highlight w:val="none"/>
          <w:lang w:val="en-US" w:eastAsia="zh-CN"/>
        </w:rPr>
        <w:t>万元，占100%。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一般公共预算当年拨款具体使用情况</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教育支出（类）普通教育（款）小学教育（项）:2025年预算数为1645.82万元，比上年预算</w:t>
      </w:r>
      <w:r>
        <w:rPr>
          <w:rFonts w:hint="eastAsia" w:ascii="Times New Roman" w:hAnsi="Times New Roman" w:eastAsia="仿宋_GB2312" w:cs="Times New Roman"/>
          <w:color w:val="auto"/>
          <w:kern w:val="0"/>
          <w:sz w:val="32"/>
          <w:szCs w:val="32"/>
          <w:highlight w:val="none"/>
          <w:lang w:val="en-US" w:eastAsia="zh-CN"/>
        </w:rPr>
        <w:t>增加522</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增长46.45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教育支出（类）普通教育（款）</w:t>
      </w:r>
      <w:r>
        <w:rPr>
          <w:rFonts w:hint="eastAsia" w:eastAsia="仿宋_GB2312" w:cs="Times New Roman"/>
          <w:color w:val="auto"/>
          <w:kern w:val="0"/>
          <w:sz w:val="32"/>
          <w:szCs w:val="32"/>
          <w:highlight w:val="none"/>
          <w:lang w:val="en-US" w:eastAsia="zh-CN"/>
        </w:rPr>
        <w:t>学前</w:t>
      </w:r>
      <w:r>
        <w:rPr>
          <w:rFonts w:hint="default" w:ascii="Times New Roman" w:hAnsi="Times New Roman" w:eastAsia="仿宋_GB2312" w:cs="Times New Roman"/>
          <w:color w:val="auto"/>
          <w:kern w:val="0"/>
          <w:sz w:val="32"/>
          <w:szCs w:val="32"/>
          <w:highlight w:val="none"/>
          <w:lang w:val="en-US" w:eastAsia="zh-CN"/>
        </w:rPr>
        <w:t>教育（项）</w:t>
      </w:r>
      <w:r>
        <w:rPr>
          <w:rFonts w:hint="eastAsia" w:eastAsia="仿宋_GB2312" w:cs="Times New Roman"/>
          <w:color w:val="auto"/>
          <w:kern w:val="0"/>
          <w:sz w:val="32"/>
          <w:szCs w:val="32"/>
          <w:highlight w:val="none"/>
          <w:lang w:val="en-US" w:eastAsia="zh-CN"/>
        </w:rPr>
        <w:t>合并至此类款项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教育支出（类）普通教育（款）学前教育（项）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减少1294.29</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此类款项合并至</w:t>
      </w:r>
      <w:r>
        <w:rPr>
          <w:rFonts w:hint="default" w:ascii="Times New Roman" w:hAnsi="Times New Roman" w:eastAsia="仿宋_GB2312" w:cs="Times New Roman"/>
          <w:color w:val="auto"/>
          <w:kern w:val="0"/>
          <w:sz w:val="32"/>
          <w:szCs w:val="32"/>
          <w:highlight w:val="none"/>
          <w:lang w:val="en-US" w:eastAsia="zh-CN"/>
        </w:rPr>
        <w:t>教育支出（类）普通教育（款）小学教育（项）</w:t>
      </w:r>
      <w:r>
        <w:rPr>
          <w:rFonts w:hint="eastAsia" w:eastAsia="仿宋_GB2312" w:cs="Times New Roman"/>
          <w:color w:val="auto"/>
          <w:kern w:val="0"/>
          <w:sz w:val="32"/>
          <w:szCs w:val="32"/>
          <w:highlight w:val="none"/>
          <w:lang w:val="en-US" w:eastAsia="zh-CN"/>
        </w:rPr>
        <w:t>支出中。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六、关于焉耆回族自治县北大渠乡中心学校2025年一般公共预算基本支出情况说明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焉耆回族自治县北大渠乡中心学校2025年一般公共预算基本支出1645.82万元，其中：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人员经费1617.32万元，主要包括:</w:t>
      </w:r>
      <w:r>
        <w:rPr>
          <w:rFonts w:hint="default" w:ascii="Times New Roman" w:hAnsi="Times New Roman" w:eastAsia="仿宋_GB2312" w:cs="Times New Roman"/>
          <w:color w:val="auto"/>
          <w:kern w:val="0"/>
          <w:sz w:val="32"/>
          <w:szCs w:val="32"/>
          <w:highlight w:val="none"/>
          <w:lang w:val="en-US" w:eastAsia="zh-CN"/>
        </w:rPr>
        <w:t>基本工资、津贴补贴、机关事业单位基本养老保险缴费、职业年金缴费、职工基本医疗保险缴费、其他社会保障缴费、住房公积金、退休费</w:t>
      </w:r>
      <w:r>
        <w:rPr>
          <w:rFonts w:hint="default"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公用经费28.5万元，主要包括:</w:t>
      </w:r>
      <w:r>
        <w:rPr>
          <w:rFonts w:hint="default" w:ascii="Times New Roman" w:hAnsi="Times New Roman" w:eastAsia="仿宋_GB2312" w:cs="Times New Roman"/>
          <w:color w:val="auto"/>
          <w:kern w:val="0"/>
          <w:sz w:val="32"/>
          <w:szCs w:val="32"/>
          <w:highlight w:val="none"/>
          <w:lang w:val="en-US" w:eastAsia="zh-CN"/>
        </w:rPr>
        <w:t>取暖费、福利费、培训费、工会经费</w:t>
      </w:r>
      <w:r>
        <w:rPr>
          <w:rFonts w:hint="default"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七、关于焉耆回族自治县北大渠乡中心学校2025年一般公共预算项目支出情况说明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焉耆回族自治县北大渠乡中心</w:t>
      </w:r>
      <w:r>
        <w:rPr>
          <w:rFonts w:hint="default" w:ascii="Times New Roman" w:hAnsi="Times New Roman" w:eastAsia="仿宋_GB2312" w:cs="Times New Roman"/>
          <w:color w:val="auto"/>
          <w:kern w:val="0"/>
          <w:sz w:val="32"/>
          <w:szCs w:val="32"/>
          <w:highlight w:val="none"/>
          <w:lang w:val="en-US" w:eastAsia="zh-CN"/>
        </w:rPr>
        <w:t>学校2025年</w:t>
      </w:r>
      <w:r>
        <w:rPr>
          <w:rFonts w:hint="default" w:ascii="Times New Roman" w:hAnsi="Times New Roman" w:eastAsia="仿宋_GB2312" w:cs="Times New Roman"/>
          <w:color w:val="auto"/>
          <w:kern w:val="0"/>
          <w:sz w:val="32"/>
          <w:szCs w:val="32"/>
          <w:highlight w:val="none"/>
        </w:rPr>
        <w:t>没</w:t>
      </w:r>
      <w:r>
        <w:rPr>
          <w:rFonts w:hint="eastAsia" w:ascii="仿宋_GB2312" w:hAnsi="仿宋_GB2312" w:eastAsia="仿宋_GB2312" w:cs="仿宋_GB2312"/>
          <w:color w:val="auto"/>
          <w:kern w:val="0"/>
          <w:sz w:val="32"/>
          <w:szCs w:val="32"/>
          <w:highlight w:val="none"/>
        </w:rPr>
        <w:t>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八、关于焉耆回族自治县北大渠乡中心学校2025年政府性基金预算支出情况说明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焉耆回族自治县北大渠乡中心学校2025年没有使用政府性基金预算拨款安排的支出，政府性基金预算支</w:t>
      </w:r>
      <w:r>
        <w:rPr>
          <w:rFonts w:hint="eastAsia" w:ascii="仿宋_GB2312" w:hAnsi="仿宋_GB2312" w:eastAsia="仿宋_GB2312" w:cs="仿宋_GB2312"/>
          <w:color w:val="auto"/>
          <w:kern w:val="0"/>
          <w:sz w:val="32"/>
          <w:szCs w:val="32"/>
          <w:highlight w:val="none"/>
          <w:lang w:val="en-US" w:eastAsia="zh-CN"/>
        </w:rPr>
        <w:t>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九、关于焉耆回族自治县北大渠乡中心学校2025年国有资本经营预算拨款情况说明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焉耆回族自治县北大渠乡中心</w:t>
      </w:r>
      <w:r>
        <w:rPr>
          <w:rFonts w:hint="default" w:ascii="Times New Roman" w:hAnsi="Times New Roman" w:eastAsia="仿宋_GB2312" w:cs="Times New Roman"/>
          <w:color w:val="auto"/>
          <w:kern w:val="0"/>
          <w:sz w:val="32"/>
          <w:szCs w:val="32"/>
          <w:highlight w:val="none"/>
          <w:lang w:val="en-US" w:eastAsia="zh-CN"/>
        </w:rPr>
        <w:t>学校2025年没有使用国有资本经营预算拨款安排的支出，国有资本经营</w:t>
      </w:r>
      <w:r>
        <w:rPr>
          <w:rFonts w:hint="eastAsia" w:ascii="仿宋_GB2312" w:hAnsi="仿宋_GB2312" w:eastAsia="仿宋_GB2312" w:cs="仿宋_GB2312"/>
          <w:color w:val="auto"/>
          <w:kern w:val="0"/>
          <w:sz w:val="32"/>
          <w:szCs w:val="32"/>
          <w:highlight w:val="none"/>
          <w:lang w:val="en-US" w:eastAsia="zh-CN"/>
        </w:rPr>
        <w:t>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十、关于焉耆回族自治县北大渠乡中心学校2025年财政拨款“三公”经费预算情况说明</w:t>
      </w:r>
    </w:p>
    <w:p>
      <w:pPr>
        <w:spacing w:line="600" w:lineRule="exact"/>
        <w:ind w:firstLine="640" w:firstLineChars="200"/>
        <w:rPr>
          <w:rFonts w:hint="eastAsia" w:eastAsia="仿宋_GB2312" w:cs="Times New Roman"/>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CN"/>
        </w:rPr>
        <w:t>焉耆回族自治县北大渠乡中心学校</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无因公出国（境）人员；公务用车购置费增加0万元，增长0%，主要原因是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本年度未安排公务用车购置费预算；公务用车运行费增加0万元，增长0%，主要原因是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color w:val="auto"/>
          <w:kern w:val="0"/>
          <w:sz w:val="32"/>
          <w:szCs w:val="32"/>
          <w:highlight w:val="none"/>
          <w:lang w:val="en-US" w:eastAsia="zh-CN"/>
        </w:rPr>
        <w:t>焉耆回族自治县北大渠乡中心学校2025年上年结转结余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焉耆回族自治县北大渠乡中心学校</w:t>
      </w:r>
      <w:r>
        <w:rPr>
          <w:rFonts w:hint="eastAsia"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焉耆回族自治县北大渠乡中心学校2025年的事业单位运行经费28.5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ascii="Times New Roman" w:hAnsi="Times New Roman" w:eastAsia="仿宋_GB2312" w:cs="Times New Roman"/>
          <w:color w:val="auto"/>
          <w:kern w:val="0"/>
          <w:sz w:val="32"/>
          <w:szCs w:val="32"/>
          <w:highlight w:val="none"/>
          <w:lang w:val="en-US" w:eastAsia="zh-CN"/>
        </w:rPr>
        <w:t>增加1.16</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增加4.24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学生人数增加，相应经费增加。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025年，焉耆回族自治县北大渠乡中心学校政府采购预算80.9</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万元，其中：政府采购货物预算80.9</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2025年，焉耆回族自治县北大渠乡中心学校面向中小企业预留政府采购项目预算金额80.9</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万元，小微企业预留政府采购项目预算金额80.9</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截至2024年底，焉耆回族自治县北大渠乡中心学校及下属各预算单位占用使用国有资产总体情况为：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房屋11894.45平方米，价值2184.04万元。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办公家具价值125.07万元。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其他资产价值651.26万元。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整体预算绩效目标1个，涉及预算金额1700.82万元；当年预算安排项目共</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highlight w:val="none"/>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ind w:firstLine="600" w:firstLineChars="300"/>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焉耆县北大渠乡中心学校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古丽米热</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15109960402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auto"/>
                <w:sz w:val="20"/>
                <w:szCs w:val="20"/>
                <w:highlight w:val="none"/>
                <w:lang w:eastAsia="zh-CN"/>
              </w:rPr>
              <w:t>全</w:t>
            </w:r>
            <w:r>
              <w:rPr>
                <w:rFonts w:hint="eastAsia" w:ascii="宋体" w:hAnsi="宋体" w:cs="宋体"/>
                <w:color w:val="auto"/>
                <w:sz w:val="20"/>
                <w:szCs w:val="20"/>
                <w:highlight w:val="none"/>
              </w:rPr>
              <w:t>面贯彻党的教育方针，培养德、智、体、美、劳全面发展的二十一世纪新型人才，促进</w:t>
            </w:r>
            <w:r>
              <w:rPr>
                <w:rFonts w:hint="eastAsia" w:ascii="宋体" w:hAnsi="宋体" w:cs="宋体"/>
                <w:color w:val="auto"/>
                <w:sz w:val="20"/>
                <w:szCs w:val="20"/>
                <w:highlight w:val="none"/>
                <w:lang w:eastAsia="zh-CN"/>
              </w:rPr>
              <w:t>北大渠乡中心学校</w:t>
            </w:r>
            <w:r>
              <w:rPr>
                <w:rFonts w:hint="eastAsia" w:ascii="宋体" w:hAnsi="宋体" w:cs="宋体"/>
                <w:color w:val="auto"/>
                <w:sz w:val="20"/>
                <w:szCs w:val="20"/>
                <w:highlight w:val="none"/>
              </w:rPr>
              <w:t>教育教学事业又好又快发展，保障学校教育教学工作的有效提升，为广大师生提供优质的教育教学环境，办好让人民满意的教育。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highlight w:val="none"/>
                <w:u w:val="none"/>
                <w:lang w:val="en-US" w:eastAsia="zh-CN"/>
              </w:rPr>
            </w:pPr>
            <w:bookmarkStart w:id="0" w:name="_GoBack"/>
            <w:bookmarkEnd w:id="0"/>
            <w:r>
              <w:rPr>
                <w:rFonts w:hint="eastAsia" w:ascii="宋体" w:hAnsi="宋体" w:eastAsia="宋体" w:cs="宋体"/>
                <w:i w:val="0"/>
                <w:iCs w:val="0"/>
                <w:color w:val="000000"/>
                <w:sz w:val="20"/>
                <w:szCs w:val="20"/>
                <w:highlight w:val="none"/>
                <w:u w:val="none"/>
              </w:rPr>
              <w:t>1645.82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开设班级数量</w:t>
            </w:r>
          </w:p>
        </w:tc>
        <w:tc>
          <w:tcPr>
            <w:tcW w:w="12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23</w:t>
            </w:r>
            <w:r>
              <w:rPr>
                <w:rFonts w:hint="default" w:ascii="Times New Roman" w:hAnsi="Times New Roman" w:cs="Times New Roman"/>
                <w:color w:val="000000"/>
                <w:sz w:val="20"/>
                <w:szCs w:val="20"/>
              </w:rPr>
              <w:t>个</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highlight w:val="none"/>
                <w:u w:val="none"/>
              </w:rPr>
            </w:pPr>
            <w:r>
              <w:rPr>
                <w:rFonts w:hint="eastAsia" w:cs="Times New Roman"/>
                <w:color w:val="000000"/>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受资助补助政策学生数</w:t>
            </w:r>
          </w:p>
        </w:tc>
        <w:tc>
          <w:tcPr>
            <w:tcW w:w="12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305</w:t>
            </w:r>
            <w:r>
              <w:rPr>
                <w:rFonts w:hint="default" w:ascii="Times New Roman" w:hAnsi="Times New Roman" w:cs="Times New Roman"/>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highlight w:val="none"/>
                <w:u w:val="none"/>
              </w:rPr>
            </w:pPr>
            <w:r>
              <w:rPr>
                <w:rFonts w:hint="eastAsia" w:cs="Times New Roman"/>
                <w:color w:val="000000"/>
                <w:sz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eastAsia" w:cs="Times New Roman"/>
                <w:color w:val="000000"/>
                <w:sz w:val="20"/>
                <w:szCs w:val="20"/>
                <w:lang w:val="en-US" w:eastAsia="zh-CN"/>
              </w:rPr>
              <w:t>补助发放次数</w:t>
            </w:r>
          </w:p>
        </w:tc>
        <w:tc>
          <w:tcPr>
            <w:tcW w:w="12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8次</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highlight w:val="none"/>
                <w:u w:val="none"/>
              </w:rPr>
            </w:pPr>
            <w:r>
              <w:rPr>
                <w:rFonts w:hint="eastAsia" w:cs="Times New Roman"/>
                <w:color w:val="000000"/>
                <w:sz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s="Times New Roman"/>
                <w:color w:val="000000"/>
                <w:sz w:val="20"/>
                <w:szCs w:val="20"/>
                <w:lang w:val="en-US" w:eastAsia="zh-CN"/>
              </w:rPr>
            </w:pPr>
            <w:r>
              <w:rPr>
                <w:rFonts w:hint="default" w:ascii="Times New Roman" w:hAnsi="Times New Roman" w:cs="Times New Roman"/>
                <w:color w:val="000000"/>
                <w:sz w:val="20"/>
                <w:szCs w:val="20"/>
              </w:rPr>
              <w:t>学生数</w:t>
            </w:r>
            <w:r>
              <w:rPr>
                <w:rFonts w:hint="eastAsia" w:cs="Times New Roman"/>
                <w:color w:val="000000"/>
                <w:sz w:val="20"/>
                <w:szCs w:val="20"/>
                <w:lang w:val="en-US" w:eastAsia="zh-CN"/>
              </w:rPr>
              <w:t>量</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683</w:t>
            </w:r>
            <w:r>
              <w:rPr>
                <w:rFonts w:hint="default" w:ascii="Times New Roman" w:hAnsi="Times New Roman" w:cs="Times New Roman"/>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Times New Roman"/>
                <w:color w:val="000000"/>
                <w:sz w:val="24"/>
                <w:lang w:val="en-US" w:eastAsia="zh-CN"/>
              </w:rPr>
            </w:pPr>
            <w:r>
              <w:rPr>
                <w:rFonts w:hint="eastAsia" w:cs="Times New Roman"/>
                <w:color w:val="000000"/>
                <w:sz w:val="24"/>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本单位无其他需说明的事项。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仿宋_GB2312" w:hAnsi="宋体" w:eastAsia="仿宋_GB2312" w:cs="宋体"/>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焉耆回族自治县北大渠乡中心学校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_x0000_s00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oXNXoAQAA9Q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4UlYSRGU544/DSX/nqgsVx+zQX2kiuse4wHn&#10;HXGY1Q4t+vzPOsQwmnp9NtUMSWhOLter9bpkvzWf3TaMU7x8HpHSFwNe5KCWyF0bzVSXe0pT6a0k&#10;3xZgb53jvKpc+CPBmDlTZMYTxxyl4TjMxI/QXFkvwjQIFPXe8p33itJBIXeeefLbSA+8tA76WsIc&#10;SdEB/vxXPtdzQ/hUip4nqZaBH44U7mvgRuWhuwV4C463QAXNH9YySXGOaE/dyCtrovj5nFjoqD+r&#10;mKjP4ngaRgfnyc3j9vt+rHp5r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BAoXNXoAQAA&#10;9Q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_x0000_s0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oKDrpAQAA9Q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Q5PwkTMvHHX8qS/p94RlufqUDeoiVlT3GA8w&#10;7ZDCrLbX4PI/6WD9YOr1ZqrqE5OUXK5X63VJfks6mzeEUzx/HgHTVxUcy0HNgbo2mCku95jG0rkk&#10;3+bD3lhLeVFZ/0eCMHOmyIxHjjlK/bGfiB9DcyW9EMZBwCj3hu68F5gOAqjzxJPeRnqgRdvQ1TxM&#10;EWdtgF//yud6agidctbRJNXc08PhzH7z1Kg8dHMAc3CcA+ElfVjzxNk5gjm1A6+sCeOXcyKhg/6s&#10;YqQ+iaNpGBycJjeP28v9UPX8W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y6Cg6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53D04"/>
    <w:multiLevelType w:val="singleLevel"/>
    <w:tmpl w:val="9B053D0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2JlNjk4Mjk5YjEwYzhlMTRiMWQxYzg5ZWJjNjIifQ=="/>
  </w:docVars>
  <w:rsids>
    <w:rsidRoot w:val="00000000"/>
    <w:rsid w:val="00066065"/>
    <w:rsid w:val="000C54BD"/>
    <w:rsid w:val="0233470F"/>
    <w:rsid w:val="024D345A"/>
    <w:rsid w:val="02781BC8"/>
    <w:rsid w:val="036E63F2"/>
    <w:rsid w:val="039450F3"/>
    <w:rsid w:val="03CC6157"/>
    <w:rsid w:val="03F176EC"/>
    <w:rsid w:val="04131B0F"/>
    <w:rsid w:val="045F1EB3"/>
    <w:rsid w:val="056A2C03"/>
    <w:rsid w:val="06AC53DE"/>
    <w:rsid w:val="06EE42E6"/>
    <w:rsid w:val="06F94E2C"/>
    <w:rsid w:val="071E6F3E"/>
    <w:rsid w:val="078937C8"/>
    <w:rsid w:val="07CE46C4"/>
    <w:rsid w:val="08232CA1"/>
    <w:rsid w:val="0A555D2E"/>
    <w:rsid w:val="0C7D3BCC"/>
    <w:rsid w:val="0D0610AB"/>
    <w:rsid w:val="0D061A84"/>
    <w:rsid w:val="0DC92498"/>
    <w:rsid w:val="0EDA784D"/>
    <w:rsid w:val="0EF9505E"/>
    <w:rsid w:val="1074586E"/>
    <w:rsid w:val="10ED01F1"/>
    <w:rsid w:val="11135054"/>
    <w:rsid w:val="118A0106"/>
    <w:rsid w:val="11DD2ED6"/>
    <w:rsid w:val="128877BE"/>
    <w:rsid w:val="12F66DD2"/>
    <w:rsid w:val="139748B1"/>
    <w:rsid w:val="140F2F8D"/>
    <w:rsid w:val="14EA483E"/>
    <w:rsid w:val="17DC164C"/>
    <w:rsid w:val="183207F2"/>
    <w:rsid w:val="18573716"/>
    <w:rsid w:val="18CD4C58"/>
    <w:rsid w:val="19B44A54"/>
    <w:rsid w:val="19E066B0"/>
    <w:rsid w:val="1A111A72"/>
    <w:rsid w:val="1A3B6D15"/>
    <w:rsid w:val="1C925420"/>
    <w:rsid w:val="1CE3095B"/>
    <w:rsid w:val="1D036ADE"/>
    <w:rsid w:val="1D6152DA"/>
    <w:rsid w:val="1E8D0E0D"/>
    <w:rsid w:val="1EA92176"/>
    <w:rsid w:val="1FDF38C9"/>
    <w:rsid w:val="1FFA43D9"/>
    <w:rsid w:val="21B10BC7"/>
    <w:rsid w:val="221F3E6D"/>
    <w:rsid w:val="22E83209"/>
    <w:rsid w:val="230F4EDE"/>
    <w:rsid w:val="23E05A5F"/>
    <w:rsid w:val="25F1104C"/>
    <w:rsid w:val="276D4C4F"/>
    <w:rsid w:val="27B25895"/>
    <w:rsid w:val="297B24ED"/>
    <w:rsid w:val="2A9D296B"/>
    <w:rsid w:val="2ABF77FD"/>
    <w:rsid w:val="2BD90A84"/>
    <w:rsid w:val="2D3B10D2"/>
    <w:rsid w:val="2E04783D"/>
    <w:rsid w:val="2FB26278"/>
    <w:rsid w:val="30507433"/>
    <w:rsid w:val="3051532C"/>
    <w:rsid w:val="306C46D3"/>
    <w:rsid w:val="30826F39"/>
    <w:rsid w:val="30D04E52"/>
    <w:rsid w:val="311E713B"/>
    <w:rsid w:val="312C20F5"/>
    <w:rsid w:val="31623455"/>
    <w:rsid w:val="31C9606D"/>
    <w:rsid w:val="32345102"/>
    <w:rsid w:val="326A27D3"/>
    <w:rsid w:val="32712E10"/>
    <w:rsid w:val="32E6494C"/>
    <w:rsid w:val="3438610E"/>
    <w:rsid w:val="347F005E"/>
    <w:rsid w:val="354B73C4"/>
    <w:rsid w:val="35A80ADA"/>
    <w:rsid w:val="365D12BE"/>
    <w:rsid w:val="37B05A07"/>
    <w:rsid w:val="37B1415B"/>
    <w:rsid w:val="385417E1"/>
    <w:rsid w:val="39377197"/>
    <w:rsid w:val="3A640EC1"/>
    <w:rsid w:val="3ABA4EAF"/>
    <w:rsid w:val="3CBC27F3"/>
    <w:rsid w:val="3CCA7FDB"/>
    <w:rsid w:val="3CD75E7F"/>
    <w:rsid w:val="3CDF7C43"/>
    <w:rsid w:val="3CFC23C2"/>
    <w:rsid w:val="3D0037C2"/>
    <w:rsid w:val="3E2231D8"/>
    <w:rsid w:val="3FDF0916"/>
    <w:rsid w:val="3FF40304"/>
    <w:rsid w:val="403A0B03"/>
    <w:rsid w:val="40D51F4F"/>
    <w:rsid w:val="410E3F60"/>
    <w:rsid w:val="416B457B"/>
    <w:rsid w:val="429A4267"/>
    <w:rsid w:val="43465262"/>
    <w:rsid w:val="44762F0F"/>
    <w:rsid w:val="450F658C"/>
    <w:rsid w:val="45782C2E"/>
    <w:rsid w:val="46853EB2"/>
    <w:rsid w:val="46E070E1"/>
    <w:rsid w:val="472A4099"/>
    <w:rsid w:val="493948BD"/>
    <w:rsid w:val="49DD02F2"/>
    <w:rsid w:val="4CEA67EB"/>
    <w:rsid w:val="4CF77305"/>
    <w:rsid w:val="4D5120AB"/>
    <w:rsid w:val="4E697C89"/>
    <w:rsid w:val="4E91573B"/>
    <w:rsid w:val="4EB60221"/>
    <w:rsid w:val="4EC42C12"/>
    <w:rsid w:val="4F0D195E"/>
    <w:rsid w:val="4FB74E96"/>
    <w:rsid w:val="50241E9E"/>
    <w:rsid w:val="506177B7"/>
    <w:rsid w:val="509D6EB8"/>
    <w:rsid w:val="50FD52B6"/>
    <w:rsid w:val="50FD55B4"/>
    <w:rsid w:val="5121757E"/>
    <w:rsid w:val="518E70E9"/>
    <w:rsid w:val="51AB2A17"/>
    <w:rsid w:val="52085771"/>
    <w:rsid w:val="5240792B"/>
    <w:rsid w:val="52552958"/>
    <w:rsid w:val="53064777"/>
    <w:rsid w:val="535225D7"/>
    <w:rsid w:val="53640ED3"/>
    <w:rsid w:val="53D4539C"/>
    <w:rsid w:val="54F8342A"/>
    <w:rsid w:val="55EF762C"/>
    <w:rsid w:val="570B584C"/>
    <w:rsid w:val="57523ECE"/>
    <w:rsid w:val="57BE32CC"/>
    <w:rsid w:val="57DB1A8F"/>
    <w:rsid w:val="580A1CF6"/>
    <w:rsid w:val="58A94214"/>
    <w:rsid w:val="59565202"/>
    <w:rsid w:val="59E30F31"/>
    <w:rsid w:val="5A046E55"/>
    <w:rsid w:val="5A6D54CD"/>
    <w:rsid w:val="5D291774"/>
    <w:rsid w:val="5D855066"/>
    <w:rsid w:val="5E5541F1"/>
    <w:rsid w:val="5F7F531E"/>
    <w:rsid w:val="5FF1563F"/>
    <w:rsid w:val="60201D6C"/>
    <w:rsid w:val="61B645F2"/>
    <w:rsid w:val="63717DCB"/>
    <w:rsid w:val="659F139C"/>
    <w:rsid w:val="66F22B23"/>
    <w:rsid w:val="675074C7"/>
    <w:rsid w:val="67A645FC"/>
    <w:rsid w:val="6F565A1E"/>
    <w:rsid w:val="709362CD"/>
    <w:rsid w:val="710715F6"/>
    <w:rsid w:val="7472585D"/>
    <w:rsid w:val="75C423C2"/>
    <w:rsid w:val="768C400C"/>
    <w:rsid w:val="77FA718E"/>
    <w:rsid w:val="780F7CCC"/>
    <w:rsid w:val="78B813C8"/>
    <w:rsid w:val="78C603A4"/>
    <w:rsid w:val="7B125467"/>
    <w:rsid w:val="7D0970B0"/>
    <w:rsid w:val="7D5B4FF6"/>
    <w:rsid w:val="7D6F25B3"/>
    <w:rsid w:val="7F217FB2"/>
    <w:rsid w:val="7F7171A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57208-ea37-4504-abd9-c8be8c20c815}">
  <ds:schemaRefs/>
</ds:datastoreItem>
</file>

<file path=customXml/itemProps3.xml><?xml version="1.0" encoding="utf-8"?>
<ds:datastoreItem xmlns:ds="http://schemas.openxmlformats.org/officeDocument/2006/customXml" ds:itemID="{2432fc12-e658-4ef8-8e7c-d2e514de4c98}">
  <ds:schemaRefs/>
</ds:datastoreItem>
</file>

<file path=customXml/itemProps4.xml><?xml version="1.0" encoding="utf-8"?>
<ds:datastoreItem xmlns:ds="http://schemas.openxmlformats.org/officeDocument/2006/customXml" ds:itemID="{1f451650-6e90-45f5-b69f-6d57ee1087fc}">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7013</Words>
  <Characters>8142</Characters>
  <Lines>0</Lines>
  <Paragraphs>0</Paragraphs>
  <TotalTime>5</TotalTime>
  <ScaleCrop>false</ScaleCrop>
  <LinksUpToDate>false</LinksUpToDate>
  <CharactersWithSpaces>9293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2025-04-01T09:08:00Z</cp:lastPrinted>
  <dcterms:modified xsi:type="dcterms:W3CDTF">2025-04-22T11:04:12Z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eyJoZGlkIjoiZWY1OTZmMDAwOTg1MzAxOTc3OWNhMWFjNjI0OTBhMWUifQ==</vt:lpwstr>
  </property>
  <property fmtid="{D5CDD505-2E9C-101B-9397-08002B2CF9AE}" pid="4" name="ICV">
    <vt:lpwstr>224BE642A6D8439788E11FA9D259EC1D_13</vt:lpwstr>
  </property>
</Properties>
</file>